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ascii="方正书宋简体" w:hAnsi="方正书宋简体" w:eastAsia="仿宋_GB2312"/>
          <w:color w:val="000000"/>
          <w:sz w:val="31"/>
          <w:szCs w:val="31"/>
        </w:rPr>
      </w:pPr>
    </w:p>
    <w:p>
      <w:pPr>
        <w:widowControl w:val="0"/>
        <w:adjustRightInd w:val="0"/>
        <w:snapToGrid w:val="0"/>
        <w:spacing w:line="600" w:lineRule="exact"/>
        <w:rPr>
          <w:rFonts w:ascii="方正书宋简体" w:hAnsi="方正书宋简体" w:eastAsia="仿宋_GB2312"/>
          <w:color w:val="000000"/>
          <w:sz w:val="31"/>
          <w:szCs w:val="31"/>
        </w:rPr>
      </w:pPr>
    </w:p>
    <w:p>
      <w:pPr>
        <w:widowControl w:val="0"/>
        <w:spacing w:line="600" w:lineRule="exact"/>
        <w:jc w:val="center"/>
        <w:rPr>
          <w:rFonts w:ascii="宋体" w:hAnsi="宋体" w:cs="宋体"/>
          <w:sz w:val="42"/>
          <w:szCs w:val="42"/>
        </w:rPr>
      </w:pPr>
      <w:r>
        <w:rPr>
          <w:rFonts w:hint="eastAsia" w:ascii="宋体" w:hAnsi="宋体" w:cs="宋体"/>
          <w:sz w:val="42"/>
          <w:szCs w:val="42"/>
        </w:rPr>
        <w:t>洛阳市大运河遗产保护管理办法</w:t>
      </w:r>
    </w:p>
    <w:p>
      <w:pPr>
        <w:widowControl w:val="0"/>
        <w:spacing w:line="600" w:lineRule="exact"/>
        <w:ind w:firstLine="640" w:firstLineChars="200"/>
        <w:jc w:val="center"/>
        <w:rPr>
          <w:rFonts w:ascii="仿宋" w:hAnsi="仿宋" w:eastAsia="仿宋"/>
          <w:sz w:val="32"/>
          <w:szCs w:val="32"/>
        </w:rPr>
      </w:pPr>
      <w:r>
        <w:rPr>
          <w:rFonts w:hint="eastAsia" w:ascii="仿宋" w:hAnsi="仿宋" w:eastAsia="仿宋"/>
          <w:sz w:val="32"/>
          <w:szCs w:val="32"/>
        </w:rPr>
        <w:t>（</w:t>
      </w:r>
      <w:bookmarkStart w:id="0" w:name="_GoBack"/>
      <w:bookmarkEnd w:id="0"/>
      <w:r>
        <w:rPr>
          <w:rFonts w:hint="eastAsia" w:ascii="仿宋" w:hAnsi="仿宋" w:eastAsia="仿宋"/>
          <w:sz w:val="32"/>
          <w:szCs w:val="32"/>
        </w:rPr>
        <w:t>2012年9月18日洛阳市人民政府令第119号公布</w:t>
      </w:r>
      <w:r>
        <w:rPr>
          <w:rFonts w:ascii="仿宋" w:hAnsi="仿宋" w:eastAsia="仿宋"/>
          <w:sz w:val="32"/>
          <w:szCs w:val="32"/>
          <w:lang w:val="en"/>
        </w:rPr>
        <w:t xml:space="preserve"> </w:t>
      </w:r>
      <w:r>
        <w:rPr>
          <w:rFonts w:hint="eastAsia" w:ascii="仿宋" w:hAnsi="仿宋" w:eastAsia="仿宋"/>
          <w:sz w:val="32"/>
          <w:szCs w:val="32"/>
        </w:rPr>
        <w:t>自2012年11月1日起施行）</w:t>
      </w:r>
    </w:p>
    <w:p>
      <w:pPr>
        <w:widowControl w:val="0"/>
        <w:spacing w:line="600" w:lineRule="exact"/>
        <w:jc w:val="both"/>
        <w:rPr>
          <w:rFonts w:ascii="仿宋" w:hAnsi="仿宋" w:eastAsia="仿宋"/>
          <w:sz w:val="32"/>
          <w:szCs w:val="32"/>
        </w:rPr>
      </w:pP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仿宋" w:hAnsi="仿宋" w:eastAsia="仿宋"/>
          <w:sz w:val="32"/>
          <w:szCs w:val="32"/>
        </w:rPr>
        <w:t xml:space="preserve"> 为了加强对大运河遗产的有效保护和科学利用，根据《中华人民共和国文物保护法》以及《洛阳市隋唐洛阳城遗址保护条例》等相关法律、法规，结合大运河遗产的保存现状和本市实际，制定本办法。</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仿宋" w:hAnsi="仿宋" w:eastAsia="仿宋"/>
          <w:sz w:val="32"/>
          <w:szCs w:val="32"/>
        </w:rPr>
        <w:t xml:space="preserve"> 本办法所称大运河遗产，包括洛阳市域内、与隋唐大运河密切相关的仓储遗迹、桥梁河道、水工遗存以及各类伴生的历史遗存和文化景观等。</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 xml:space="preserve">第三条 </w:t>
      </w:r>
      <w:r>
        <w:rPr>
          <w:rFonts w:hint="eastAsia" w:ascii="仿宋" w:hAnsi="仿宋" w:eastAsia="仿宋"/>
          <w:sz w:val="32"/>
          <w:szCs w:val="32"/>
        </w:rPr>
        <w:t>大运河遗产保护工作，坚持统一规划、有效保护、合理利用的原则，确保大运河遗产及其历史风貌和自然环境的真实性、完整性。</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仿宋" w:hAnsi="仿宋" w:eastAsia="仿宋"/>
          <w:sz w:val="32"/>
          <w:szCs w:val="32"/>
        </w:rPr>
        <w:t xml:space="preserve"> 市人民政府应当加强对大运河遗产保护工作的领导。市文物行政部门是大运河遗产保护工作的行政主管部门，规划、建设、国土、环保、水务等相关部门在各自的职责范围内，负责大运河遗产的有关保护工作。</w:t>
      </w:r>
    </w:p>
    <w:p>
      <w:pPr>
        <w:widowControl w:val="0"/>
        <w:spacing w:line="600" w:lineRule="exact"/>
        <w:jc w:val="both"/>
        <w:rPr>
          <w:rFonts w:ascii="仿宋" w:hAnsi="仿宋" w:eastAsia="仿宋"/>
          <w:sz w:val="32"/>
          <w:szCs w:val="32"/>
        </w:rPr>
      </w:pPr>
      <w:r>
        <w:rPr>
          <w:rFonts w:hint="eastAsia" w:ascii="仿宋" w:hAnsi="仿宋" w:eastAsia="仿宋"/>
          <w:sz w:val="32"/>
          <w:szCs w:val="32"/>
        </w:rPr>
        <w:t>　　大运河遗产所在地县级人民政府应当配合做好本行政区域内大运河遗产的保护职责。</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仿宋" w:hAnsi="仿宋" w:eastAsia="仿宋"/>
          <w:sz w:val="32"/>
          <w:szCs w:val="32"/>
        </w:rPr>
        <w:t xml:space="preserve"> 大运河重要遗产包括：</w:t>
      </w:r>
    </w:p>
    <w:p>
      <w:pPr>
        <w:widowControl w:val="0"/>
        <w:spacing w:line="600" w:lineRule="exact"/>
        <w:jc w:val="both"/>
        <w:rPr>
          <w:rFonts w:ascii="仿宋" w:hAnsi="仿宋" w:eastAsia="仿宋"/>
          <w:sz w:val="32"/>
          <w:szCs w:val="32"/>
        </w:rPr>
      </w:pPr>
      <w:r>
        <w:rPr>
          <w:rFonts w:hint="eastAsia" w:ascii="仿宋" w:hAnsi="仿宋" w:eastAsia="仿宋"/>
          <w:sz w:val="32"/>
          <w:szCs w:val="32"/>
        </w:rPr>
        <w:t>　　（一）含嘉仓遗址；</w:t>
      </w:r>
    </w:p>
    <w:p>
      <w:pPr>
        <w:widowControl w:val="0"/>
        <w:spacing w:line="600" w:lineRule="exact"/>
        <w:jc w:val="both"/>
        <w:rPr>
          <w:rFonts w:ascii="仿宋" w:hAnsi="仿宋" w:eastAsia="仿宋"/>
          <w:sz w:val="32"/>
          <w:szCs w:val="32"/>
        </w:rPr>
      </w:pPr>
      <w:r>
        <w:rPr>
          <w:rFonts w:hint="eastAsia" w:ascii="仿宋" w:hAnsi="仿宋" w:eastAsia="仿宋"/>
          <w:sz w:val="32"/>
          <w:szCs w:val="32"/>
        </w:rPr>
        <w:t>　　（二）回洛仓遗址；</w:t>
      </w:r>
    </w:p>
    <w:p>
      <w:pPr>
        <w:widowControl w:val="0"/>
        <w:spacing w:line="600" w:lineRule="exact"/>
        <w:jc w:val="both"/>
        <w:rPr>
          <w:rFonts w:ascii="仿宋" w:hAnsi="仿宋" w:eastAsia="仿宋"/>
          <w:sz w:val="32"/>
          <w:szCs w:val="32"/>
        </w:rPr>
      </w:pPr>
      <w:r>
        <w:rPr>
          <w:rFonts w:hint="eastAsia" w:ascii="仿宋" w:hAnsi="仿宋" w:eastAsia="仿宋"/>
          <w:sz w:val="32"/>
          <w:szCs w:val="32"/>
        </w:rPr>
        <w:t>　　（三）根据普查登记、科学研究或考古发掘，并经文物部门依法认定的其他重要遗产。</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仿宋" w:hAnsi="仿宋" w:eastAsia="仿宋"/>
          <w:sz w:val="32"/>
          <w:szCs w:val="32"/>
        </w:rPr>
        <w:t xml:space="preserve"> 大运河重要遗产的保护范围和建设控制地带为：</w:t>
      </w:r>
    </w:p>
    <w:p>
      <w:pPr>
        <w:widowControl w:val="0"/>
        <w:spacing w:line="600" w:lineRule="exact"/>
        <w:jc w:val="both"/>
        <w:rPr>
          <w:rFonts w:ascii="仿宋" w:hAnsi="仿宋" w:eastAsia="仿宋"/>
          <w:sz w:val="32"/>
          <w:szCs w:val="32"/>
        </w:rPr>
      </w:pPr>
      <w:r>
        <w:rPr>
          <w:rFonts w:hint="eastAsia" w:ascii="仿宋" w:hAnsi="仿宋" w:eastAsia="仿宋"/>
          <w:sz w:val="32"/>
          <w:szCs w:val="32"/>
        </w:rPr>
        <w:t>　　（一）含嘉仓遗址保护范围：东至平等街南北一线，南至中州渠，西至环城西路北延长线，北至春都路北200米东西一线。</w:t>
      </w:r>
    </w:p>
    <w:p>
      <w:pPr>
        <w:widowControl w:val="0"/>
        <w:spacing w:line="600" w:lineRule="exact"/>
        <w:jc w:val="both"/>
        <w:rPr>
          <w:rFonts w:ascii="仿宋" w:hAnsi="仿宋" w:eastAsia="仿宋"/>
          <w:sz w:val="32"/>
          <w:szCs w:val="32"/>
        </w:rPr>
      </w:pPr>
      <w:r>
        <w:rPr>
          <w:rFonts w:hint="eastAsia" w:ascii="仿宋" w:hAnsi="仿宋" w:eastAsia="仿宋"/>
          <w:sz w:val="32"/>
          <w:szCs w:val="32"/>
        </w:rPr>
        <w:t>　　（二）回洛仓遗址保护范围：北至海格尔耐火材料厂北围墙，东至小李村西围墙以东100米，南至310国道以南200米，西至瀍河西岸。</w:t>
      </w:r>
    </w:p>
    <w:p>
      <w:pPr>
        <w:widowControl w:val="0"/>
        <w:spacing w:line="600" w:lineRule="exact"/>
        <w:jc w:val="both"/>
        <w:rPr>
          <w:rFonts w:ascii="仿宋" w:hAnsi="仿宋" w:eastAsia="仿宋"/>
          <w:sz w:val="32"/>
          <w:szCs w:val="32"/>
        </w:rPr>
      </w:pPr>
      <w:r>
        <w:rPr>
          <w:rFonts w:hint="eastAsia" w:ascii="仿宋" w:hAnsi="仿宋" w:eastAsia="仿宋"/>
          <w:sz w:val="32"/>
          <w:szCs w:val="32"/>
        </w:rPr>
        <w:t>　　保护范围边线往四周各外扩100米为建设控制地带。</w:t>
      </w:r>
    </w:p>
    <w:p>
      <w:pPr>
        <w:widowControl w:val="0"/>
        <w:spacing w:line="600" w:lineRule="exact"/>
        <w:jc w:val="both"/>
        <w:rPr>
          <w:rFonts w:ascii="仿宋" w:hAnsi="仿宋" w:eastAsia="仿宋"/>
          <w:sz w:val="32"/>
          <w:szCs w:val="32"/>
        </w:rPr>
      </w:pPr>
      <w:r>
        <w:rPr>
          <w:rFonts w:hint="eastAsia" w:ascii="仿宋" w:hAnsi="仿宋" w:eastAsia="仿宋"/>
          <w:sz w:val="32"/>
          <w:szCs w:val="32"/>
        </w:rPr>
        <w:t>　　根据考古发现或者研究成果，应当及时依法增补重要遗址。大运河重要遗产保护范围和建设控制地带依法重新划定的，从其新的规定。</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第七条</w:t>
      </w:r>
      <w:r>
        <w:rPr>
          <w:rFonts w:hint="eastAsia" w:ascii="仿宋" w:hAnsi="仿宋" w:eastAsia="仿宋"/>
          <w:sz w:val="32"/>
          <w:szCs w:val="32"/>
        </w:rPr>
        <w:t xml:space="preserve"> 市人民政府应当将大运河遗产保护经费纳入本级财政预算，并随着财政收入的增长而增加；鼓励公民、法人和其他组织自愿捐资用于大运河遗产保护；大运河遗产保护资金应当专款专用，不得截留挪用，并接受市财政、审计等部门的监督。</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仿宋" w:hAnsi="仿宋" w:eastAsia="仿宋"/>
          <w:sz w:val="32"/>
          <w:szCs w:val="32"/>
        </w:rPr>
        <w:t xml:space="preserve"> 公民、法人和其他组织都有依法保护大运河遗产的义务。对破坏大运河遗产及其历史风貌的行为有权制止、举报。对于在大运河遗产保护工作中有显著成绩的单位或者个人，应当给予表彰、奖励。</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仿宋" w:hAnsi="仿宋" w:eastAsia="仿宋"/>
          <w:sz w:val="32"/>
          <w:szCs w:val="32"/>
        </w:rPr>
        <w:t xml:space="preserve"> 大运河遗产保护规划应当由市文物行政部门会同有关部门，按照遗产保护的需要依法编制，并由市人民政府批准公布。</w:t>
      </w:r>
    </w:p>
    <w:p>
      <w:pPr>
        <w:widowControl w:val="0"/>
        <w:spacing w:line="600" w:lineRule="exact"/>
        <w:jc w:val="both"/>
        <w:rPr>
          <w:rFonts w:ascii="仿宋" w:hAnsi="仿宋" w:eastAsia="仿宋"/>
          <w:sz w:val="32"/>
          <w:szCs w:val="32"/>
        </w:rPr>
      </w:pPr>
      <w:r>
        <w:rPr>
          <w:rFonts w:hint="eastAsia" w:ascii="仿宋" w:hAnsi="仿宋" w:eastAsia="仿宋"/>
          <w:sz w:val="32"/>
          <w:szCs w:val="32"/>
        </w:rPr>
        <w:t>　　遗产所在地人民政府制定本行政区域的国民经济和社会发展规划、土地利用总体规划和城乡建设、水利、环保等规划，应当与其相协调。</w:t>
      </w:r>
    </w:p>
    <w:p>
      <w:pPr>
        <w:widowControl w:val="0"/>
        <w:spacing w:line="600" w:lineRule="exact"/>
        <w:ind w:firstLine="640" w:firstLineChars="200"/>
        <w:jc w:val="both"/>
        <w:rPr>
          <w:rFonts w:ascii="仿宋" w:hAnsi="仿宋" w:eastAsia="仿宋"/>
          <w:sz w:val="32"/>
          <w:szCs w:val="32"/>
        </w:rPr>
      </w:pPr>
      <w:r>
        <w:rPr>
          <w:rFonts w:hint="eastAsia" w:ascii="黑体" w:hAnsi="黑体" w:eastAsia="黑体" w:cs="黑体"/>
          <w:sz w:val="32"/>
          <w:szCs w:val="32"/>
        </w:rPr>
        <w:t>第十条</w:t>
      </w:r>
      <w:r>
        <w:rPr>
          <w:rFonts w:hint="eastAsia" w:ascii="仿宋" w:hAnsi="仿宋" w:eastAsia="仿宋"/>
          <w:sz w:val="32"/>
          <w:szCs w:val="32"/>
        </w:rPr>
        <w:t xml:space="preserve"> 市人民政府应当重视大运河遗产的调查研究和考古发掘，科学编制其保护展示规划，将价值突出、功能完善的遗产辟为参观游览区或遗址博物馆。</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仿宋" w:hAnsi="仿宋" w:eastAsia="仿宋"/>
          <w:sz w:val="32"/>
          <w:szCs w:val="32"/>
        </w:rPr>
        <w:t xml:space="preserve"> 在大运河重要遗产上禁止下列行为：</w:t>
      </w:r>
    </w:p>
    <w:p>
      <w:pPr>
        <w:widowControl w:val="0"/>
        <w:spacing w:line="600" w:lineRule="exact"/>
        <w:jc w:val="both"/>
        <w:rPr>
          <w:rFonts w:ascii="仿宋" w:hAnsi="仿宋" w:eastAsia="仿宋"/>
          <w:sz w:val="32"/>
          <w:szCs w:val="32"/>
        </w:rPr>
      </w:pPr>
      <w:r>
        <w:rPr>
          <w:rFonts w:hint="eastAsia" w:ascii="仿宋" w:hAnsi="仿宋" w:eastAsia="仿宋"/>
          <w:sz w:val="32"/>
          <w:szCs w:val="32"/>
        </w:rPr>
        <w:t>　　（一）对设有禁止拍摄标志的区域或者文物进行拍摄；</w:t>
      </w:r>
    </w:p>
    <w:p>
      <w:pPr>
        <w:widowControl w:val="0"/>
        <w:spacing w:line="600" w:lineRule="exact"/>
        <w:jc w:val="both"/>
        <w:rPr>
          <w:rFonts w:ascii="仿宋" w:hAnsi="仿宋" w:eastAsia="仿宋"/>
          <w:sz w:val="32"/>
          <w:szCs w:val="32"/>
        </w:rPr>
      </w:pPr>
      <w:r>
        <w:rPr>
          <w:rFonts w:hint="eastAsia" w:ascii="仿宋" w:hAnsi="仿宋" w:eastAsia="仿宋"/>
          <w:sz w:val="32"/>
          <w:szCs w:val="32"/>
        </w:rPr>
        <w:t>　　（二）在文物建筑物、构筑物上涂污、刻画、攀爬、张贴；</w:t>
      </w:r>
    </w:p>
    <w:p>
      <w:pPr>
        <w:widowControl w:val="0"/>
        <w:spacing w:line="600" w:lineRule="exact"/>
        <w:jc w:val="both"/>
        <w:rPr>
          <w:rFonts w:ascii="仿宋" w:hAnsi="仿宋" w:eastAsia="仿宋"/>
          <w:sz w:val="32"/>
          <w:szCs w:val="32"/>
        </w:rPr>
      </w:pPr>
      <w:r>
        <w:rPr>
          <w:rFonts w:hint="eastAsia" w:ascii="仿宋" w:hAnsi="仿宋" w:eastAsia="仿宋"/>
          <w:sz w:val="32"/>
          <w:szCs w:val="32"/>
        </w:rPr>
        <w:t>　　（三）违规倾倒、堆放垃圾和排污、排水；</w:t>
      </w:r>
    </w:p>
    <w:p>
      <w:pPr>
        <w:widowControl w:val="0"/>
        <w:spacing w:line="600" w:lineRule="exact"/>
        <w:jc w:val="both"/>
        <w:rPr>
          <w:rFonts w:ascii="仿宋" w:hAnsi="仿宋" w:eastAsia="仿宋"/>
          <w:sz w:val="32"/>
          <w:szCs w:val="32"/>
        </w:rPr>
      </w:pPr>
      <w:r>
        <w:rPr>
          <w:rFonts w:hint="eastAsia" w:ascii="仿宋" w:hAnsi="仿宋" w:eastAsia="仿宋"/>
          <w:sz w:val="32"/>
          <w:szCs w:val="32"/>
        </w:rPr>
        <w:t>　　（四）修墓、立碑；</w:t>
      </w:r>
    </w:p>
    <w:p>
      <w:pPr>
        <w:widowControl w:val="0"/>
        <w:spacing w:line="600" w:lineRule="exact"/>
        <w:jc w:val="both"/>
        <w:rPr>
          <w:rFonts w:ascii="仿宋" w:hAnsi="仿宋" w:eastAsia="仿宋"/>
          <w:sz w:val="32"/>
          <w:szCs w:val="32"/>
        </w:rPr>
      </w:pPr>
      <w:r>
        <w:rPr>
          <w:rFonts w:hint="eastAsia" w:ascii="仿宋" w:hAnsi="仿宋" w:eastAsia="仿宋"/>
          <w:sz w:val="32"/>
          <w:szCs w:val="32"/>
        </w:rPr>
        <w:t>　　（五）擅自建房、建窑、打井、挖塘、挖洞、挖渠、取土、垦荒等；</w:t>
      </w:r>
    </w:p>
    <w:p>
      <w:pPr>
        <w:widowControl w:val="0"/>
        <w:spacing w:line="600" w:lineRule="exact"/>
        <w:jc w:val="both"/>
        <w:rPr>
          <w:rFonts w:ascii="仿宋" w:hAnsi="仿宋" w:eastAsia="仿宋"/>
          <w:sz w:val="32"/>
          <w:szCs w:val="32"/>
        </w:rPr>
      </w:pPr>
      <w:r>
        <w:rPr>
          <w:rFonts w:hint="eastAsia" w:ascii="仿宋" w:hAnsi="仿宋" w:eastAsia="仿宋"/>
          <w:sz w:val="32"/>
          <w:szCs w:val="32"/>
        </w:rPr>
        <w:t>　　（六）存放易燃、易爆、腐蚀性等危害遗址安全的物品；</w:t>
      </w:r>
    </w:p>
    <w:p>
      <w:pPr>
        <w:widowControl w:val="0"/>
        <w:spacing w:line="600" w:lineRule="exact"/>
        <w:jc w:val="both"/>
        <w:rPr>
          <w:rFonts w:ascii="仿宋" w:hAnsi="仿宋" w:eastAsia="仿宋"/>
          <w:sz w:val="32"/>
          <w:szCs w:val="32"/>
        </w:rPr>
      </w:pPr>
      <w:r>
        <w:rPr>
          <w:rFonts w:hint="eastAsia" w:ascii="仿宋" w:hAnsi="仿宋" w:eastAsia="仿宋"/>
          <w:sz w:val="32"/>
          <w:szCs w:val="32"/>
        </w:rPr>
        <w:t>　　（七）擅自采集文物；</w:t>
      </w:r>
    </w:p>
    <w:p>
      <w:pPr>
        <w:widowControl w:val="0"/>
        <w:spacing w:line="600" w:lineRule="exact"/>
        <w:jc w:val="both"/>
        <w:rPr>
          <w:rFonts w:ascii="仿宋" w:hAnsi="仿宋" w:eastAsia="仿宋"/>
          <w:sz w:val="32"/>
          <w:szCs w:val="32"/>
        </w:rPr>
      </w:pPr>
      <w:r>
        <w:rPr>
          <w:rFonts w:hint="eastAsia" w:ascii="仿宋" w:hAnsi="仿宋" w:eastAsia="仿宋"/>
          <w:sz w:val="32"/>
          <w:szCs w:val="32"/>
        </w:rPr>
        <w:t>　　（八）其他危害遗址安全的行为。</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仿宋" w:hAnsi="仿宋" w:eastAsia="仿宋"/>
          <w:sz w:val="32"/>
          <w:szCs w:val="32"/>
        </w:rPr>
        <w:t xml:space="preserve"> 在大运河重要遗产保护范围内，不得进行与遗址保护无关的工程建设或者爆破、钻探、挖掘等作业。确需进行工程建设的，应当符合洛阳市大运河遗产保护规划，并依法履行报批程序。</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 xml:space="preserve">第十三条 </w:t>
      </w:r>
      <w:r>
        <w:rPr>
          <w:rFonts w:hint="eastAsia" w:ascii="仿宋" w:hAnsi="仿宋" w:eastAsia="仿宋"/>
          <w:sz w:val="32"/>
          <w:szCs w:val="32"/>
        </w:rPr>
        <w:t>在大运河重要遗产建设控制地带内进行工程建设时，应当符合洛阳市大运河遗产保护规划，不得破坏大运河遗产的环境景观和历史风貌。</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仿宋" w:hAnsi="仿宋" w:eastAsia="仿宋"/>
          <w:sz w:val="32"/>
          <w:szCs w:val="32"/>
        </w:rPr>
        <w:t xml:space="preserve"> 违反本办法，有下列行为之一的，由市文物行政部门责令改正，情节严重的，按下列规定予以处罚：</w:t>
      </w:r>
    </w:p>
    <w:p>
      <w:pPr>
        <w:widowControl w:val="0"/>
        <w:spacing w:line="600" w:lineRule="exact"/>
        <w:jc w:val="both"/>
        <w:rPr>
          <w:rFonts w:ascii="仿宋" w:hAnsi="仿宋" w:eastAsia="仿宋"/>
          <w:sz w:val="32"/>
          <w:szCs w:val="32"/>
        </w:rPr>
      </w:pPr>
      <w:r>
        <w:rPr>
          <w:rFonts w:hint="eastAsia" w:ascii="仿宋" w:hAnsi="仿宋" w:eastAsia="仿宋"/>
          <w:sz w:val="32"/>
          <w:szCs w:val="32"/>
        </w:rPr>
        <w:t>　　（一）违反第十一条第（一）、（二）项规定的，处200元以下罚款；违反第十一条第（三）、（四）项规定的，处500元以上2000元以下罚款；违反第十一条第（五）、（六）项规定的，处2000元以上10000元以下罚款；违反第十一条第（七）项规定的，处5000元以上50000元以下罚款。</w:t>
      </w:r>
    </w:p>
    <w:p>
      <w:pPr>
        <w:widowControl w:val="0"/>
        <w:spacing w:line="600" w:lineRule="exact"/>
        <w:jc w:val="both"/>
        <w:rPr>
          <w:rFonts w:ascii="仿宋" w:hAnsi="仿宋" w:eastAsia="仿宋"/>
          <w:sz w:val="32"/>
          <w:szCs w:val="32"/>
        </w:rPr>
      </w:pPr>
      <w:r>
        <w:rPr>
          <w:rFonts w:hint="eastAsia" w:ascii="仿宋" w:hAnsi="仿宋" w:eastAsia="仿宋"/>
          <w:sz w:val="32"/>
          <w:szCs w:val="32"/>
        </w:rPr>
        <w:t>　　（二）违反第十二条规定，在大运河遗产保护范围内进行与遗址保护无关的工程建设或者爆破、钻探、挖掘等作业，危害遗址安全的，对大运河遗产本体和历史风貌造成破坏的，处50000元以上500000元以下罚款。</w:t>
      </w:r>
    </w:p>
    <w:p>
      <w:pPr>
        <w:widowControl w:val="0"/>
        <w:spacing w:line="600" w:lineRule="exact"/>
        <w:jc w:val="both"/>
        <w:rPr>
          <w:rFonts w:ascii="仿宋" w:hAnsi="仿宋" w:eastAsia="仿宋"/>
          <w:sz w:val="32"/>
          <w:szCs w:val="32"/>
        </w:rPr>
      </w:pPr>
      <w:r>
        <w:rPr>
          <w:rFonts w:hint="eastAsia" w:ascii="仿宋" w:hAnsi="仿宋" w:eastAsia="仿宋"/>
          <w:sz w:val="32"/>
          <w:szCs w:val="32"/>
        </w:rPr>
        <w:t>　　（三）违反第十三条规定的，在建设控制地带内进行工程建设时，工程设计方案未履行报批手续，对大运河遗产本体和历史风貌造成破坏的，处50000元以上500000元以下罚款。</w:t>
      </w:r>
    </w:p>
    <w:p>
      <w:pPr>
        <w:widowControl w:val="0"/>
        <w:spacing w:line="600" w:lineRule="exact"/>
        <w:jc w:val="both"/>
        <w:rPr>
          <w:rFonts w:ascii="仿宋" w:hAnsi="仿宋" w:eastAsia="仿宋"/>
          <w:sz w:val="32"/>
          <w:szCs w:val="32"/>
        </w:rPr>
      </w:pPr>
      <w:r>
        <w:rPr>
          <w:rFonts w:hint="eastAsia" w:ascii="仿宋" w:hAnsi="仿宋" w:eastAsia="仿宋"/>
          <w:sz w:val="32"/>
          <w:szCs w:val="32"/>
        </w:rPr>
        <w:t>　　违反本办法，对遗址及其保护设施造成损坏的，应当赔偿损失。因工程建设施工对大运河遗产本体和历史风貌造成破坏的，责令拆除违法建筑或者构筑物、恢复遗址原状，对相关的责任人给予行政处分；构成犯罪的，依法追究刑事责任。</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仿宋" w:hAnsi="仿宋" w:eastAsia="仿宋"/>
          <w:sz w:val="32"/>
          <w:szCs w:val="32"/>
        </w:rPr>
        <w:t xml:space="preserve"> 有关行政机关不履行职责的，由上级行政机关责令改正，通报批评；对负有责任的主管人员和其他直接责任人员，由主管机关依法给予处分。</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　第十六条</w:t>
      </w:r>
      <w:r>
        <w:rPr>
          <w:rFonts w:hint="eastAsia" w:ascii="仿宋" w:hAnsi="仿宋" w:eastAsia="仿宋"/>
          <w:sz w:val="32"/>
          <w:szCs w:val="32"/>
        </w:rPr>
        <w:t xml:space="preserve"> 本办法自2012年11月1日起施行。</w:t>
      </w:r>
    </w:p>
    <w:p>
      <w:pPr>
        <w:widowControl w:val="0"/>
        <w:adjustRightInd w:val="0"/>
        <w:snapToGrid w:val="0"/>
        <w:spacing w:line="600" w:lineRule="exact"/>
        <w:jc w:val="both"/>
        <w:rPr>
          <w:rFonts w:ascii="方正书宋简体" w:hAnsi="方正书宋简体" w:eastAsia="仿宋_GB2312"/>
          <w:color w:val="000000"/>
          <w:sz w:val="31"/>
          <w:szCs w:val="31"/>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0000000000000000000"/>
    <w:charset w:val="86"/>
    <w:family w:val="auto"/>
    <w:pitch w:val="default"/>
    <w:sig w:usb0="00000000" w:usb1="00000000"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简体">
    <w:altName w:val="方正书宋_GBK"/>
    <w:panose1 w:val="00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洛阳市人民政府发布     </w:t>
    </w:r>
  </w:p>
  <w:p>
    <w:pPr>
      <w:pStyle w:val="6"/>
      <w:wordWrap w:val="0"/>
      <w:ind w:left="5016"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洛阳市人民政府规章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5C1CC1"/>
    <w:rsid w:val="008B0E03"/>
    <w:rsid w:val="009752D0"/>
    <w:rsid w:val="00C35C96"/>
    <w:rsid w:val="00E8433D"/>
    <w:rsid w:val="014F1769"/>
    <w:rsid w:val="019E71BD"/>
    <w:rsid w:val="01AA7D1B"/>
    <w:rsid w:val="05440955"/>
    <w:rsid w:val="066E5641"/>
    <w:rsid w:val="06A67E67"/>
    <w:rsid w:val="072A4DC9"/>
    <w:rsid w:val="080F63D8"/>
    <w:rsid w:val="09341458"/>
    <w:rsid w:val="09553C02"/>
    <w:rsid w:val="0CE65B2C"/>
    <w:rsid w:val="0D5C5CF8"/>
    <w:rsid w:val="101F0538"/>
    <w:rsid w:val="10254BD6"/>
    <w:rsid w:val="129E7932"/>
    <w:rsid w:val="13A23C39"/>
    <w:rsid w:val="152D2DCA"/>
    <w:rsid w:val="1BEB25F4"/>
    <w:rsid w:val="1C86388D"/>
    <w:rsid w:val="1E466CFF"/>
    <w:rsid w:val="22440422"/>
    <w:rsid w:val="23F13B42"/>
    <w:rsid w:val="287C616C"/>
    <w:rsid w:val="2FCE575A"/>
    <w:rsid w:val="2FFC7EDE"/>
    <w:rsid w:val="31A15F24"/>
    <w:rsid w:val="33B4E133"/>
    <w:rsid w:val="39A232A0"/>
    <w:rsid w:val="3A1C636B"/>
    <w:rsid w:val="3B5A6BBB"/>
    <w:rsid w:val="3BE16DE7"/>
    <w:rsid w:val="3DE37719"/>
    <w:rsid w:val="3E0E7999"/>
    <w:rsid w:val="3EDA13A6"/>
    <w:rsid w:val="3F5730EA"/>
    <w:rsid w:val="422F3AC0"/>
    <w:rsid w:val="42F058B7"/>
    <w:rsid w:val="436109F6"/>
    <w:rsid w:val="441A38D4"/>
    <w:rsid w:val="474E2EF2"/>
    <w:rsid w:val="49B91357"/>
    <w:rsid w:val="4AEC52E8"/>
    <w:rsid w:val="4BC77339"/>
    <w:rsid w:val="4C9236C5"/>
    <w:rsid w:val="4DA56B39"/>
    <w:rsid w:val="4E2A37E2"/>
    <w:rsid w:val="50414CBD"/>
    <w:rsid w:val="51917A92"/>
    <w:rsid w:val="51E247E8"/>
    <w:rsid w:val="52651A57"/>
    <w:rsid w:val="526F08CC"/>
    <w:rsid w:val="52F46F0B"/>
    <w:rsid w:val="53451362"/>
    <w:rsid w:val="536B4720"/>
    <w:rsid w:val="55274B4C"/>
    <w:rsid w:val="55E064E0"/>
    <w:rsid w:val="561610C0"/>
    <w:rsid w:val="5A4F3EF9"/>
    <w:rsid w:val="5D0D7ECB"/>
    <w:rsid w:val="608816D1"/>
    <w:rsid w:val="69D03F98"/>
    <w:rsid w:val="6BF75DB0"/>
    <w:rsid w:val="6C180134"/>
    <w:rsid w:val="6D0E3F22"/>
    <w:rsid w:val="70AF1C83"/>
    <w:rsid w:val="714A2531"/>
    <w:rsid w:val="71C61E01"/>
    <w:rsid w:val="71E9213F"/>
    <w:rsid w:val="72033F1C"/>
    <w:rsid w:val="74715A96"/>
    <w:rsid w:val="75AA717D"/>
    <w:rsid w:val="77442FAF"/>
    <w:rsid w:val="7A7F1CB7"/>
    <w:rsid w:val="7C9011D9"/>
    <w:rsid w:val="7DC651C5"/>
    <w:rsid w:val="7F9F2A2C"/>
    <w:rsid w:val="BFFBC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微软雅黑" w:cs="Times New Roman"/>
      <w:color w:val="000000"/>
      <w:sz w:val="24"/>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semiHidden/>
    <w:unhideWhenUsed/>
    <w:qFormat/>
    <w:uiPriority w:val="99"/>
    <w:pPr>
      <w:spacing w:before="100" w:beforeAutospacing="1" w:after="100" w:afterAutospacing="1"/>
    </w:pPr>
    <w:rPr>
      <w:rFonts w:ascii="宋体" w:hAnsi="宋体" w:cs="宋体"/>
      <w:sz w:val="24"/>
      <w:szCs w:val="24"/>
    </w:rPr>
  </w:style>
  <w:style w:type="character" w:styleId="10">
    <w:name w:val="page number"/>
    <w:basedOn w:val="9"/>
    <w:qFormat/>
    <w:uiPriority w:val="0"/>
  </w:style>
  <w:style w:type="paragraph" w:customStyle="1" w:styleId="11">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link w:val="15"/>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一级标题（二号小标宋） Char"/>
    <w:basedOn w:val="9"/>
    <w:link w:val="12"/>
    <w:qFormat/>
    <w:uiPriority w:val="0"/>
    <w:rPr>
      <w:rFonts w:ascii="方正书宋简体" w:hAnsi="方正书宋简体" w:eastAsia="方正小标宋_GBK"/>
      <w:color w:val="000000"/>
      <w:sz w:val="42"/>
      <w:szCs w:val="42"/>
    </w:rPr>
  </w:style>
  <w:style w:type="paragraph" w:customStyle="1" w:styleId="16">
    <w:name w:val="p0"/>
    <w:basedOn w:val="1"/>
    <w:qFormat/>
    <w:uiPriority w:val="0"/>
    <w:pPr>
      <w:spacing w:before="100" w:beforeAutospacing="1" w:after="100" w:afterAutospacing="1"/>
    </w:pPr>
    <w:rPr>
      <w:rFonts w:ascii="宋体" w:hAnsi="宋体" w:cs="宋体"/>
      <w:sz w:val="24"/>
    </w:rPr>
  </w:style>
  <w:style w:type="character" w:customStyle="1" w:styleId="17">
    <w:name w:val="批注框文本 Char"/>
    <w:basedOn w:val="9"/>
    <w:link w:val="4"/>
    <w:qFormat/>
    <w:uiPriority w:val="0"/>
    <w:rPr>
      <w:rFonts w:ascii="Calibri" w:hAnsi="NEU-BZ"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Company>
  <Pages>5</Pages>
  <Words>1902</Words>
  <Characters>1965</Characters>
  <Lines>15</Lines>
  <Paragraphs>4</Paragraphs>
  <TotalTime>3</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greatwall</cp:lastModifiedBy>
  <cp:lastPrinted>2021-09-23T01:19:00Z</cp:lastPrinted>
  <dcterms:modified xsi:type="dcterms:W3CDTF">2021-11-26T10:59:15Z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