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rPr>
          <w:rFonts w:hint="eastAsia" w:ascii="方正书宋简体" w:hAnsi="方正书宋简体" w:eastAsia="仿宋_GB2312"/>
          <w:color w:val="000000"/>
          <w:sz w:val="31"/>
          <w:szCs w:val="31"/>
        </w:rPr>
      </w:pPr>
    </w:p>
    <w:p>
      <w:pPr>
        <w:widowControl w:val="0"/>
        <w:adjustRightInd w:val="0"/>
        <w:snapToGrid w:val="0"/>
        <w:spacing w:line="600" w:lineRule="exact"/>
        <w:rPr>
          <w:rFonts w:hint="eastAsia" w:ascii="方正书宋简体" w:hAnsi="方正书宋简体" w:eastAsia="仿宋_GB2312"/>
          <w:color w:val="000000"/>
          <w:sz w:val="31"/>
          <w:szCs w:val="31"/>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hAnsi="仿宋" w:eastAsia="仿宋"/>
          <w:sz w:val="32"/>
          <w:szCs w:val="32"/>
        </w:rPr>
      </w:pPr>
      <w:r>
        <w:rPr>
          <w:rFonts w:hint="eastAsia" w:asciiTheme="majorEastAsia" w:hAnsiTheme="majorEastAsia" w:eastAsiaTheme="majorEastAsia" w:cstheme="majorEastAsia"/>
          <w:kern w:val="0"/>
          <w:sz w:val="42"/>
          <w:szCs w:val="42"/>
        </w:rPr>
        <w:t>洛阳市建设工程使用预拌混凝土暂行规定</w:t>
      </w:r>
    </w:p>
    <w:p>
      <w:pPr>
        <w:keepNext w:val="0"/>
        <w:keepLines w:val="0"/>
        <w:pageBreakBefore w:val="0"/>
        <w:widowControl w:val="0"/>
        <w:kinsoku/>
        <w:wordWrap/>
        <w:overflowPunct/>
        <w:topLinePunct w:val="0"/>
        <w:autoSpaceDE/>
        <w:autoSpaceDN/>
        <w:bidi w:val="0"/>
        <w:spacing w:line="600" w:lineRule="exact"/>
        <w:ind w:firstLine="620" w:firstLineChars="200"/>
        <w:jc w:val="left"/>
        <w:textAlignment w:val="auto"/>
        <w:rPr>
          <w:rFonts w:hint="eastAsia" w:ascii="仿宋_GB2312" w:hAnsi="仿宋_GB2312" w:eastAsia="仿宋_GB2312" w:cs="仿宋_GB2312"/>
          <w:kern w:val="0"/>
          <w:sz w:val="31"/>
          <w:szCs w:val="31"/>
        </w:rPr>
      </w:pPr>
      <w:r>
        <w:rPr>
          <w:rFonts w:hint="eastAsia" w:ascii="仿宋_GB2312" w:hAnsi="仿宋_GB2312" w:eastAsia="仿宋_GB2312" w:cs="仿宋_GB2312"/>
          <w:kern w:val="0"/>
          <w:sz w:val="31"/>
          <w:szCs w:val="31"/>
        </w:rPr>
        <w:t>（1998年6月29日洛阳市人民政府令第34号公布</w:t>
      </w:r>
      <w:r>
        <w:rPr>
          <w:rFonts w:hint="eastAsia" w:ascii="仿宋_GB2312" w:hAnsi="仿宋_GB2312" w:eastAsia="仿宋_GB2312" w:cs="仿宋_GB2312"/>
          <w:kern w:val="0"/>
          <w:sz w:val="31"/>
          <w:szCs w:val="31"/>
          <w:lang w:val="en-US" w:eastAsia="zh-CN"/>
        </w:rPr>
        <w:t xml:space="preserve">  </w:t>
      </w:r>
      <w:r>
        <w:rPr>
          <w:rFonts w:hint="eastAsia" w:ascii="仿宋_GB2312" w:hAnsi="仿宋_GB2312" w:eastAsia="仿宋_GB2312" w:cs="仿宋_GB2312"/>
          <w:kern w:val="0"/>
          <w:sz w:val="31"/>
          <w:szCs w:val="31"/>
        </w:rPr>
        <w:t>2005年7月26日洛阳市人民政府令第75号第一次修正</w:t>
      </w:r>
      <w:r>
        <w:rPr>
          <w:rFonts w:hint="eastAsia" w:ascii="仿宋_GB2312" w:hAnsi="仿宋_GB2312" w:eastAsia="仿宋_GB2312" w:cs="仿宋_GB2312"/>
          <w:kern w:val="0"/>
          <w:sz w:val="31"/>
          <w:szCs w:val="31"/>
          <w:lang w:val="en-US" w:eastAsia="zh-CN"/>
        </w:rPr>
        <w:t xml:space="preserve">  </w:t>
      </w:r>
      <w:r>
        <w:rPr>
          <w:rFonts w:hint="eastAsia" w:ascii="仿宋_GB2312" w:hAnsi="仿宋_GB2312" w:eastAsia="仿宋_GB2312" w:cs="仿宋_GB2312"/>
          <w:kern w:val="0"/>
          <w:sz w:val="31"/>
          <w:szCs w:val="31"/>
        </w:rPr>
        <w:t>2010年11月12日洛阳市人民政府令第110号第二次修正</w:t>
      </w:r>
      <w:r>
        <w:rPr>
          <w:rFonts w:hint="eastAsia" w:ascii="仿宋_GB2312" w:hAnsi="仿宋_GB2312" w:eastAsia="仿宋_GB2312" w:cs="仿宋_GB2312"/>
          <w:kern w:val="0"/>
          <w:sz w:val="31"/>
          <w:szCs w:val="31"/>
          <w:lang w:val="en-US" w:eastAsia="zh-CN"/>
        </w:rPr>
        <w:t xml:space="preserve">  </w:t>
      </w:r>
      <w:r>
        <w:rPr>
          <w:rFonts w:hint="eastAsia" w:ascii="仿宋_GB2312" w:hAnsi="仿宋_GB2312" w:eastAsia="仿宋_GB2312" w:cs="仿宋_GB2312"/>
          <w:kern w:val="0"/>
          <w:sz w:val="31"/>
          <w:szCs w:val="31"/>
        </w:rPr>
        <w:t>2018年1月31日洛阳市人民政府令第129号第三次修正）</w:t>
      </w:r>
    </w:p>
    <w:p>
      <w:pPr>
        <w:spacing w:line="600" w:lineRule="exact"/>
        <w:rPr>
          <w:rFonts w:hint="eastAsia" w:ascii="仿宋_GB2312" w:hAnsi="仿宋_GB2312" w:eastAsia="仿宋_GB2312" w:cs="仿宋_GB2312"/>
          <w:sz w:val="31"/>
          <w:szCs w:val="31"/>
        </w:rPr>
      </w:pPr>
      <w:bookmarkStart w:id="0" w:name="_GoBack"/>
      <w:bookmarkEnd w:id="0"/>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第一条</w:t>
      </w:r>
      <w:r>
        <w:rPr>
          <w:rFonts w:hint="eastAsia" w:ascii="仿宋" w:hAnsi="仿宋" w:eastAsia="仿宋"/>
          <w:sz w:val="32"/>
          <w:szCs w:val="32"/>
        </w:rPr>
        <w:t xml:space="preserve"> 为提高建筑业现代化水平，保证工程质量，减少环境污染，根据国家和省有关规定，结合我市实际，制定本规定。</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第二条</w:t>
      </w:r>
      <w:r>
        <w:rPr>
          <w:rFonts w:hint="eastAsia" w:ascii="仿宋" w:hAnsi="仿宋" w:eastAsia="仿宋"/>
          <w:sz w:val="32"/>
          <w:szCs w:val="32"/>
        </w:rPr>
        <w:t xml:space="preserve"> 本规定所称预拌混凝土，是指对混凝土的组分材料实行集中搅拌，以商品形式供给建设工程使用的混凝土拌合物。</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第三条</w:t>
      </w:r>
      <w:r>
        <w:rPr>
          <w:rFonts w:hint="eastAsia" w:ascii="仿宋" w:hAnsi="仿宋" w:eastAsia="仿宋"/>
          <w:sz w:val="32"/>
          <w:szCs w:val="32"/>
        </w:rPr>
        <w:t xml:space="preserve"> 市住房和城乡建设委员会是本市预拌混凝土的行政主管部门，负责制定推广使用预拌混凝土发展规划、建设布点和监督管理工作。</w:t>
      </w:r>
    </w:p>
    <w:p>
      <w:pPr>
        <w:spacing w:line="600" w:lineRule="exact"/>
        <w:rPr>
          <w:rFonts w:ascii="仿宋" w:hAnsi="仿宋" w:eastAsia="仿宋"/>
          <w:sz w:val="32"/>
          <w:szCs w:val="32"/>
        </w:rPr>
      </w:pPr>
      <w:r>
        <w:rPr>
          <w:rFonts w:hint="eastAsia" w:ascii="仿宋" w:hAnsi="仿宋" w:eastAsia="仿宋"/>
          <w:sz w:val="32"/>
          <w:szCs w:val="32"/>
        </w:rPr>
        <w:t>　　市发展和改革、国土资源、城乡规划、环境保护等部门应当依照各自的职责，积极配合，共同做好推广使用预拌混凝土工作。</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第四条</w:t>
      </w:r>
      <w:r>
        <w:rPr>
          <w:rFonts w:hint="eastAsia" w:ascii="仿宋" w:hAnsi="仿宋" w:eastAsia="仿宋"/>
          <w:sz w:val="32"/>
          <w:szCs w:val="32"/>
        </w:rPr>
        <w:t xml:space="preserve"> 全市市区以及县城建成区的建设工程项目，应当使用预拌混凝土，禁止在施工现场搅拌混凝土。</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第五条</w:t>
      </w:r>
      <w:r>
        <w:rPr>
          <w:rFonts w:hint="eastAsia" w:ascii="仿宋" w:hAnsi="仿宋" w:eastAsia="仿宋"/>
          <w:sz w:val="32"/>
          <w:szCs w:val="32"/>
        </w:rPr>
        <w:t xml:space="preserve"> 设立预拌混凝土生产企业，应当符合城市规划、行业发展规划及环保要求。</w:t>
      </w:r>
    </w:p>
    <w:p>
      <w:pPr>
        <w:spacing w:line="600" w:lineRule="exact"/>
        <w:rPr>
          <w:rFonts w:ascii="仿宋" w:hAnsi="仿宋" w:eastAsia="仿宋"/>
          <w:sz w:val="32"/>
          <w:szCs w:val="32"/>
        </w:rPr>
      </w:pPr>
      <w:r>
        <w:rPr>
          <w:rFonts w:hint="eastAsia" w:ascii="仿宋" w:hAnsi="仿宋" w:eastAsia="仿宋"/>
          <w:sz w:val="32"/>
          <w:szCs w:val="32"/>
        </w:rPr>
        <w:t>　　预拌混凝土生产企业应当具备国家规定的资质，接受市建设行政主管部门的监督检查。</w:t>
      </w:r>
    </w:p>
    <w:p>
      <w:pPr>
        <w:spacing w:line="600" w:lineRule="exact"/>
        <w:rPr>
          <w:rFonts w:ascii="仿宋" w:hAnsi="仿宋" w:eastAsia="仿宋"/>
          <w:sz w:val="32"/>
          <w:szCs w:val="32"/>
        </w:rPr>
      </w:pPr>
      <w:r>
        <w:rPr>
          <w:rFonts w:hint="eastAsia" w:ascii="仿宋" w:hAnsi="仿宋" w:eastAsia="仿宋"/>
          <w:sz w:val="32"/>
          <w:szCs w:val="32"/>
        </w:rPr>
        <w:t>　　未取得资质证书和营业执照的预拌混凝土生产企业，不得向社会出售预拌混凝土。</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第六条</w:t>
      </w:r>
      <w:r>
        <w:rPr>
          <w:rFonts w:hint="eastAsia" w:ascii="仿宋" w:hAnsi="仿宋" w:eastAsia="仿宋"/>
          <w:sz w:val="32"/>
          <w:szCs w:val="32"/>
        </w:rPr>
        <w:t xml:space="preserve"> 预拌混凝土生产企业必须设置与其资质相适应的试验室，建立健全技术管理制度和质量保证体系，定期对原材料进行质量检测和混凝土拌合物的各项性能检测，严格把好质量关。</w:t>
      </w:r>
    </w:p>
    <w:p>
      <w:pPr>
        <w:spacing w:line="600" w:lineRule="exact"/>
        <w:rPr>
          <w:rFonts w:ascii="仿宋" w:hAnsi="仿宋" w:eastAsia="仿宋"/>
          <w:sz w:val="32"/>
          <w:szCs w:val="32"/>
        </w:rPr>
      </w:pPr>
      <w:r>
        <w:rPr>
          <w:rFonts w:hint="eastAsia" w:ascii="仿宋" w:hAnsi="仿宋" w:eastAsia="仿宋"/>
          <w:sz w:val="32"/>
          <w:szCs w:val="32"/>
        </w:rPr>
        <w:t>　　预拌混凝土生产企业应当接受工程质量监督机构对其产品质量的监督检查。</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第七条</w:t>
      </w:r>
      <w:r>
        <w:rPr>
          <w:rFonts w:hint="eastAsia" w:ascii="仿宋" w:hAnsi="仿宋" w:eastAsia="仿宋"/>
          <w:sz w:val="32"/>
          <w:szCs w:val="32"/>
        </w:rPr>
        <w:t xml:space="preserve"> 预拌混凝土的供应价格实行政府指导价，由市工程造价管理机构按国家有关规定测算公布。</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第八条</w:t>
      </w:r>
      <w:r>
        <w:rPr>
          <w:rFonts w:hint="eastAsia" w:ascii="仿宋" w:hAnsi="仿宋" w:eastAsia="仿宋"/>
          <w:sz w:val="32"/>
          <w:szCs w:val="32"/>
        </w:rPr>
        <w:t xml:space="preserve"> 预拌混凝土生产企业必须与使用单位签订书面供需合同。供需双方应当严格履行合同约定的义务，否则，应当按法律规定和合同约定承担违约责任。</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第九条</w:t>
      </w:r>
      <w:r>
        <w:rPr>
          <w:rFonts w:hint="eastAsia" w:ascii="仿宋" w:hAnsi="仿宋" w:eastAsia="仿宋"/>
          <w:sz w:val="32"/>
          <w:szCs w:val="32"/>
        </w:rPr>
        <w:t xml:space="preserve"> 符合下列条件之一的，建设单位向市建设行政主管部门书面报告后，可以在施工现场搅拌混凝土：</w:t>
      </w:r>
    </w:p>
    <w:p>
      <w:pPr>
        <w:spacing w:line="600" w:lineRule="exact"/>
        <w:rPr>
          <w:rFonts w:ascii="仿宋" w:hAnsi="仿宋" w:eastAsia="仿宋"/>
          <w:sz w:val="32"/>
          <w:szCs w:val="32"/>
        </w:rPr>
      </w:pPr>
      <w:r>
        <w:rPr>
          <w:rFonts w:hint="eastAsia" w:ascii="仿宋" w:hAnsi="仿宋" w:eastAsia="仿宋"/>
          <w:sz w:val="32"/>
          <w:szCs w:val="32"/>
        </w:rPr>
        <w:t>　　（一）因道路交通原因，运送预拌混凝土的专用车辆无法到达施工现场的；</w:t>
      </w:r>
    </w:p>
    <w:p>
      <w:pPr>
        <w:spacing w:line="600" w:lineRule="exact"/>
        <w:rPr>
          <w:rFonts w:ascii="仿宋" w:hAnsi="仿宋" w:eastAsia="仿宋"/>
          <w:sz w:val="32"/>
          <w:szCs w:val="32"/>
        </w:rPr>
      </w:pPr>
      <w:r>
        <w:rPr>
          <w:rFonts w:hint="eastAsia" w:ascii="仿宋" w:hAnsi="仿宋" w:eastAsia="仿宋"/>
          <w:sz w:val="32"/>
          <w:szCs w:val="32"/>
        </w:rPr>
        <w:t>　　（二）因建设工程的特殊需要，预拌混凝土生产企业无法生产的；</w:t>
      </w:r>
    </w:p>
    <w:p>
      <w:pPr>
        <w:spacing w:line="600" w:lineRule="exact"/>
        <w:rPr>
          <w:rFonts w:ascii="仿宋" w:hAnsi="仿宋" w:eastAsia="仿宋"/>
          <w:sz w:val="32"/>
          <w:szCs w:val="32"/>
        </w:rPr>
      </w:pPr>
      <w:r>
        <w:rPr>
          <w:rFonts w:hint="eastAsia" w:ascii="仿宋" w:hAnsi="仿宋" w:eastAsia="仿宋"/>
          <w:sz w:val="32"/>
          <w:szCs w:val="32"/>
        </w:rPr>
        <w:t>　　（三）因预拌混凝土生产企业的生产能力无法满足需要的；</w:t>
      </w:r>
    </w:p>
    <w:p>
      <w:pPr>
        <w:spacing w:line="600" w:lineRule="exact"/>
        <w:rPr>
          <w:rFonts w:ascii="仿宋" w:hAnsi="仿宋" w:eastAsia="仿宋"/>
          <w:sz w:val="32"/>
          <w:szCs w:val="32"/>
        </w:rPr>
      </w:pPr>
      <w:r>
        <w:rPr>
          <w:rFonts w:hint="eastAsia" w:ascii="仿宋" w:hAnsi="仿宋" w:eastAsia="仿宋"/>
          <w:sz w:val="32"/>
          <w:szCs w:val="32"/>
        </w:rPr>
        <w:t>　　（四）其他确需在施工现场搅拌的。</w:t>
      </w:r>
    </w:p>
    <w:p>
      <w:pPr>
        <w:spacing w:line="600" w:lineRule="exact"/>
        <w:rPr>
          <w:rFonts w:ascii="仿宋" w:hAnsi="仿宋" w:eastAsia="仿宋"/>
          <w:sz w:val="32"/>
          <w:szCs w:val="32"/>
        </w:rPr>
      </w:pPr>
      <w:r>
        <w:rPr>
          <w:rFonts w:hint="eastAsia" w:ascii="仿宋" w:hAnsi="仿宋" w:eastAsia="仿宋"/>
          <w:sz w:val="32"/>
          <w:szCs w:val="32"/>
        </w:rPr>
        <w:t>　　施工现场搅拌混凝土必须符合环保规定，做到不扰民、少扰民。</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预拌混凝土搅拌运输车辆属于工程特种用车，由公安交通部门核发特种用车通行证。</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第十一条</w:t>
      </w:r>
      <w:r>
        <w:rPr>
          <w:rFonts w:hint="eastAsia" w:ascii="仿宋" w:hAnsi="仿宋" w:eastAsia="仿宋"/>
          <w:sz w:val="32"/>
          <w:szCs w:val="32"/>
        </w:rPr>
        <w:t xml:space="preserve"> 市建设行政主管部门应当严格执行预拌混凝土生产企业资质管理规定，并制定相应的质量管理措施，对预拌混凝土的质量进行严格检查管理。对生产不合格产品的企业，责令改正，并依法处以罚款；存在严重质量问题，影响建筑安全的，要追究其法律责任。</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第十二条</w:t>
      </w:r>
      <w:r>
        <w:rPr>
          <w:rFonts w:hint="eastAsia" w:ascii="仿宋" w:hAnsi="仿宋" w:eastAsia="仿宋"/>
          <w:sz w:val="32"/>
          <w:szCs w:val="32"/>
        </w:rPr>
        <w:t xml:space="preserve"> 未按第四条规定使用预拌混凝土或者不符合第九条规定条件在施工现场搅拌混凝土的单位和个人，由市建设行政主管部门责令限期改正并对建设单位按已浇注的混凝土的数量处以每立方米100元的罚款，但罚款总额不得超过3万元。</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第十三条</w:t>
      </w:r>
      <w:r>
        <w:rPr>
          <w:rFonts w:hint="eastAsia" w:ascii="仿宋" w:hAnsi="仿宋" w:eastAsia="仿宋"/>
          <w:sz w:val="32"/>
          <w:szCs w:val="32"/>
        </w:rPr>
        <w:t xml:space="preserve"> 行政处罚程序要严格按照《行政处罚法》进行；当事人对行政处罚决定不服的，可以依法申请复议或者向人民法院起诉。</w:t>
      </w:r>
    </w:p>
    <w:p>
      <w:pPr>
        <w:spacing w:line="600" w:lineRule="exact"/>
        <w:rPr>
          <w:rFonts w:ascii="仿宋" w:hAnsi="仿宋" w:eastAsia="仿宋"/>
          <w:sz w:val="32"/>
          <w:szCs w:val="32"/>
        </w:rPr>
      </w:pPr>
      <w:r>
        <w:rPr>
          <w:rFonts w:hint="eastAsia" w:ascii="仿宋" w:hAnsi="仿宋" w:eastAsia="仿宋"/>
          <w:sz w:val="32"/>
          <w:szCs w:val="32"/>
        </w:rPr>
        <w:t>　　</w:t>
      </w:r>
      <w:r>
        <w:rPr>
          <w:rFonts w:hint="eastAsia" w:ascii="黑体" w:hAnsi="黑体" w:eastAsia="黑体"/>
          <w:sz w:val="32"/>
          <w:szCs w:val="32"/>
        </w:rPr>
        <w:t>第十四条</w:t>
      </w:r>
      <w:r>
        <w:rPr>
          <w:rFonts w:hint="eastAsia" w:ascii="仿宋" w:hAnsi="仿宋" w:eastAsia="仿宋"/>
          <w:sz w:val="32"/>
          <w:szCs w:val="32"/>
        </w:rPr>
        <w:t xml:space="preserve"> 本规定自发布之日起施行。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书宋简体" w:hAnsi="方正书宋简体" w:eastAsia="仿宋_GB2312"/>
          <w:color w:val="00000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华文仿宋"/>
    <w:panose1 w:val="02010600010101010101"/>
    <w:charset w:val="86"/>
    <w:family w:val="auto"/>
    <w:pitch w:val="default"/>
    <w:sig w:usb0="00000000" w:usb1="00000000" w:usb2="00000016" w:usb3="00000000" w:csb0="00040001" w:csb1="00000000"/>
  </w:font>
  <w:font w:name="方正书宋简体">
    <w:altName w:val="方正书宋_GBK"/>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洛阳市</w:t>
    </w:r>
    <w:r>
      <w:rPr>
        <w:rFonts w:hint="eastAsia" w:ascii="宋体" w:hAnsi="宋体" w:eastAsia="宋体" w:cs="宋体"/>
        <w:b/>
        <w:bCs/>
        <w:color w:val="005192"/>
        <w:sz w:val="28"/>
        <w:szCs w:val="44"/>
        <w:lang w:val="en-US" w:eastAsia="zh-CN"/>
      </w:rPr>
      <w:t xml:space="preserve">人民政府发布     </w:t>
    </w:r>
  </w:p>
  <w:p>
    <w:pPr>
      <w:pStyle w:val="4"/>
      <w:wordWrap w:val="0"/>
      <w:ind w:left="5016"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洛阳市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5440955"/>
    <w:rsid w:val="066E5641"/>
    <w:rsid w:val="06A67E67"/>
    <w:rsid w:val="080F63D8"/>
    <w:rsid w:val="09006E92"/>
    <w:rsid w:val="09341458"/>
    <w:rsid w:val="09553C02"/>
    <w:rsid w:val="0CE65B2C"/>
    <w:rsid w:val="0D5C5CF8"/>
    <w:rsid w:val="0ED818A4"/>
    <w:rsid w:val="101F0538"/>
    <w:rsid w:val="10254BD6"/>
    <w:rsid w:val="129E7932"/>
    <w:rsid w:val="13A23C39"/>
    <w:rsid w:val="152D2DCA"/>
    <w:rsid w:val="1C86388D"/>
    <w:rsid w:val="1E466CFF"/>
    <w:rsid w:val="22440422"/>
    <w:rsid w:val="23F13B42"/>
    <w:rsid w:val="287C616C"/>
    <w:rsid w:val="2FCE575A"/>
    <w:rsid w:val="2FFC7EDE"/>
    <w:rsid w:val="31A15F24"/>
    <w:rsid w:val="39A232A0"/>
    <w:rsid w:val="3A1C636B"/>
    <w:rsid w:val="3B5A6BBB"/>
    <w:rsid w:val="3BE16DE7"/>
    <w:rsid w:val="3E0E7999"/>
    <w:rsid w:val="3EDA13A6"/>
    <w:rsid w:val="3EEE9B86"/>
    <w:rsid w:val="3F5730EA"/>
    <w:rsid w:val="3FFA134F"/>
    <w:rsid w:val="42F058B7"/>
    <w:rsid w:val="436109F6"/>
    <w:rsid w:val="441A38D4"/>
    <w:rsid w:val="474E2EF2"/>
    <w:rsid w:val="49B91357"/>
    <w:rsid w:val="4AEC52E8"/>
    <w:rsid w:val="4BC77339"/>
    <w:rsid w:val="4C9236C5"/>
    <w:rsid w:val="4E2A37E2"/>
    <w:rsid w:val="50414CBD"/>
    <w:rsid w:val="51E247E8"/>
    <w:rsid w:val="526F08CC"/>
    <w:rsid w:val="52F46F0B"/>
    <w:rsid w:val="55274B4C"/>
    <w:rsid w:val="55E064E0"/>
    <w:rsid w:val="5A290952"/>
    <w:rsid w:val="5A4F3EF9"/>
    <w:rsid w:val="5D0D7ECB"/>
    <w:rsid w:val="608816D1"/>
    <w:rsid w:val="69D03F98"/>
    <w:rsid w:val="6BF75DB0"/>
    <w:rsid w:val="6D0E3F22"/>
    <w:rsid w:val="70AF1C83"/>
    <w:rsid w:val="714A2531"/>
    <w:rsid w:val="71C61E01"/>
    <w:rsid w:val="71E9213F"/>
    <w:rsid w:val="75AA717D"/>
    <w:rsid w:val="77E7D37D"/>
    <w:rsid w:val="7C9011D9"/>
    <w:rsid w:val="7CFB3184"/>
    <w:rsid w:val="7DC651C5"/>
    <w:rsid w:val="7DFBC28B"/>
    <w:rsid w:val="7F4CC641"/>
    <w:rsid w:val="7FED60B9"/>
    <w:rsid w:val="F27D3CB3"/>
    <w:rsid w:val="FB4B8967"/>
    <w:rsid w:val="FDF776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0">
    <w:name w:val="一级标题（二号小标宋）"/>
    <w:basedOn w:val="1"/>
    <w:link w:val="13"/>
    <w:qFormat/>
    <w:uiPriority w:val="0"/>
    <w:pPr>
      <w:jc w:val="center"/>
    </w:pPr>
    <w:rPr>
      <w:rFonts w:ascii="方正书宋简体" w:hAnsi="方正书宋简体" w:eastAsia="方正小标宋_GBK"/>
      <w:color w:val="000000"/>
      <w:sz w:val="42"/>
      <w:szCs w:val="42"/>
    </w:rPr>
  </w:style>
  <w:style w:type="paragraph" w:customStyle="1" w:styleId="11">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2">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3">
    <w:name w:val="一级标题（二号小标宋） Char"/>
    <w:basedOn w:val="7"/>
    <w:link w:val="10"/>
    <w:qFormat/>
    <w:uiPriority w:val="0"/>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1313</Words>
  <Characters>1339</Characters>
  <Lines>0</Lines>
  <Paragraphs>0</Paragraphs>
  <TotalTime>5</TotalTime>
  <ScaleCrop>false</ScaleCrop>
  <LinksUpToDate>false</LinksUpToDate>
  <CharactersWithSpaces>1400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greatwall</cp:lastModifiedBy>
  <cp:lastPrinted>2021-09-23T09:19:00Z</cp:lastPrinted>
  <dcterms:modified xsi:type="dcterms:W3CDTF">2021-12-17T11:28:47Z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B2730C3DE4B44101801484FFB4A50383</vt:lpwstr>
  </property>
</Properties>
</file>