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opLinePunct/>
        <w:spacing w:line="360" w:lineRule="exact"/>
        <w:jc w:val="left"/>
        <w:rPr>
          <w:rFonts w:ascii="黑体" w:hAnsi="黑体" w:eastAsia="黑体" w:cs="黑体"/>
          <w:bCs/>
          <w:sz w:val="32"/>
          <w:szCs w:val="32"/>
        </w:rPr>
      </w:pPr>
      <w:bookmarkStart w:id="0" w:name="_Toc526326032"/>
    </w:p>
    <w:p>
      <w:pPr>
        <w:topLinePunct/>
        <w:spacing w:line="360" w:lineRule="exact"/>
        <w:jc w:val="left"/>
        <w:rPr>
          <w:rFonts w:ascii="黑体" w:hAnsi="黑体" w:eastAsia="黑体" w:cs="黑体"/>
          <w:bCs/>
          <w:sz w:val="32"/>
          <w:szCs w:val="32"/>
        </w:rPr>
      </w:pPr>
    </w:p>
    <w:bookmarkEnd w:id="0"/>
    <w:p>
      <w:pPr>
        <w:pStyle w:val="2"/>
        <w:rPr>
          <w:rFonts w:hint="eastAsia" w:asciiTheme="majorEastAsia" w:hAnsiTheme="majorEastAsia" w:eastAsiaTheme="majorEastAsia" w:cstheme="majorEastAsia"/>
          <w:bCs/>
          <w:szCs w:val="44"/>
        </w:rPr>
      </w:pPr>
      <w:r>
        <w:rPr>
          <w:rFonts w:hint="eastAsia" w:asciiTheme="majorEastAsia" w:hAnsiTheme="majorEastAsia" w:eastAsiaTheme="majorEastAsia" w:cstheme="majorEastAsia"/>
          <w:bCs/>
          <w:szCs w:val="44"/>
        </w:rPr>
        <w:t>洛阳市关于河南省“三散”污染治理专项督察组</w:t>
      </w:r>
    </w:p>
    <w:p>
      <w:pPr>
        <w:pStyle w:val="2"/>
        <w:rPr>
          <w:rFonts w:hint="eastAsia" w:asciiTheme="majorEastAsia" w:hAnsiTheme="majorEastAsia" w:eastAsiaTheme="majorEastAsia" w:cstheme="majorEastAsia"/>
          <w:bCs/>
          <w:szCs w:val="44"/>
        </w:rPr>
      </w:pPr>
      <w:r>
        <w:rPr>
          <w:rFonts w:hint="eastAsia" w:asciiTheme="majorEastAsia" w:hAnsiTheme="majorEastAsia" w:eastAsiaTheme="majorEastAsia" w:cstheme="majorEastAsia"/>
          <w:bCs/>
          <w:szCs w:val="44"/>
        </w:rPr>
        <w:t>交办问题调查处理情况的通报</w:t>
      </w:r>
    </w:p>
    <w:p>
      <w:pPr>
        <w:pStyle w:val="2"/>
        <w:rPr>
          <w:rFonts w:hint="eastAsia" w:ascii="Verdana" w:hAnsi="Verdana" w:eastAsia="宋体"/>
          <w:color w:val="4A4A4A"/>
          <w:sz w:val="24"/>
          <w:szCs w:val="24"/>
        </w:rPr>
      </w:pPr>
      <w:r>
        <w:rPr>
          <w:rFonts w:hint="eastAsia" w:ascii="楷体" w:hAnsi="楷体" w:eastAsia="楷体" w:cs="楷体"/>
          <w:bCs/>
          <w:szCs w:val="44"/>
        </w:rPr>
        <w:t>（第</w:t>
      </w:r>
      <w:r>
        <w:rPr>
          <w:rFonts w:hint="eastAsia" w:ascii="楷体" w:hAnsi="楷体" w:eastAsia="楷体" w:cs="楷体"/>
          <w:bCs/>
          <w:szCs w:val="44"/>
          <w:lang w:val="en-US" w:eastAsia="zh-CN"/>
        </w:rPr>
        <w:t>十二</w:t>
      </w:r>
      <w:r>
        <w:rPr>
          <w:rFonts w:hint="eastAsia" w:ascii="楷体" w:hAnsi="楷体" w:eastAsia="楷体" w:cs="楷体"/>
          <w:bCs/>
          <w:szCs w:val="44"/>
        </w:rPr>
        <w:t>批）</w:t>
      </w:r>
    </w:p>
    <w:p/>
    <w:tbl>
      <w:tblPr>
        <w:tblStyle w:val="7"/>
        <w:tblW w:w="14099" w:type="dxa"/>
        <w:jc w:val="center"/>
        <w:tblLayout w:type="fixed"/>
        <w:tblCellMar>
          <w:top w:w="0" w:type="dxa"/>
          <w:left w:w="57" w:type="dxa"/>
          <w:bottom w:w="0" w:type="dxa"/>
          <w:right w:w="57" w:type="dxa"/>
        </w:tblCellMar>
      </w:tblPr>
      <w:tblGrid>
        <w:gridCol w:w="594"/>
        <w:gridCol w:w="1759"/>
        <w:gridCol w:w="2100"/>
        <w:gridCol w:w="5318"/>
        <w:gridCol w:w="789"/>
        <w:gridCol w:w="2900"/>
        <w:gridCol w:w="639"/>
      </w:tblGrid>
      <w:tr>
        <w:tblPrEx>
          <w:tblCellMar>
            <w:top w:w="0" w:type="dxa"/>
            <w:left w:w="57" w:type="dxa"/>
            <w:bottom w:w="0" w:type="dxa"/>
            <w:right w:w="57" w:type="dxa"/>
          </w:tblCellMar>
        </w:tblPrEx>
        <w:trPr>
          <w:trHeight w:val="90" w:hRule="atLeast"/>
          <w:tblHeader/>
          <w:jc w:val="center"/>
        </w:trPr>
        <w:tc>
          <w:tcPr>
            <w:tcW w:w="594" w:type="dxa"/>
            <w:tcBorders>
              <w:top w:val="single" w:color="auto" w:sz="8" w:space="0"/>
              <w:left w:val="single" w:color="auto" w:sz="8"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eastAsiaTheme="minorEastAsia"/>
                <w:b/>
                <w:bCs/>
                <w:color w:val="auto"/>
                <w:kern w:val="0"/>
                <w:sz w:val="21"/>
                <w:szCs w:val="21"/>
              </w:rPr>
            </w:pPr>
            <w:r>
              <w:rPr>
                <w:rFonts w:hint="default" w:ascii="Times New Roman" w:hAnsi="Times New Roman" w:cs="Times New Roman" w:eastAsiaTheme="minorEastAsia"/>
                <w:b/>
                <w:bCs/>
                <w:color w:val="auto"/>
                <w:kern w:val="0"/>
                <w:sz w:val="21"/>
                <w:szCs w:val="21"/>
              </w:rPr>
              <w:t>序号</w:t>
            </w:r>
          </w:p>
        </w:tc>
        <w:tc>
          <w:tcPr>
            <w:tcW w:w="1759" w:type="dxa"/>
            <w:tcBorders>
              <w:top w:val="single" w:color="auto" w:sz="8" w:space="0"/>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eastAsiaTheme="minorEastAsia"/>
                <w:b/>
                <w:bCs/>
                <w:color w:val="auto"/>
                <w:kern w:val="0"/>
                <w:sz w:val="21"/>
                <w:szCs w:val="21"/>
              </w:rPr>
            </w:pPr>
            <w:r>
              <w:rPr>
                <w:rFonts w:hint="default" w:ascii="Times New Roman" w:hAnsi="Times New Roman" w:cs="Times New Roman" w:eastAsiaTheme="minorEastAsia"/>
                <w:b/>
                <w:bCs/>
                <w:color w:val="auto"/>
                <w:kern w:val="0"/>
                <w:sz w:val="21"/>
                <w:szCs w:val="21"/>
              </w:rPr>
              <w:t>受理编号</w:t>
            </w:r>
          </w:p>
        </w:tc>
        <w:tc>
          <w:tcPr>
            <w:tcW w:w="2100" w:type="dxa"/>
            <w:tcBorders>
              <w:top w:val="single" w:color="auto" w:sz="8" w:space="0"/>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eastAsiaTheme="minorEastAsia"/>
                <w:b/>
                <w:bCs/>
                <w:color w:val="auto"/>
                <w:kern w:val="0"/>
                <w:sz w:val="21"/>
                <w:szCs w:val="21"/>
              </w:rPr>
            </w:pPr>
            <w:r>
              <w:rPr>
                <w:rFonts w:hint="default" w:ascii="Times New Roman" w:hAnsi="Times New Roman" w:cs="Times New Roman" w:eastAsiaTheme="minorEastAsia"/>
                <w:b/>
                <w:bCs/>
                <w:color w:val="auto"/>
                <w:kern w:val="0"/>
                <w:sz w:val="21"/>
                <w:szCs w:val="21"/>
              </w:rPr>
              <w:t>生态环境信访问题</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eastAsiaTheme="minorEastAsia"/>
                <w:b/>
                <w:bCs/>
                <w:color w:val="auto"/>
                <w:kern w:val="0"/>
                <w:sz w:val="21"/>
                <w:szCs w:val="21"/>
              </w:rPr>
            </w:pPr>
            <w:r>
              <w:rPr>
                <w:rFonts w:hint="default" w:ascii="Times New Roman" w:hAnsi="Times New Roman" w:cs="Times New Roman" w:eastAsiaTheme="minorEastAsia"/>
                <w:b/>
                <w:bCs/>
                <w:color w:val="auto"/>
                <w:kern w:val="0"/>
                <w:sz w:val="21"/>
                <w:szCs w:val="21"/>
              </w:rPr>
              <w:t>具体内容</w:t>
            </w:r>
          </w:p>
        </w:tc>
        <w:tc>
          <w:tcPr>
            <w:tcW w:w="5318" w:type="dxa"/>
            <w:tcBorders>
              <w:top w:val="single" w:color="auto" w:sz="8" w:space="0"/>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eastAsiaTheme="minorEastAsia"/>
                <w:b/>
                <w:bCs/>
                <w:color w:val="auto"/>
                <w:kern w:val="0"/>
                <w:sz w:val="21"/>
                <w:szCs w:val="21"/>
              </w:rPr>
            </w:pPr>
            <w:r>
              <w:rPr>
                <w:rFonts w:hint="default" w:ascii="Times New Roman" w:hAnsi="Times New Roman" w:cs="Times New Roman" w:eastAsiaTheme="minorEastAsia"/>
                <w:b/>
                <w:bCs/>
                <w:color w:val="auto"/>
                <w:kern w:val="0"/>
                <w:sz w:val="21"/>
                <w:szCs w:val="21"/>
              </w:rPr>
              <w:t>调查核实情况</w:t>
            </w:r>
          </w:p>
        </w:tc>
        <w:tc>
          <w:tcPr>
            <w:tcW w:w="789" w:type="dxa"/>
            <w:tcBorders>
              <w:top w:val="single" w:color="auto" w:sz="8" w:space="0"/>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eastAsiaTheme="minorEastAsia"/>
                <w:b/>
                <w:bCs/>
                <w:color w:val="auto"/>
                <w:kern w:val="0"/>
                <w:sz w:val="21"/>
                <w:szCs w:val="21"/>
              </w:rPr>
            </w:pPr>
            <w:r>
              <w:rPr>
                <w:rFonts w:hint="default" w:ascii="Times New Roman" w:hAnsi="Times New Roman" w:cs="Times New Roman" w:eastAsiaTheme="minorEastAsia"/>
                <w:b/>
                <w:bCs/>
                <w:color w:val="auto"/>
                <w:kern w:val="0"/>
                <w:sz w:val="21"/>
                <w:szCs w:val="21"/>
              </w:rPr>
              <w:t>是否属实</w:t>
            </w:r>
          </w:p>
        </w:tc>
        <w:tc>
          <w:tcPr>
            <w:tcW w:w="2900" w:type="dxa"/>
            <w:tcBorders>
              <w:top w:val="single" w:color="auto" w:sz="8" w:space="0"/>
              <w:left w:val="nil"/>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eastAsiaTheme="minorEastAsia"/>
                <w:b/>
                <w:bCs/>
                <w:color w:val="auto"/>
                <w:kern w:val="0"/>
                <w:sz w:val="21"/>
                <w:szCs w:val="21"/>
              </w:rPr>
            </w:pPr>
            <w:r>
              <w:rPr>
                <w:rFonts w:hint="default" w:ascii="Times New Roman" w:hAnsi="Times New Roman" w:cs="Times New Roman" w:eastAsiaTheme="minorEastAsia"/>
                <w:b/>
                <w:bCs/>
                <w:color w:val="auto"/>
                <w:kern w:val="0"/>
                <w:sz w:val="21"/>
                <w:szCs w:val="21"/>
              </w:rPr>
              <w:t>处理处罚和问责情况</w:t>
            </w:r>
          </w:p>
        </w:tc>
        <w:tc>
          <w:tcPr>
            <w:tcW w:w="639" w:type="dxa"/>
            <w:tcBorders>
              <w:top w:val="single" w:color="auto" w:sz="8" w:space="0"/>
              <w:left w:val="nil"/>
              <w:bottom w:val="single" w:color="auto" w:sz="4" w:space="0"/>
              <w:right w:val="single" w:color="auto" w:sz="8"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eastAsiaTheme="minorEastAsia"/>
                <w:b/>
                <w:bCs/>
                <w:color w:val="auto"/>
                <w:kern w:val="0"/>
                <w:sz w:val="21"/>
                <w:szCs w:val="21"/>
              </w:rPr>
            </w:pPr>
            <w:r>
              <w:rPr>
                <w:rFonts w:hint="default" w:ascii="Times New Roman" w:hAnsi="Times New Roman" w:cs="Times New Roman" w:eastAsiaTheme="minorEastAsia"/>
                <w:b/>
                <w:bCs/>
                <w:color w:val="auto"/>
                <w:kern w:val="0"/>
                <w:sz w:val="21"/>
                <w:szCs w:val="21"/>
              </w:rPr>
              <w:t>备注</w:t>
            </w:r>
          </w:p>
        </w:tc>
      </w:tr>
      <w:tr>
        <w:tblPrEx>
          <w:tblCellMar>
            <w:top w:w="0" w:type="dxa"/>
            <w:left w:w="57" w:type="dxa"/>
            <w:bottom w:w="0" w:type="dxa"/>
            <w:right w:w="57" w:type="dxa"/>
          </w:tblCellMar>
        </w:tblPrEx>
        <w:trPr>
          <w:trHeight w:val="90" w:hRule="atLeast"/>
          <w:jc w:val="center"/>
        </w:trPr>
        <w:tc>
          <w:tcPr>
            <w:tcW w:w="594" w:type="dxa"/>
            <w:tcBorders>
              <w:top w:val="nil"/>
              <w:left w:val="single" w:color="auto" w:sz="8" w:space="0"/>
              <w:bottom w:val="single" w:color="auto" w:sz="4" w:space="0"/>
              <w:right w:val="single" w:color="auto" w:sz="4" w:space="0"/>
            </w:tcBorders>
            <w:vAlign w:val="center"/>
          </w:tcPr>
          <w:p>
            <w:pPr>
              <w:keepNext w:val="0"/>
              <w:keepLines w:val="0"/>
              <w:numPr>
                <w:ilvl w:val="0"/>
                <w:numId w:val="1"/>
              </w:numPr>
              <w:suppressLineNumbers w:val="0"/>
              <w:bidi w:val="0"/>
              <w:spacing w:before="0" w:beforeAutospacing="0" w:after="0" w:afterAutospacing="0"/>
              <w:ind w:left="454" w:leftChars="0" w:right="0" w:hanging="454" w:firstLineChars="0"/>
              <w:jc w:val="both"/>
              <w:rPr>
                <w:rFonts w:hint="default" w:ascii="Times New Roman" w:hAnsi="Times New Roman" w:cs="Times New Roman" w:eastAsiaTheme="minorEastAsia"/>
                <w:color w:val="auto"/>
                <w:kern w:val="2"/>
                <w:sz w:val="21"/>
                <w:szCs w:val="22"/>
                <w:lang w:val="en-US" w:eastAsia="zh-CN" w:bidi="ar-SA"/>
              </w:rPr>
            </w:pPr>
          </w:p>
        </w:tc>
        <w:tc>
          <w:tcPr>
            <w:tcW w:w="1759"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color w:val="0000FF"/>
                <w:kern w:val="2"/>
                <w:sz w:val="21"/>
                <w:szCs w:val="22"/>
                <w:lang w:val="en-US" w:eastAsia="zh-CN" w:bidi="ar-SA"/>
              </w:rPr>
            </w:pPr>
            <w:r>
              <w:rPr>
                <w:rFonts w:hint="eastAsia"/>
                <w:lang w:val="en-US" w:eastAsia="zh-CN"/>
              </w:rPr>
              <w:t>X410300000000201912070002</w:t>
            </w:r>
          </w:p>
        </w:tc>
        <w:tc>
          <w:tcPr>
            <w:tcW w:w="2100"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color w:val="0000FF"/>
                <w:kern w:val="2"/>
                <w:sz w:val="21"/>
                <w:szCs w:val="22"/>
                <w:lang w:val="en-US" w:eastAsia="zh-CN" w:bidi="ar-SA"/>
              </w:rPr>
            </w:pPr>
            <w:r>
              <w:rPr>
                <w:rFonts w:hint="eastAsia"/>
                <w:lang w:val="en-US" w:eastAsia="zh-CN"/>
              </w:rPr>
              <w:t>村长吕红印违法强占耕地建厂，生产废旧塑料、铝粉污染环境，厂在翟泉工业区南秀门厂院内。</w:t>
            </w:r>
          </w:p>
        </w:tc>
        <w:tc>
          <w:tcPr>
            <w:tcW w:w="5318"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经调查核实，吕红印为孟津县平乐镇翟泉村村长，任南秀原木门柜厂（原企业名称为河南省洛阳市孟津县农民造机工厂）法定代表人，于2000年办理土地使用证，使用权面积14014㎡，属工业用地。</w:t>
            </w:r>
          </w:p>
          <w:p>
            <w:pPr>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该厂院内共有三家企业，分别为南秀原木门柜厂、平乐镇苏佳铝灰筛选厂和洛阳林新生物质燃料有限公司。该厂院内未发现生产废旧塑料情况。</w:t>
            </w:r>
          </w:p>
          <w:p>
            <w:pPr>
              <w:keepNext w:val="0"/>
              <w:keepLines w:val="0"/>
              <w:suppressLineNumbers w:val="0"/>
              <w:bidi w:val="0"/>
              <w:spacing w:before="0" w:beforeAutospacing="0" w:after="0" w:afterAutospacing="0"/>
              <w:ind w:left="0" w:right="0"/>
              <w:rPr>
                <w:rFonts w:hint="default"/>
              </w:rPr>
            </w:pPr>
            <w:r>
              <w:rPr>
                <w:rFonts w:hint="eastAsia"/>
                <w:lang w:val="en-US" w:eastAsia="zh-CN"/>
              </w:rPr>
              <w:t>生产铝粉</w:t>
            </w:r>
            <w:r>
              <w:rPr>
                <w:rFonts w:hint="eastAsia"/>
              </w:rPr>
              <w:t>实为</w:t>
            </w:r>
            <w:r>
              <w:rPr>
                <w:rFonts w:hint="eastAsia"/>
                <w:lang w:val="en-US" w:eastAsia="zh-CN"/>
              </w:rPr>
              <w:t>苏佳铝灰筛选厂，</w:t>
            </w:r>
            <w:r>
              <w:rPr>
                <w:rFonts w:hint="eastAsia"/>
              </w:rPr>
              <w:t>原料库和生产车间采取有密闭措施，生产设备运行中配套环境保护设施能够正常运行</w:t>
            </w:r>
            <w:r>
              <w:rPr>
                <w:rFonts w:hint="eastAsia"/>
                <w:lang w:eastAsia="zh-CN"/>
              </w:rPr>
              <w:t>，</w:t>
            </w:r>
            <w:r>
              <w:rPr>
                <w:rFonts w:hint="eastAsia"/>
                <w:lang w:val="en-US" w:eastAsia="zh-CN"/>
              </w:rPr>
              <w:t>目前</w:t>
            </w:r>
            <w:r>
              <w:rPr>
                <w:rFonts w:hint="eastAsia"/>
              </w:rPr>
              <w:t>该企业按照管控中要求停产至今。</w:t>
            </w:r>
          </w:p>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p>
        </w:tc>
        <w:tc>
          <w:tcPr>
            <w:tcW w:w="789"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eastAsia="宋体" w:asciiTheme="minorHAnsi" w:hAnsiTheme="minorHAnsi" w:cstheme="minorBidi"/>
                <w:kern w:val="2"/>
                <w:sz w:val="21"/>
                <w:szCs w:val="22"/>
                <w:lang w:val="en-US" w:eastAsia="zh-CN" w:bidi="ar-SA"/>
              </w:rPr>
            </w:pPr>
            <w:r>
              <w:rPr>
                <w:rFonts w:hint="eastAsia"/>
              </w:rPr>
              <w:t>属实</w:t>
            </w:r>
          </w:p>
        </w:tc>
        <w:tc>
          <w:tcPr>
            <w:tcW w:w="2900" w:type="dxa"/>
            <w:tcBorders>
              <w:top w:val="nil"/>
              <w:left w:val="nil"/>
              <w:bottom w:val="single" w:color="auto" w:sz="4" w:space="0"/>
              <w:right w:val="single" w:color="auto" w:sz="4" w:space="0"/>
            </w:tcBorders>
            <w:vAlign w:val="center"/>
          </w:tcPr>
          <w:p>
            <w:pPr>
              <w:keepNext w:val="0"/>
              <w:keepLines w:val="0"/>
              <w:numPr>
                <w:ilvl w:val="0"/>
                <w:numId w:val="2"/>
              </w:numPr>
              <w:suppressLineNumbers w:val="0"/>
              <w:bidi w:val="0"/>
              <w:spacing w:before="0" w:beforeAutospacing="0" w:after="0" w:afterAutospacing="0"/>
              <w:ind w:left="0" w:right="0"/>
              <w:rPr>
                <w:rFonts w:hint="eastAsia"/>
                <w:lang w:val="en-US" w:eastAsia="zh-CN"/>
              </w:rPr>
            </w:pPr>
            <w:r>
              <w:rPr>
                <w:rFonts w:hint="eastAsia"/>
                <w:lang w:val="en-US" w:eastAsia="zh-CN"/>
              </w:rPr>
              <w:t>孟津县政府安排执法人员对企业进行环境监察和双随机抽查，并在现场将检查情况通过河南省移动执法系统进行上传。</w:t>
            </w:r>
          </w:p>
          <w:p>
            <w:pPr>
              <w:keepNext w:val="0"/>
              <w:keepLines w:val="0"/>
              <w:numPr>
                <w:ilvl w:val="0"/>
                <w:numId w:val="0"/>
              </w:numPr>
              <w:suppressLineNumbers w:val="0"/>
              <w:bidi w:val="0"/>
              <w:spacing w:before="0" w:beforeAutospacing="0" w:after="0" w:afterAutospacing="0"/>
              <w:ind w:left="0" w:right="0"/>
              <w:rPr>
                <w:rFonts w:hint="eastAsia"/>
                <w:lang w:val="en-US" w:eastAsia="zh-CN"/>
              </w:rPr>
            </w:pPr>
            <w:r>
              <w:rPr>
                <w:rFonts w:hint="eastAsia"/>
                <w:lang w:val="en-US" w:eastAsia="zh-CN"/>
              </w:rPr>
              <w:t>2、孟津县政府对该企业生产区安装了视频监控，现已安装到位，联网后实行24小时视频监管。</w:t>
            </w:r>
          </w:p>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val="en-US" w:eastAsia="zh-CN"/>
              </w:rPr>
              <w:t>3、下一步，孟津县政府将对平乐镇翟泉工业区南秀门院内的三家企业加大监管力度，增加巡查频次，严查环境违法行为。</w:t>
            </w:r>
          </w:p>
        </w:tc>
        <w:tc>
          <w:tcPr>
            <w:tcW w:w="639" w:type="dxa"/>
            <w:tcBorders>
              <w:top w:val="nil"/>
              <w:left w:val="nil"/>
              <w:bottom w:val="single" w:color="auto" w:sz="4" w:space="0"/>
              <w:right w:val="single" w:color="auto" w:sz="8" w:space="0"/>
            </w:tcBorders>
            <w:vAlign w:val="center"/>
          </w:tcPr>
          <w:p>
            <w:pPr>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kern w:val="0"/>
                <w:sz w:val="21"/>
                <w:szCs w:val="21"/>
                <w:lang w:val="en-US" w:eastAsia="zh-CN" w:bidi="ar-SA"/>
              </w:rPr>
            </w:pPr>
          </w:p>
        </w:tc>
      </w:tr>
      <w:tr>
        <w:tblPrEx>
          <w:tblCellMar>
            <w:top w:w="0" w:type="dxa"/>
            <w:left w:w="57" w:type="dxa"/>
            <w:bottom w:w="0" w:type="dxa"/>
            <w:right w:w="57" w:type="dxa"/>
          </w:tblCellMar>
        </w:tblPrEx>
        <w:trPr>
          <w:trHeight w:val="366" w:hRule="atLeast"/>
          <w:jc w:val="center"/>
        </w:trPr>
        <w:tc>
          <w:tcPr>
            <w:tcW w:w="594" w:type="dxa"/>
            <w:tcBorders>
              <w:top w:val="nil"/>
              <w:left w:val="single" w:color="auto" w:sz="8" w:space="0"/>
              <w:bottom w:val="single" w:color="auto" w:sz="4" w:space="0"/>
              <w:right w:val="single" w:color="auto" w:sz="4" w:space="0"/>
            </w:tcBorders>
            <w:vAlign w:val="center"/>
          </w:tcPr>
          <w:p>
            <w:pPr>
              <w:keepNext w:val="0"/>
              <w:keepLines w:val="0"/>
              <w:numPr>
                <w:ilvl w:val="0"/>
                <w:numId w:val="1"/>
              </w:numPr>
              <w:suppressLineNumbers w:val="0"/>
              <w:bidi w:val="0"/>
              <w:spacing w:before="0" w:beforeAutospacing="0" w:after="0" w:afterAutospacing="0"/>
              <w:ind w:left="454" w:leftChars="0" w:right="0" w:hanging="454" w:firstLineChars="0"/>
              <w:jc w:val="both"/>
              <w:rPr>
                <w:rFonts w:hint="default" w:ascii="Times New Roman" w:hAnsi="Times New Roman" w:cs="Times New Roman" w:eastAsiaTheme="minorEastAsia"/>
                <w:color w:val="auto"/>
                <w:kern w:val="2"/>
                <w:sz w:val="21"/>
                <w:szCs w:val="22"/>
                <w:lang w:val="en-US" w:eastAsia="zh-CN" w:bidi="ar-SA"/>
              </w:rPr>
            </w:pPr>
          </w:p>
        </w:tc>
        <w:tc>
          <w:tcPr>
            <w:tcW w:w="1759"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default"/>
              </w:rPr>
              <w:t>x410300000000201912070001</w:t>
            </w:r>
          </w:p>
        </w:tc>
        <w:tc>
          <w:tcPr>
            <w:tcW w:w="2100"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rPr>
              <w:t>偃师市偃登渠南面洛河滩里的砂石场按规定早已关停，现在晚上又有人盗采沙，破坏生态；偷沙车运输过程中产生扬尘，影响生活。</w:t>
            </w:r>
          </w:p>
        </w:tc>
        <w:tc>
          <w:tcPr>
            <w:tcW w:w="5318"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eastAsia"/>
              </w:rPr>
            </w:pPr>
            <w:r>
              <w:rPr>
                <w:rFonts w:hint="eastAsia"/>
                <w:lang w:val="en-US" w:eastAsia="zh-CN"/>
              </w:rPr>
              <w:t>1、</w:t>
            </w:r>
            <w:r>
              <w:rPr>
                <w:rFonts w:hint="eastAsia"/>
              </w:rPr>
              <w:t>在槐新街道办城西村原采砂场遗留采砂坑内发现2个小</w:t>
            </w:r>
            <w:r>
              <w:rPr>
                <w:rFonts w:hint="eastAsia"/>
                <w:lang w:eastAsia="zh-CN"/>
              </w:rPr>
              <w:t>砂</w:t>
            </w:r>
            <w:r>
              <w:rPr>
                <w:rFonts w:hint="eastAsia"/>
              </w:rPr>
              <w:t>坑、遗留采砂坑附近又发现1处小</w:t>
            </w:r>
            <w:r>
              <w:rPr>
                <w:rFonts w:hint="eastAsia"/>
                <w:lang w:eastAsia="zh-CN"/>
              </w:rPr>
              <w:t>砂</w:t>
            </w:r>
            <w:r>
              <w:rPr>
                <w:rFonts w:hint="eastAsia"/>
              </w:rPr>
              <w:t>坑，均为近期盗采河砂所留。</w:t>
            </w:r>
            <w:r>
              <w:rPr>
                <w:rFonts w:hint="eastAsia"/>
                <w:lang w:eastAsia="zh-CN"/>
              </w:rPr>
              <w:t>当</w:t>
            </w:r>
            <w:r>
              <w:rPr>
                <w:rFonts w:hint="eastAsia"/>
              </w:rPr>
              <w:t>晚</w:t>
            </w:r>
            <w:r>
              <w:rPr>
                <w:rFonts w:hint="eastAsia"/>
                <w:lang w:eastAsia="zh-CN"/>
              </w:rPr>
              <w:t>，</w:t>
            </w:r>
            <w:r>
              <w:rPr>
                <w:rFonts w:hint="eastAsia"/>
              </w:rPr>
              <w:t>在偃登渠南面洛河滩伊洛街道办许庄村河道内发现有人以平整土地的名义盗采河</w:t>
            </w:r>
            <w:r>
              <w:rPr>
                <w:rFonts w:hint="eastAsia"/>
                <w:lang w:eastAsia="zh-CN"/>
              </w:rPr>
              <w:t>砂</w:t>
            </w:r>
            <w:r>
              <w:rPr>
                <w:rFonts w:hint="eastAsia"/>
              </w:rPr>
              <w:t>，被我</w:t>
            </w:r>
            <w:r>
              <w:rPr>
                <w:rFonts w:hint="eastAsia"/>
                <w:lang w:eastAsia="zh-CN"/>
              </w:rPr>
              <w:t>市</w:t>
            </w:r>
            <w:r>
              <w:rPr>
                <w:rFonts w:hint="eastAsia"/>
              </w:rPr>
              <w:t>执法人员当场抓获。并扣留后八轮绿皮车1辆。</w:t>
            </w:r>
          </w:p>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val="en-US" w:eastAsia="zh-CN"/>
              </w:rPr>
              <w:t>2、12月8日下午，偃师市政府安排相关单位对道路进行了清扫，并进行定期洒水保洁，严格管控打击非法采砂现象及车辆。</w:t>
            </w:r>
          </w:p>
        </w:tc>
        <w:tc>
          <w:tcPr>
            <w:tcW w:w="789"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eastAsia="zh-CN"/>
              </w:rPr>
              <w:t>属实</w:t>
            </w:r>
          </w:p>
        </w:tc>
        <w:tc>
          <w:tcPr>
            <w:tcW w:w="2900"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1、对发现的非法采砂案件，偃师市水利局正在依法立案调查,处理结果后期上报。</w:t>
            </w:r>
          </w:p>
          <w:p>
            <w:pPr>
              <w:keepNext w:val="0"/>
              <w:keepLines w:val="0"/>
              <w:suppressLineNumbers w:val="0"/>
              <w:bidi w:val="0"/>
              <w:spacing w:before="0" w:beforeAutospacing="0" w:after="0" w:afterAutospacing="0"/>
              <w:ind w:left="0" w:right="0"/>
              <w:rPr>
                <w:rFonts w:hint="eastAsia"/>
                <w:lang w:eastAsia="zh-CN"/>
              </w:rPr>
            </w:pPr>
            <w:r>
              <w:rPr>
                <w:rFonts w:hint="eastAsia"/>
              </w:rPr>
              <w:t>2</w:t>
            </w:r>
            <w:r>
              <w:rPr>
                <w:rFonts w:hint="eastAsia"/>
                <w:lang w:eastAsia="zh-CN"/>
              </w:rPr>
              <w:t>、待管控结束以后</w:t>
            </w:r>
            <w:r>
              <w:rPr>
                <w:rFonts w:hint="eastAsia"/>
                <w:lang w:val="en-US" w:eastAsia="zh-CN"/>
              </w:rPr>
              <w:t>偃师市水利局将对</w:t>
            </w:r>
            <w:r>
              <w:rPr>
                <w:rFonts w:hint="eastAsia"/>
                <w:lang w:eastAsia="zh-CN"/>
              </w:rPr>
              <w:t>对现场两个砂坑处理。</w:t>
            </w:r>
          </w:p>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val="en-US" w:eastAsia="zh-CN"/>
              </w:rPr>
              <w:t>3、因未能切实履行工作职责，偃师市水利局</w:t>
            </w:r>
            <w:r>
              <w:rPr>
                <w:rFonts w:hint="eastAsia"/>
                <w:lang w:eastAsia="zh-CN"/>
              </w:rPr>
              <w:t>对偃师市水利局河渠管理所所长郭小姣通报批评。</w:t>
            </w:r>
          </w:p>
        </w:tc>
        <w:tc>
          <w:tcPr>
            <w:tcW w:w="639" w:type="dxa"/>
            <w:tcBorders>
              <w:top w:val="nil"/>
              <w:left w:val="nil"/>
              <w:bottom w:val="single" w:color="auto" w:sz="4" w:space="0"/>
              <w:right w:val="single" w:color="auto" w:sz="8" w:space="0"/>
            </w:tcBorders>
            <w:vAlign w:val="center"/>
          </w:tcPr>
          <w:p>
            <w:pPr>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kern w:val="0"/>
                <w:sz w:val="21"/>
                <w:szCs w:val="21"/>
                <w:lang w:val="en-US" w:eastAsia="zh-CN" w:bidi="ar-SA"/>
              </w:rPr>
            </w:pPr>
          </w:p>
        </w:tc>
      </w:tr>
      <w:tr>
        <w:tblPrEx>
          <w:tblCellMar>
            <w:top w:w="0" w:type="dxa"/>
            <w:left w:w="57" w:type="dxa"/>
            <w:bottom w:w="0" w:type="dxa"/>
            <w:right w:w="57" w:type="dxa"/>
          </w:tblCellMar>
        </w:tblPrEx>
        <w:trPr>
          <w:trHeight w:val="366" w:hRule="atLeast"/>
          <w:jc w:val="center"/>
        </w:trPr>
        <w:tc>
          <w:tcPr>
            <w:tcW w:w="594" w:type="dxa"/>
            <w:tcBorders>
              <w:top w:val="nil"/>
              <w:left w:val="single" w:color="auto" w:sz="8" w:space="0"/>
              <w:bottom w:val="single" w:color="auto" w:sz="4" w:space="0"/>
              <w:right w:val="single" w:color="auto" w:sz="4" w:space="0"/>
            </w:tcBorders>
            <w:vAlign w:val="center"/>
          </w:tcPr>
          <w:p>
            <w:pPr>
              <w:keepNext w:val="0"/>
              <w:keepLines w:val="0"/>
              <w:numPr>
                <w:ilvl w:val="0"/>
                <w:numId w:val="1"/>
              </w:numPr>
              <w:suppressLineNumbers w:val="0"/>
              <w:bidi w:val="0"/>
              <w:spacing w:before="0" w:beforeAutospacing="0" w:after="0" w:afterAutospacing="0"/>
              <w:ind w:left="454" w:leftChars="0" w:right="0" w:hanging="454" w:firstLineChars="0"/>
              <w:jc w:val="both"/>
              <w:rPr>
                <w:rFonts w:hint="default" w:ascii="Times New Roman" w:hAnsi="Times New Roman" w:cs="Times New Roman" w:eastAsiaTheme="minorEastAsia"/>
                <w:color w:val="auto"/>
                <w:kern w:val="2"/>
                <w:sz w:val="21"/>
                <w:szCs w:val="22"/>
                <w:lang w:val="en-US" w:eastAsia="zh-CN" w:bidi="ar-SA"/>
              </w:rPr>
            </w:pPr>
          </w:p>
        </w:tc>
        <w:tc>
          <w:tcPr>
            <w:tcW w:w="1759"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eastAsia" w:asciiTheme="minorHAnsi" w:hAnsiTheme="minorHAnsi" w:eastAsiaTheme="minorEastAsia" w:cstheme="minorBidi"/>
                <w:kern w:val="2"/>
                <w:sz w:val="21"/>
                <w:szCs w:val="22"/>
                <w:lang w:val="en-US" w:eastAsia="zh-CN" w:bidi="ar-SA"/>
              </w:rPr>
            </w:pPr>
            <w:r>
              <w:rPr>
                <w:rFonts w:hint="eastAsia"/>
              </w:rPr>
              <w:t>D410300000000201912070013</w:t>
            </w:r>
          </w:p>
        </w:tc>
        <w:tc>
          <w:tcPr>
            <w:tcW w:w="2100"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eastAsia" w:asciiTheme="minorHAnsi" w:hAnsiTheme="minorHAnsi" w:eastAsiaTheme="minorEastAsia" w:cstheme="minorBidi"/>
                <w:kern w:val="2"/>
                <w:sz w:val="21"/>
                <w:szCs w:val="22"/>
                <w:lang w:val="en-US" w:eastAsia="zh-CN" w:bidi="ar-SA"/>
              </w:rPr>
            </w:pPr>
            <w:r>
              <w:rPr>
                <w:rFonts w:hint="eastAsia"/>
              </w:rPr>
              <w:t>河南省华豫塑料有限公司偷偷生产，规避检查，生产中产生废气，对附近居民造成影响且噪声扰民，约6个化工原料罐长期堆放在离居民住宅一墙之隔处，周边企业按要求全部搬离，只有这家企业还未搬离。</w:t>
            </w:r>
          </w:p>
        </w:tc>
        <w:tc>
          <w:tcPr>
            <w:tcW w:w="5318"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rPr>
              <w:t>经伊川县环境保护局现场调查，河南省华豫塑料有限公司各项手续齐全，污染物稳定达标排放，严格落实了重污染天气管控要求；6个化工原料罐情存放的为二甲酸二辛脂，属非化学危险品。东侧一墙之隔的居民住宅为占用河南华豫塑料有限公司企业用地，属违章建筑，目前已经河南省高级人民法院判决，要求尽快拆除。</w:t>
            </w:r>
          </w:p>
        </w:tc>
        <w:tc>
          <w:tcPr>
            <w:tcW w:w="789"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eastAsia" w:asciiTheme="minorHAnsi" w:hAnsiTheme="minorHAnsi" w:eastAsiaTheme="minorEastAsia" w:cstheme="minorBidi"/>
                <w:kern w:val="2"/>
                <w:sz w:val="21"/>
                <w:szCs w:val="22"/>
                <w:lang w:val="en-US" w:eastAsia="zh-CN" w:bidi="ar-SA"/>
              </w:rPr>
            </w:pPr>
            <w:r>
              <w:rPr>
                <w:rFonts w:hint="eastAsia"/>
              </w:rPr>
              <w:t>属实</w:t>
            </w:r>
          </w:p>
        </w:tc>
        <w:tc>
          <w:tcPr>
            <w:tcW w:w="2900"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val="en-US" w:eastAsia="zh-CN"/>
              </w:rPr>
              <w:t>伊川县政府要求</w:t>
            </w:r>
            <w:r>
              <w:rPr>
                <w:rFonts w:hint="eastAsia"/>
              </w:rPr>
              <w:t>县环保局进一步加强对该企业的监管力度和频次，督促其严格落实企业环保主体责任，定期检查环保设施运行效果，监督其做好各项环保治理设施的检修和维护，确保污染防治设施稳定运行，污染物达标排放。</w:t>
            </w:r>
          </w:p>
        </w:tc>
        <w:tc>
          <w:tcPr>
            <w:tcW w:w="639" w:type="dxa"/>
            <w:tcBorders>
              <w:top w:val="nil"/>
              <w:left w:val="nil"/>
              <w:bottom w:val="single" w:color="auto" w:sz="4" w:space="0"/>
              <w:right w:val="single" w:color="auto" w:sz="8" w:space="0"/>
            </w:tcBorders>
            <w:vAlign w:val="center"/>
          </w:tcPr>
          <w:p>
            <w:pPr>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kern w:val="0"/>
                <w:sz w:val="21"/>
                <w:szCs w:val="21"/>
                <w:lang w:val="en-US" w:eastAsia="zh-CN" w:bidi="ar-SA"/>
              </w:rPr>
            </w:pPr>
          </w:p>
        </w:tc>
      </w:tr>
      <w:tr>
        <w:tblPrEx>
          <w:tblCellMar>
            <w:top w:w="0" w:type="dxa"/>
            <w:left w:w="57" w:type="dxa"/>
            <w:bottom w:w="0" w:type="dxa"/>
            <w:right w:w="57" w:type="dxa"/>
          </w:tblCellMar>
        </w:tblPrEx>
        <w:trPr>
          <w:trHeight w:val="90" w:hRule="atLeast"/>
          <w:jc w:val="center"/>
        </w:trPr>
        <w:tc>
          <w:tcPr>
            <w:tcW w:w="594" w:type="dxa"/>
            <w:tcBorders>
              <w:top w:val="nil"/>
              <w:left w:val="single" w:color="auto" w:sz="8" w:space="0"/>
              <w:bottom w:val="single" w:color="auto" w:sz="4" w:space="0"/>
              <w:right w:val="single" w:color="auto" w:sz="4" w:space="0"/>
            </w:tcBorders>
            <w:vAlign w:val="center"/>
          </w:tcPr>
          <w:p>
            <w:pPr>
              <w:keepNext w:val="0"/>
              <w:keepLines w:val="0"/>
              <w:numPr>
                <w:ilvl w:val="0"/>
                <w:numId w:val="1"/>
              </w:numPr>
              <w:suppressLineNumbers w:val="0"/>
              <w:bidi w:val="0"/>
              <w:spacing w:before="0" w:beforeAutospacing="0" w:after="0" w:afterAutospacing="0"/>
              <w:ind w:left="454" w:leftChars="0" w:right="0" w:hanging="454" w:firstLineChars="0"/>
              <w:rPr>
                <w:rFonts w:hint="default" w:ascii="Times New Roman" w:hAnsi="Times New Roman" w:cs="Times New Roman" w:eastAsiaTheme="minorEastAsia"/>
                <w:color w:val="auto"/>
                <w:kern w:val="2"/>
                <w:sz w:val="21"/>
                <w:szCs w:val="22"/>
                <w:lang w:val="en-US" w:eastAsia="zh-CN" w:bidi="ar-SA"/>
              </w:rPr>
            </w:pPr>
          </w:p>
        </w:tc>
        <w:tc>
          <w:tcPr>
            <w:tcW w:w="1759"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val="en-US" w:eastAsia="zh-CN"/>
              </w:rPr>
              <w:t>D410300000000201912070012</w:t>
            </w:r>
          </w:p>
        </w:tc>
        <w:tc>
          <w:tcPr>
            <w:tcW w:w="2100"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val="en-US" w:eastAsia="zh-CN"/>
              </w:rPr>
              <w:t>原光明纸厂内有人洗砂，昼夜生产，晚上生产频率较高；原光明纸厂内有一塑料加工厂，晚上生产，没有相关手续。</w:t>
            </w:r>
          </w:p>
        </w:tc>
        <w:tc>
          <w:tcPr>
            <w:tcW w:w="5318" w:type="dxa"/>
            <w:tcBorders>
              <w:top w:val="nil"/>
              <w:left w:val="nil"/>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firstLine="420" w:firstLineChars="200"/>
              <w:jc w:val="left"/>
              <w:rPr>
                <w:rFonts w:hint="eastAsia" w:ascii="宋体" w:hAnsi="宋体" w:eastAsia="宋体" w:cs="宋体"/>
                <w:b w:val="0"/>
                <w:bCs w:val="0"/>
                <w:kern w:val="0"/>
                <w:sz w:val="21"/>
                <w:szCs w:val="21"/>
                <w:lang w:eastAsia="zh-CN"/>
              </w:rPr>
            </w:pPr>
            <w:r>
              <w:rPr>
                <w:rFonts w:hint="eastAsia" w:ascii="宋体" w:hAnsi="宋体" w:eastAsia="宋体" w:cs="宋体"/>
                <w:sz w:val="21"/>
                <w:szCs w:val="21"/>
                <w:lang w:val="en-US" w:eastAsia="zh-CN"/>
              </w:rPr>
              <w:t>经调查，原光明造纸厂（于2007年宣布破产，留有废弃厂房），现有嵩县田湖天鸿装饰材料厂和洛阳一颗松木业有限公司2家企业租用该厂房，两家企业手续齐全。在厂内发现堆放的砂石料约50方，是</w:t>
            </w:r>
            <w:r>
              <w:rPr>
                <w:rFonts w:hint="eastAsia" w:ascii="宋体" w:hAnsi="宋体" w:eastAsia="宋体" w:cs="宋体"/>
                <w:sz w:val="21"/>
                <w:szCs w:val="21"/>
                <w:lang w:eastAsia="zh-CN"/>
              </w:rPr>
              <w:t>洒落村</w:t>
            </w:r>
            <w:r>
              <w:rPr>
                <w:rFonts w:hint="eastAsia" w:ascii="宋体" w:hAnsi="宋体" w:eastAsia="宋体" w:cs="宋体"/>
                <w:sz w:val="21"/>
                <w:szCs w:val="21"/>
                <w:lang w:val="en-US" w:eastAsia="zh-CN"/>
              </w:rPr>
              <w:t>村民对租用原光明造纸厂内的旧厂房进行翻新所用。厂区内未发现洗砂的机械设备和任何洗砂痕迹，已采取覆盖措施。</w:t>
            </w:r>
          </w:p>
          <w:p>
            <w:pPr>
              <w:keepNext w:val="0"/>
              <w:keepLines w:val="0"/>
              <w:widowControl/>
              <w:suppressLineNumbers w:val="0"/>
              <w:spacing w:before="0" w:beforeAutospacing="0" w:after="0" w:afterAutospacing="0"/>
              <w:ind w:left="0" w:right="0" w:firstLine="420" w:firstLineChars="200"/>
              <w:jc w:val="left"/>
              <w:rPr>
                <w:rFonts w:hint="default" w:asciiTheme="minorHAnsi" w:hAnsiTheme="minorHAnsi" w:eastAsiaTheme="minorEastAsia" w:cstheme="minorBidi"/>
                <w:kern w:val="2"/>
                <w:sz w:val="21"/>
                <w:szCs w:val="22"/>
                <w:lang w:val="en-US" w:eastAsia="zh-CN" w:bidi="ar-SA"/>
              </w:rPr>
            </w:pPr>
            <w:r>
              <w:rPr>
                <w:rFonts w:hint="eastAsia" w:ascii="宋体" w:hAnsi="宋体" w:eastAsia="宋体" w:cs="宋体"/>
                <w:sz w:val="21"/>
                <w:szCs w:val="21"/>
                <w:lang w:val="en-US" w:eastAsia="zh-CN"/>
              </w:rPr>
              <w:t>群众反映的塑料加工厂实为嵩县田湖天鸿装饰材料厂，该厂主要产品是装饰用PVC塑料扣板和PVC线条的生产和销售，依据2019年12月4日，洛阳市污染防治攻坚战领导小组办公室关于在城市区及组团县启动重污染天气红色预警响应的通知（</w:t>
            </w:r>
            <w:r>
              <w:rPr>
                <w:rFonts w:hint="eastAsia" w:ascii="宋体" w:hAnsi="宋体" w:eastAsia="宋体" w:cs="宋体"/>
                <w:color w:val="000000"/>
                <w:kern w:val="0"/>
                <w:sz w:val="21"/>
                <w:szCs w:val="21"/>
                <w:lang w:val="en-US" w:eastAsia="zh-CN" w:bidi="ar"/>
              </w:rPr>
              <w:t>洛环攻坚</w:t>
            </w:r>
            <w:r>
              <w:rPr>
                <w:rFonts w:hint="eastAsia" w:ascii="宋体" w:hAnsi="宋体" w:eastAsia="宋体" w:cs="宋体"/>
                <w:sz w:val="21"/>
                <w:szCs w:val="21"/>
                <w:lang w:val="en-US" w:eastAsia="zh-CN"/>
              </w:rPr>
              <w:t>通知</w:t>
            </w:r>
            <w:r>
              <w:rPr>
                <w:rFonts w:hint="eastAsia" w:ascii="宋体" w:hAnsi="宋体" w:eastAsia="宋体" w:cs="宋体"/>
                <w:color w:val="000000"/>
                <w:kern w:val="0"/>
                <w:sz w:val="21"/>
                <w:szCs w:val="21"/>
                <w:lang w:val="en-US" w:eastAsia="zh-CN" w:bidi="ar"/>
              </w:rPr>
              <w:t>办〔2019〕147 号</w:t>
            </w:r>
            <w:r>
              <w:rPr>
                <w:rFonts w:hint="eastAsia" w:ascii="宋体" w:hAnsi="宋体" w:eastAsia="宋体" w:cs="宋体"/>
                <w:sz w:val="21"/>
                <w:szCs w:val="21"/>
                <w:lang w:val="en-US" w:eastAsia="zh-CN"/>
              </w:rPr>
              <w:t>）</w:t>
            </w:r>
            <w:r>
              <w:rPr>
                <w:rFonts w:hint="eastAsia" w:ascii="宋体" w:hAnsi="宋体" w:eastAsia="宋体" w:cs="宋体"/>
                <w:color w:val="000000"/>
                <w:kern w:val="0"/>
                <w:sz w:val="21"/>
                <w:szCs w:val="21"/>
                <w:lang w:val="en-US" w:eastAsia="zh-CN" w:bidi="ar"/>
              </w:rPr>
              <w:t>文件要求，我县执行橙色预警管控，根据管控要求对</w:t>
            </w:r>
            <w:r>
              <w:rPr>
                <w:rFonts w:hint="eastAsia" w:ascii="宋体" w:hAnsi="宋体" w:eastAsia="宋体" w:cs="宋体"/>
                <w:sz w:val="21"/>
                <w:szCs w:val="21"/>
                <w:lang w:val="en-US" w:eastAsia="zh-CN"/>
              </w:rPr>
              <w:t>嵩县田湖天鸿装饰材料厂管控措施是：禁止使用国四级以下重型载货车辆（含燃气）进行物料运输。没有要求该厂停产。</w:t>
            </w:r>
            <w:r>
              <w:rPr>
                <w:rFonts w:hint="eastAsia" w:ascii="宋体" w:hAnsi="宋体" w:eastAsia="宋体" w:cs="宋体"/>
                <w:color w:val="000000"/>
                <w:kern w:val="0"/>
                <w:sz w:val="21"/>
                <w:szCs w:val="21"/>
                <w:lang w:val="en-US" w:eastAsia="zh-CN" w:bidi="ar"/>
              </w:rPr>
              <w:t xml:space="preserve"> </w:t>
            </w:r>
          </w:p>
        </w:tc>
        <w:tc>
          <w:tcPr>
            <w:tcW w:w="789"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eastAsia" w:asciiTheme="minorHAnsi" w:hAnsiTheme="minorHAnsi" w:eastAsiaTheme="minorEastAsia" w:cstheme="minorBidi"/>
                <w:kern w:val="2"/>
                <w:sz w:val="21"/>
                <w:szCs w:val="22"/>
                <w:lang w:val="en-US" w:eastAsia="zh-CN" w:bidi="ar-SA"/>
              </w:rPr>
            </w:pPr>
            <w:r>
              <w:rPr>
                <w:rFonts w:hint="eastAsia"/>
                <w:lang w:val="en-US" w:eastAsia="zh-CN"/>
              </w:rPr>
              <w:t>属实</w:t>
            </w:r>
          </w:p>
        </w:tc>
        <w:tc>
          <w:tcPr>
            <w:tcW w:w="2900"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lang w:val="en-US" w:eastAsia="zh-CN"/>
              </w:rPr>
            </w:pPr>
            <w:r>
              <w:rPr>
                <w:rFonts w:hint="default"/>
                <w:lang w:val="en-US" w:eastAsia="zh-CN"/>
              </w:rPr>
              <w:t xml:space="preserve">1.田湖镇按照“属地管理”原则加大区域环境管理力度，确保辖区企业不出现环境问题。 </w:t>
            </w:r>
          </w:p>
          <w:p>
            <w:pPr>
              <w:keepNext w:val="0"/>
              <w:keepLines w:val="0"/>
              <w:suppressLineNumbers w:val="0"/>
              <w:bidi w:val="0"/>
              <w:spacing w:before="0" w:beforeAutospacing="0" w:after="0" w:afterAutospacing="0"/>
              <w:ind w:left="0" w:right="0"/>
              <w:rPr>
                <w:rFonts w:hint="default"/>
                <w:lang w:val="en-US" w:eastAsia="zh-CN"/>
              </w:rPr>
            </w:pPr>
            <w:r>
              <w:rPr>
                <w:rFonts w:hint="default"/>
                <w:lang w:val="en-US" w:eastAsia="zh-CN"/>
              </w:rPr>
              <w:t>2.</w:t>
            </w:r>
            <w:r>
              <w:rPr>
                <w:rFonts w:hint="eastAsia"/>
                <w:lang w:val="en-US" w:eastAsia="zh-CN"/>
              </w:rPr>
              <w:t>嵩</w:t>
            </w:r>
            <w:r>
              <w:rPr>
                <w:rFonts w:hint="default"/>
                <w:lang w:val="en-US" w:eastAsia="zh-CN"/>
              </w:rPr>
              <w:t xml:space="preserve">县环保部门在日常检查中若发现企业违反环境管理有关 </w:t>
            </w:r>
          </w:p>
          <w:p>
            <w:pPr>
              <w:keepNext w:val="0"/>
              <w:keepLines w:val="0"/>
              <w:suppressLineNumbers w:val="0"/>
              <w:bidi w:val="0"/>
              <w:spacing w:before="0" w:beforeAutospacing="0" w:after="0" w:afterAutospacing="0"/>
              <w:ind w:left="0" w:right="0"/>
              <w:rPr>
                <w:rFonts w:hint="default"/>
                <w:lang w:val="en-US" w:eastAsia="zh-CN"/>
              </w:rPr>
            </w:pPr>
            <w:r>
              <w:rPr>
                <w:rFonts w:hint="default"/>
                <w:lang w:val="en-US" w:eastAsia="zh-CN"/>
              </w:rPr>
              <w:t>要求，严格按照有关法律法规进行</w:t>
            </w:r>
            <w:r>
              <w:rPr>
                <w:rFonts w:hint="eastAsia"/>
                <w:lang w:val="en-US" w:eastAsia="zh-CN"/>
              </w:rPr>
              <w:t>查处</w:t>
            </w:r>
            <w:r>
              <w:rPr>
                <w:rFonts w:hint="default"/>
                <w:lang w:val="en-US" w:eastAsia="zh-CN"/>
              </w:rPr>
              <w:t xml:space="preserve">。 </w:t>
            </w:r>
          </w:p>
          <w:p>
            <w:pPr>
              <w:keepNext w:val="0"/>
              <w:keepLines w:val="0"/>
              <w:suppressLineNumbers w:val="0"/>
              <w:bidi w:val="0"/>
              <w:spacing w:before="0" w:beforeAutospacing="0" w:after="0" w:afterAutospacing="0"/>
              <w:ind w:left="0" w:right="0"/>
              <w:rPr>
                <w:rFonts w:hint="default"/>
                <w:lang w:val="en-US" w:eastAsia="zh-CN"/>
              </w:rPr>
            </w:pPr>
            <w:r>
              <w:rPr>
                <w:rFonts w:hint="default"/>
                <w:lang w:val="en-US" w:eastAsia="zh-CN"/>
              </w:rPr>
              <w:t xml:space="preserve">3.嵩县田湖天鸿装饰材料厂在日常生产经营过程中要自觉履行环境管理有关要求，确保不出现环境违法及管理问题。 </w:t>
            </w:r>
          </w:p>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p>
        </w:tc>
        <w:tc>
          <w:tcPr>
            <w:tcW w:w="639" w:type="dxa"/>
            <w:tcBorders>
              <w:top w:val="nil"/>
              <w:left w:val="nil"/>
              <w:bottom w:val="single" w:color="auto" w:sz="4" w:space="0"/>
              <w:right w:val="single" w:color="auto" w:sz="8" w:space="0"/>
            </w:tcBorders>
            <w:vAlign w:val="center"/>
          </w:tcPr>
          <w:p>
            <w:pPr>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kern w:val="0"/>
                <w:sz w:val="21"/>
                <w:szCs w:val="21"/>
                <w:lang w:val="en-US" w:eastAsia="zh-CN" w:bidi="ar-SA"/>
              </w:rPr>
            </w:pPr>
          </w:p>
        </w:tc>
      </w:tr>
      <w:tr>
        <w:tblPrEx>
          <w:tblCellMar>
            <w:top w:w="0" w:type="dxa"/>
            <w:left w:w="57" w:type="dxa"/>
            <w:bottom w:w="0" w:type="dxa"/>
            <w:right w:w="57" w:type="dxa"/>
          </w:tblCellMar>
        </w:tblPrEx>
        <w:trPr>
          <w:trHeight w:val="90" w:hRule="atLeast"/>
          <w:jc w:val="center"/>
        </w:trPr>
        <w:tc>
          <w:tcPr>
            <w:tcW w:w="594" w:type="dxa"/>
            <w:tcBorders>
              <w:top w:val="nil"/>
              <w:left w:val="single" w:color="auto" w:sz="8" w:space="0"/>
              <w:bottom w:val="single" w:color="auto" w:sz="4" w:space="0"/>
              <w:right w:val="single" w:color="auto" w:sz="4" w:space="0"/>
            </w:tcBorders>
            <w:vAlign w:val="center"/>
          </w:tcPr>
          <w:p>
            <w:pPr>
              <w:keepNext w:val="0"/>
              <w:keepLines w:val="0"/>
              <w:numPr>
                <w:ilvl w:val="0"/>
                <w:numId w:val="1"/>
              </w:numPr>
              <w:suppressLineNumbers w:val="0"/>
              <w:bidi w:val="0"/>
              <w:spacing w:before="0" w:beforeAutospacing="0" w:after="0" w:afterAutospacing="0"/>
              <w:ind w:left="454" w:leftChars="0" w:right="0" w:hanging="454" w:firstLineChars="0"/>
              <w:rPr>
                <w:rFonts w:hint="default" w:ascii="Times New Roman" w:hAnsi="Times New Roman" w:cs="Times New Roman" w:eastAsiaTheme="minorEastAsia"/>
                <w:color w:val="auto"/>
                <w:kern w:val="2"/>
                <w:sz w:val="21"/>
                <w:szCs w:val="22"/>
                <w:lang w:val="en-US" w:eastAsia="zh-CN" w:bidi="ar-SA"/>
              </w:rPr>
            </w:pPr>
          </w:p>
        </w:tc>
        <w:tc>
          <w:tcPr>
            <w:tcW w:w="1759"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val="en-US" w:eastAsia="zh-CN"/>
              </w:rPr>
              <w:t>D410300000000201912070010</w:t>
            </w:r>
          </w:p>
        </w:tc>
        <w:tc>
          <w:tcPr>
            <w:tcW w:w="2100"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val="en-US" w:eastAsia="zh-CN"/>
              </w:rPr>
              <w:t>有一门窗加工厂，现在夜间生产排放废气，噪声扰民。</w:t>
            </w:r>
          </w:p>
        </w:tc>
        <w:tc>
          <w:tcPr>
            <w:tcW w:w="5318"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eastAsia"/>
              </w:rPr>
            </w:pPr>
            <w:r>
              <w:rPr>
                <w:rFonts w:hint="eastAsia"/>
                <w:lang w:val="en-US" w:eastAsia="zh-CN"/>
              </w:rPr>
              <w:t>此次群众反映的问题与</w:t>
            </w:r>
            <w:r>
              <w:rPr>
                <w:rFonts w:hint="eastAsia"/>
              </w:rPr>
              <w:t>D410300000000201911290002</w:t>
            </w:r>
            <w:r>
              <w:rPr>
                <w:rFonts w:hint="eastAsia"/>
                <w:lang w:val="en-US" w:eastAsia="zh-CN"/>
              </w:rPr>
              <w:t>为同一问题。群众反映的塑钢门窗企业为</w:t>
            </w:r>
            <w:r>
              <w:rPr>
                <w:rFonts w:hint="eastAsia"/>
              </w:rPr>
              <w:t>洛阳汇千建筑工程有限公司</w:t>
            </w:r>
            <w:r>
              <w:rPr>
                <w:rFonts w:hint="eastAsia"/>
                <w:lang w:eastAsia="zh-CN"/>
              </w:rPr>
              <w:t>。</w:t>
            </w:r>
            <w:r>
              <w:rPr>
                <w:rFonts w:hint="eastAsia"/>
                <w:lang w:val="en-US" w:eastAsia="zh-CN"/>
              </w:rPr>
              <w:t>该公司经营项目为</w:t>
            </w:r>
            <w:r>
              <w:rPr>
                <w:rFonts w:hint="eastAsia"/>
              </w:rPr>
              <w:t>铝合金门窗加工，没有塑钢加工。生产厂房属于法人自建厂房，周边均为前五龙村村民住宅</w:t>
            </w:r>
            <w:r>
              <w:rPr>
                <w:rFonts w:hint="eastAsia"/>
                <w:lang w:val="en-US" w:eastAsia="zh-CN"/>
              </w:rPr>
              <w:t>未建设</w:t>
            </w:r>
            <w:r>
              <w:rPr>
                <w:rFonts w:hint="eastAsia"/>
              </w:rPr>
              <w:t>污染防治设施。由于该公司所处位置不符合规划，现场提供的2019年5月10日网上自行备案的《建设项目环境影响登记表》为无效备案。现场核查认定该公司为“散乱污”企业。</w:t>
            </w:r>
          </w:p>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p>
        </w:tc>
        <w:tc>
          <w:tcPr>
            <w:tcW w:w="789"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eastAsia="zh-CN"/>
              </w:rPr>
              <w:t>属实</w:t>
            </w:r>
          </w:p>
        </w:tc>
        <w:tc>
          <w:tcPr>
            <w:tcW w:w="2900"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eastAsia"/>
              </w:rPr>
            </w:pPr>
            <w:r>
              <w:rPr>
                <w:rFonts w:hint="eastAsia"/>
              </w:rPr>
              <w:t>高新区管委会安排孙旗屯乡对该公司进行清理取缔。责令孙旗屯乡加强对辖区散乱污企业的排查整治，责令环保分局对网上自行备案的建设项目环境影响登记表进行排查，对不符合登记备案的建设项目进行注销。</w:t>
            </w:r>
          </w:p>
          <w:p>
            <w:pPr>
              <w:keepNext w:val="0"/>
              <w:keepLines w:val="0"/>
              <w:suppressLineNumbers w:val="0"/>
              <w:bidi w:val="0"/>
              <w:spacing w:before="0" w:beforeAutospacing="0" w:after="0" w:afterAutospacing="0"/>
              <w:ind w:left="0" w:right="0"/>
              <w:rPr>
                <w:rFonts w:hint="eastAsia"/>
              </w:rPr>
            </w:pPr>
            <w:r>
              <w:rPr>
                <w:rFonts w:hint="eastAsia"/>
              </w:rPr>
              <w:t>对高新区孙旗屯乡因为辖区企业监管不到位予以通报批评；</w:t>
            </w:r>
          </w:p>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rPr>
              <w:t xml:space="preserve">对环保分局因为建设项目网上备案审核把关不严予以通报批评。   </w:t>
            </w:r>
          </w:p>
        </w:tc>
        <w:tc>
          <w:tcPr>
            <w:tcW w:w="639" w:type="dxa"/>
            <w:tcBorders>
              <w:top w:val="nil"/>
              <w:left w:val="nil"/>
              <w:bottom w:val="single" w:color="auto" w:sz="4" w:space="0"/>
              <w:right w:val="single" w:color="auto" w:sz="8" w:space="0"/>
            </w:tcBorders>
            <w:vAlign w:val="center"/>
          </w:tcPr>
          <w:p>
            <w:pPr>
              <w:keepNext w:val="0"/>
              <w:keepLines w:val="0"/>
              <w:suppressLineNumbers w:val="0"/>
              <w:bidi w:val="0"/>
              <w:spacing w:before="0" w:beforeAutospacing="0" w:after="0" w:afterAutospacing="0"/>
              <w:ind w:left="0" w:right="0"/>
              <w:rPr>
                <w:rFonts w:hint="default" w:ascii="Times New Roman" w:hAnsi="Times New Roman" w:cs="Times New Roman" w:eastAsiaTheme="minorEastAsia"/>
                <w:color w:val="auto"/>
                <w:kern w:val="0"/>
                <w:sz w:val="21"/>
                <w:szCs w:val="21"/>
                <w:lang w:val="en-US" w:eastAsia="zh-CN" w:bidi="ar-SA"/>
              </w:rPr>
            </w:pPr>
          </w:p>
        </w:tc>
      </w:tr>
      <w:tr>
        <w:tblPrEx>
          <w:tblCellMar>
            <w:top w:w="0" w:type="dxa"/>
            <w:left w:w="57" w:type="dxa"/>
            <w:bottom w:w="0" w:type="dxa"/>
            <w:right w:w="57" w:type="dxa"/>
          </w:tblCellMar>
        </w:tblPrEx>
        <w:trPr>
          <w:trHeight w:val="399" w:hRule="atLeast"/>
          <w:jc w:val="center"/>
        </w:trPr>
        <w:tc>
          <w:tcPr>
            <w:tcW w:w="594" w:type="dxa"/>
            <w:tcBorders>
              <w:top w:val="nil"/>
              <w:left w:val="single" w:color="auto" w:sz="8" w:space="0"/>
              <w:bottom w:val="single" w:color="auto" w:sz="4" w:space="0"/>
              <w:right w:val="single" w:color="auto" w:sz="4" w:space="0"/>
            </w:tcBorders>
            <w:vAlign w:val="center"/>
          </w:tcPr>
          <w:p>
            <w:pPr>
              <w:keepNext w:val="0"/>
              <w:keepLines w:val="0"/>
              <w:numPr>
                <w:ilvl w:val="0"/>
                <w:numId w:val="1"/>
              </w:numPr>
              <w:suppressLineNumbers w:val="0"/>
              <w:bidi w:val="0"/>
              <w:spacing w:before="0" w:beforeAutospacing="0" w:after="0" w:afterAutospacing="0"/>
              <w:ind w:left="454" w:leftChars="0" w:right="0" w:hanging="454" w:firstLineChars="0"/>
              <w:rPr>
                <w:rFonts w:hint="default" w:ascii="Times New Roman" w:hAnsi="Times New Roman" w:cs="Times New Roman"/>
                <w:lang w:val="en-US" w:eastAsia="zh-CN"/>
              </w:rPr>
            </w:pPr>
          </w:p>
        </w:tc>
        <w:tc>
          <w:tcPr>
            <w:tcW w:w="1759"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val="en-US" w:eastAsia="zh-CN"/>
              </w:rPr>
              <w:t>D410300000000201912070009</w:t>
            </w:r>
          </w:p>
        </w:tc>
        <w:tc>
          <w:tcPr>
            <w:tcW w:w="2100"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val="en-US" w:eastAsia="zh-CN"/>
              </w:rPr>
              <w:t>北环路101、102号（厂址）正常生产。</w:t>
            </w:r>
          </w:p>
        </w:tc>
        <w:tc>
          <w:tcPr>
            <w:tcW w:w="5318"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经核实，群众反映的北环路101、102号厂实为洛阳泽江轴承有限公司，该公司轴承钢丝及钢球毛胚加工项目于2019年1月开始办理环境影响评价手续，目前污染物总量已经办理，环评审批手续正在办理中。该公司未批先建问题，老城环保分局于2019年3月对其进行处罚。2019年12月8日，执法人员现场检查时，该公司正在生产，对该公司违规生产问题，环保部门下达了《洛阳市生态环境局查封（扣押）决定书》，对该公司实施查封。</w:t>
            </w:r>
          </w:p>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p>
        </w:tc>
        <w:tc>
          <w:tcPr>
            <w:tcW w:w="789"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rPr>
              <w:t>属实</w:t>
            </w:r>
          </w:p>
        </w:tc>
        <w:tc>
          <w:tcPr>
            <w:tcW w:w="2900"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val="en-US" w:eastAsia="zh-CN"/>
              </w:rPr>
              <w:t>1、老城环保分局对该公司此次违法生产的问题，下达了《洛阳市生态环境局查封（扣押）决定书》，主要生产设备实施查封。2、老城环保分局加强对该公司的监管，确保其在环评审批手续办理之前一直处于停产状态，并督促该</w:t>
            </w:r>
            <w:r>
              <w:rPr>
                <w:rFonts w:hint="eastAsia"/>
                <w:lang w:eastAsia="zh-CN"/>
              </w:rPr>
              <w:t>公司</w:t>
            </w:r>
            <w:r>
              <w:rPr>
                <w:rFonts w:hint="eastAsia"/>
                <w:lang w:val="en-US" w:eastAsia="zh-CN"/>
              </w:rPr>
              <w:t>尽快办理环境影响评价手续。</w:t>
            </w:r>
          </w:p>
        </w:tc>
        <w:tc>
          <w:tcPr>
            <w:tcW w:w="639" w:type="dxa"/>
            <w:tcBorders>
              <w:top w:val="nil"/>
              <w:left w:val="nil"/>
              <w:bottom w:val="single" w:color="auto" w:sz="4" w:space="0"/>
              <w:right w:val="single" w:color="auto" w:sz="8" w:space="0"/>
            </w:tcBorders>
            <w:vAlign w:val="center"/>
          </w:tcPr>
          <w:p>
            <w:pPr>
              <w:keepNext w:val="0"/>
              <w:keepLines w:val="0"/>
              <w:suppressLineNumbers w:val="0"/>
              <w:bidi w:val="0"/>
              <w:spacing w:before="0" w:beforeAutospacing="0" w:after="0" w:afterAutospacing="0"/>
              <w:ind w:left="0" w:right="0"/>
              <w:rPr>
                <w:rFonts w:hint="default"/>
                <w:lang w:val="en-US" w:eastAsia="zh-CN"/>
              </w:rPr>
            </w:pPr>
          </w:p>
        </w:tc>
      </w:tr>
      <w:tr>
        <w:tblPrEx>
          <w:tblCellMar>
            <w:top w:w="0" w:type="dxa"/>
            <w:left w:w="57" w:type="dxa"/>
            <w:bottom w:w="0" w:type="dxa"/>
            <w:right w:w="57" w:type="dxa"/>
          </w:tblCellMar>
        </w:tblPrEx>
        <w:trPr>
          <w:trHeight w:val="1684" w:hRule="atLeast"/>
          <w:jc w:val="center"/>
        </w:trPr>
        <w:tc>
          <w:tcPr>
            <w:tcW w:w="594" w:type="dxa"/>
            <w:tcBorders>
              <w:top w:val="nil"/>
              <w:left w:val="single" w:color="auto" w:sz="8" w:space="0"/>
              <w:bottom w:val="single" w:color="auto" w:sz="4" w:space="0"/>
              <w:right w:val="single" w:color="auto" w:sz="4" w:space="0"/>
            </w:tcBorders>
            <w:vAlign w:val="center"/>
          </w:tcPr>
          <w:p>
            <w:pPr>
              <w:keepNext w:val="0"/>
              <w:keepLines w:val="0"/>
              <w:numPr>
                <w:ilvl w:val="0"/>
                <w:numId w:val="1"/>
              </w:numPr>
              <w:suppressLineNumbers w:val="0"/>
              <w:bidi w:val="0"/>
              <w:spacing w:before="0" w:beforeAutospacing="0" w:after="0" w:afterAutospacing="0"/>
              <w:ind w:left="454" w:leftChars="0" w:right="0" w:hanging="454" w:firstLineChars="0"/>
              <w:rPr>
                <w:rFonts w:hint="default" w:ascii="Times New Roman" w:hAnsi="Times New Roman" w:cs="Times New Roman"/>
                <w:lang w:val="en-US" w:eastAsia="zh-CN"/>
              </w:rPr>
            </w:pPr>
          </w:p>
        </w:tc>
        <w:tc>
          <w:tcPr>
            <w:tcW w:w="1759"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val="en-US" w:eastAsia="zh-CN"/>
              </w:rPr>
              <w:t>D410300000000201912070008</w:t>
            </w:r>
          </w:p>
        </w:tc>
        <w:tc>
          <w:tcPr>
            <w:tcW w:w="2100"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val="en-US" w:eastAsia="zh-CN"/>
              </w:rPr>
              <w:t>原九组组长孙红军2014年12月把范玉杏家的五亩杏树砍光，私搭乱建。</w:t>
            </w:r>
          </w:p>
        </w:tc>
        <w:tc>
          <w:tcPr>
            <w:tcW w:w="5318"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Calibri" w:hAnsi="Calibri" w:eastAsia="宋体" w:cs="Times New Roman"/>
                <w:kern w:val="2"/>
                <w:sz w:val="21"/>
                <w:szCs w:val="22"/>
                <w:lang w:val="en-US" w:eastAsia="zh-CN" w:bidi="ar-SA"/>
              </w:rPr>
            </w:pPr>
            <w:r>
              <w:rPr>
                <w:rFonts w:hint="eastAsia"/>
                <w:lang w:val="en-US" w:eastAsia="zh-CN"/>
              </w:rPr>
              <w:t>经高新区孙旗屯乡现场核实，高新区前五龙沟村原九组组长孙红军系范玉杏的侄子，此投诉件属亲属纠纷。该林地所有权为范玉杏，孙红军监管长期种杏树。2014年12月把范玉杏家的“五亩地”约10棵杏树砍光，近期又在该地放线定位，准备建造住房。</w:t>
            </w:r>
          </w:p>
        </w:tc>
        <w:tc>
          <w:tcPr>
            <w:tcW w:w="789"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Calibri" w:hAnsi="Calibri" w:eastAsia="宋体" w:cs="Times New Roman"/>
                <w:kern w:val="2"/>
                <w:sz w:val="21"/>
                <w:szCs w:val="22"/>
                <w:lang w:val="en-US" w:eastAsia="zh-CN" w:bidi="ar-SA"/>
              </w:rPr>
            </w:pPr>
            <w:r>
              <w:rPr>
                <w:rFonts w:hint="eastAsia"/>
                <w:lang w:eastAsia="zh-CN"/>
              </w:rPr>
              <w:t>属实</w:t>
            </w:r>
          </w:p>
        </w:tc>
        <w:tc>
          <w:tcPr>
            <w:tcW w:w="2900"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Calibri" w:hAnsi="Calibri" w:eastAsia="宋体" w:cs="Times New Roman"/>
                <w:kern w:val="2"/>
                <w:sz w:val="21"/>
                <w:szCs w:val="22"/>
                <w:lang w:val="en-US" w:eastAsia="zh-CN" w:bidi="ar-SA"/>
              </w:rPr>
            </w:pPr>
            <w:r>
              <w:rPr>
                <w:rFonts w:hint="eastAsia"/>
                <w:lang w:val="en-US" w:eastAsia="zh-CN"/>
              </w:rPr>
              <w:t>高新区孙旗屯乡前沟村村委会已制止孙红军在该地块私自建房，并安排恢复种植。下一步，高新区政府要求孙旗屯乡政府举一反三，对违法占地行为进一步排查整治。</w:t>
            </w:r>
          </w:p>
        </w:tc>
        <w:tc>
          <w:tcPr>
            <w:tcW w:w="639" w:type="dxa"/>
            <w:tcBorders>
              <w:top w:val="nil"/>
              <w:left w:val="nil"/>
              <w:bottom w:val="single" w:color="auto" w:sz="4" w:space="0"/>
              <w:right w:val="single" w:color="auto" w:sz="8" w:space="0"/>
            </w:tcBorders>
            <w:vAlign w:val="center"/>
          </w:tcPr>
          <w:p>
            <w:pPr>
              <w:keepNext w:val="0"/>
              <w:keepLines w:val="0"/>
              <w:suppressLineNumbers w:val="0"/>
              <w:bidi w:val="0"/>
              <w:spacing w:before="0" w:beforeAutospacing="0" w:after="0" w:afterAutospacing="0"/>
              <w:ind w:left="0" w:right="0"/>
              <w:rPr>
                <w:rFonts w:hint="default"/>
                <w:lang w:val="en-US" w:eastAsia="zh-CN"/>
              </w:rPr>
            </w:pPr>
          </w:p>
        </w:tc>
      </w:tr>
      <w:tr>
        <w:tblPrEx>
          <w:tblCellMar>
            <w:top w:w="0" w:type="dxa"/>
            <w:left w:w="57" w:type="dxa"/>
            <w:bottom w:w="0" w:type="dxa"/>
            <w:right w:w="57" w:type="dxa"/>
          </w:tblCellMar>
        </w:tblPrEx>
        <w:trPr>
          <w:trHeight w:val="1805" w:hRule="atLeast"/>
          <w:jc w:val="center"/>
        </w:trPr>
        <w:tc>
          <w:tcPr>
            <w:tcW w:w="594" w:type="dxa"/>
            <w:tcBorders>
              <w:top w:val="nil"/>
              <w:left w:val="single" w:color="auto" w:sz="8" w:space="0"/>
              <w:bottom w:val="single" w:color="auto" w:sz="4" w:space="0"/>
              <w:right w:val="single" w:color="auto" w:sz="4" w:space="0"/>
            </w:tcBorders>
            <w:vAlign w:val="center"/>
          </w:tcPr>
          <w:p>
            <w:pPr>
              <w:keepNext w:val="0"/>
              <w:keepLines w:val="0"/>
              <w:numPr>
                <w:ilvl w:val="0"/>
                <w:numId w:val="1"/>
              </w:numPr>
              <w:suppressLineNumbers w:val="0"/>
              <w:bidi w:val="0"/>
              <w:spacing w:before="0" w:beforeAutospacing="0" w:after="0" w:afterAutospacing="0"/>
              <w:ind w:left="454" w:leftChars="0" w:right="0" w:hanging="454" w:firstLineChars="0"/>
              <w:rPr>
                <w:rFonts w:hint="default" w:ascii="Times New Roman" w:hAnsi="Times New Roman" w:cs="Times New Roman"/>
                <w:lang w:val="en-US" w:eastAsia="zh-CN"/>
              </w:rPr>
            </w:pPr>
          </w:p>
        </w:tc>
        <w:tc>
          <w:tcPr>
            <w:tcW w:w="1759"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rPr>
              <w:t>D410300000000201912070007</w:t>
            </w:r>
          </w:p>
        </w:tc>
        <w:tc>
          <w:tcPr>
            <w:tcW w:w="2100"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rPr>
              <w:t>孟津县白鹤镇到东凉镇黄河段有</w:t>
            </w:r>
            <w:r>
              <w:rPr>
                <w:rFonts w:hint="default"/>
              </w:rPr>
              <w:t>6-7</w:t>
            </w:r>
            <w:r>
              <w:rPr>
                <w:rFonts w:hint="eastAsia"/>
              </w:rPr>
              <w:t>条船夜间</w:t>
            </w:r>
            <w:r>
              <w:rPr>
                <w:rFonts w:hint="default"/>
              </w:rPr>
              <w:t>10</w:t>
            </w:r>
            <w:r>
              <w:rPr>
                <w:rFonts w:hint="eastAsia"/>
              </w:rPr>
              <w:t>点左右用电捕鱼，破坏生态</w:t>
            </w:r>
          </w:p>
        </w:tc>
        <w:tc>
          <w:tcPr>
            <w:tcW w:w="5318"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rPr>
              <w:t>经调查，12月8日夜三处水域有电船或疑似电鱼船船作业。第一处是位于会盟镇东良大堤东对岸孟州水域有一个亮光在水上移动，疑似电鱼船。第二处是在会盟镇二广高速黄河大桥东至下古河段与孟州市搭界水域有</w:t>
            </w:r>
            <w:r>
              <w:rPr>
                <w:rFonts w:hint="default"/>
              </w:rPr>
              <w:t>3</w:t>
            </w:r>
            <w:r>
              <w:rPr>
                <w:rFonts w:hint="eastAsia"/>
              </w:rPr>
              <w:t>盏灯在水面来回游动忽隐忽现，确定是电鱼船。第三处是在白鹤镇码头东舟桥训练场地对面北一艘电鱼船。</w:t>
            </w:r>
            <w:r>
              <w:rPr>
                <w:rFonts w:hint="default"/>
              </w:rPr>
              <w:t>9</w:t>
            </w:r>
            <w:r>
              <w:rPr>
                <w:rFonts w:hint="eastAsia"/>
              </w:rPr>
              <w:t>日夜</w:t>
            </w:r>
            <w:r>
              <w:rPr>
                <w:rFonts w:hint="default"/>
              </w:rPr>
              <w:t>8</w:t>
            </w:r>
            <w:r>
              <w:rPr>
                <w:rFonts w:hint="eastAsia"/>
              </w:rPr>
              <w:t>时</w:t>
            </w:r>
            <w:r>
              <w:rPr>
                <w:rFonts w:hint="default"/>
              </w:rPr>
              <w:t>30</w:t>
            </w:r>
            <w:r>
              <w:rPr>
                <w:rFonts w:hint="eastAsia"/>
              </w:rPr>
              <w:t>分左右，县渔政执法人员与县公安局联合在黄河大堤巡查过程中，当场抓获非法电鱼的王某，并以涉嫌非法电力捕鱼扣押两台发电机、两台捕鱼器和电线等电鱼工具。</w:t>
            </w:r>
          </w:p>
        </w:tc>
        <w:tc>
          <w:tcPr>
            <w:tcW w:w="789"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rPr>
              <w:t>属实</w:t>
            </w:r>
          </w:p>
        </w:tc>
        <w:tc>
          <w:tcPr>
            <w:tcW w:w="2900"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rPr>
              <w:t>目前，</w:t>
            </w:r>
            <w:r>
              <w:rPr>
                <w:rFonts w:hint="eastAsia"/>
                <w:lang w:val="en-US" w:eastAsia="zh-CN"/>
              </w:rPr>
              <w:t>孟津</w:t>
            </w:r>
            <w:r>
              <w:rPr>
                <w:rFonts w:hint="eastAsia"/>
              </w:rPr>
              <w:t>县公安部门依据《中华人民共和国治安管理处罚法》相关规定对非法电鱼王某</w:t>
            </w:r>
            <w:r>
              <w:rPr>
                <w:rFonts w:hint="eastAsia"/>
                <w:lang w:val="en-US" w:eastAsia="zh-CN"/>
              </w:rPr>
              <w:t>行政拘留5日。</w:t>
            </w:r>
            <w:r>
              <w:rPr>
                <w:rFonts w:hint="eastAsia"/>
              </w:rPr>
              <w:t>今后，</w:t>
            </w:r>
            <w:r>
              <w:rPr>
                <w:rFonts w:hint="eastAsia"/>
                <w:lang w:val="en-US" w:eastAsia="zh-CN"/>
              </w:rPr>
              <w:t>孟津</w:t>
            </w:r>
            <w:r>
              <w:rPr>
                <w:rFonts w:hint="eastAsia"/>
              </w:rPr>
              <w:t>县按照《孟津县河长制办公室关于开展联合打击黄河非法电鱼专项行动的通知》（孟河办〔</w:t>
            </w:r>
            <w:r>
              <w:rPr>
                <w:rFonts w:hint="default"/>
              </w:rPr>
              <w:t>2019</w:t>
            </w:r>
            <w:r>
              <w:rPr>
                <w:rFonts w:hint="eastAsia"/>
              </w:rPr>
              <w:t>〕</w:t>
            </w:r>
            <w:r>
              <w:rPr>
                <w:rFonts w:hint="default"/>
              </w:rPr>
              <w:t>6</w:t>
            </w:r>
            <w:r>
              <w:rPr>
                <w:rFonts w:hint="eastAsia"/>
              </w:rPr>
              <w:t>号）精神，进一步加大黄河孟津段渔政执法巡查力度，严厉打击违法电捕鱼行为，依法保护黄河渔业资源，切实解决好群众的持续关切。</w:t>
            </w:r>
          </w:p>
        </w:tc>
        <w:tc>
          <w:tcPr>
            <w:tcW w:w="639" w:type="dxa"/>
            <w:tcBorders>
              <w:top w:val="nil"/>
              <w:left w:val="nil"/>
              <w:bottom w:val="single" w:color="auto" w:sz="4" w:space="0"/>
              <w:right w:val="single" w:color="auto" w:sz="8" w:space="0"/>
            </w:tcBorders>
            <w:vAlign w:val="center"/>
          </w:tcPr>
          <w:p>
            <w:pPr>
              <w:keepNext w:val="0"/>
              <w:keepLines w:val="0"/>
              <w:suppressLineNumbers w:val="0"/>
              <w:bidi w:val="0"/>
              <w:spacing w:before="0" w:beforeAutospacing="0" w:after="0" w:afterAutospacing="0"/>
              <w:ind w:left="0" w:right="0"/>
              <w:rPr>
                <w:rFonts w:hint="default" w:ascii="Times New Roman" w:hAnsi="Times New Roman" w:cs="Times New Roman"/>
                <w:lang w:val="en-US" w:eastAsia="zh-CN"/>
              </w:rPr>
            </w:pPr>
          </w:p>
        </w:tc>
      </w:tr>
      <w:tr>
        <w:tblPrEx>
          <w:tblCellMar>
            <w:top w:w="0" w:type="dxa"/>
            <w:left w:w="57" w:type="dxa"/>
            <w:bottom w:w="0" w:type="dxa"/>
            <w:right w:w="57" w:type="dxa"/>
          </w:tblCellMar>
        </w:tblPrEx>
        <w:trPr>
          <w:trHeight w:val="927" w:hRule="atLeast"/>
          <w:jc w:val="center"/>
        </w:trPr>
        <w:tc>
          <w:tcPr>
            <w:tcW w:w="594" w:type="dxa"/>
            <w:tcBorders>
              <w:top w:val="nil"/>
              <w:left w:val="single" w:color="auto" w:sz="8" w:space="0"/>
              <w:bottom w:val="single" w:color="auto" w:sz="4" w:space="0"/>
              <w:right w:val="single" w:color="auto" w:sz="4" w:space="0"/>
            </w:tcBorders>
            <w:vAlign w:val="center"/>
          </w:tcPr>
          <w:p>
            <w:pPr>
              <w:keepNext w:val="0"/>
              <w:keepLines w:val="0"/>
              <w:numPr>
                <w:ilvl w:val="0"/>
                <w:numId w:val="1"/>
              </w:numPr>
              <w:suppressLineNumbers w:val="0"/>
              <w:bidi w:val="0"/>
              <w:spacing w:before="0" w:beforeAutospacing="0" w:after="0" w:afterAutospacing="0"/>
              <w:ind w:left="454" w:leftChars="0" w:right="0" w:hanging="454" w:firstLineChars="0"/>
              <w:rPr>
                <w:rFonts w:hint="default" w:ascii="Times New Roman" w:hAnsi="Times New Roman" w:cs="Times New Roman"/>
                <w:lang w:val="en-US" w:eastAsia="zh-CN"/>
              </w:rPr>
            </w:pPr>
          </w:p>
        </w:tc>
        <w:tc>
          <w:tcPr>
            <w:tcW w:w="1759"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val="en-US" w:eastAsia="zh-CN"/>
              </w:rPr>
              <w:t>D410300000000201912070006</w:t>
            </w:r>
          </w:p>
        </w:tc>
        <w:tc>
          <w:tcPr>
            <w:tcW w:w="2100"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val="en-US" w:eastAsia="zh-CN"/>
              </w:rPr>
              <w:t>生活污水乱排，气味难闻，百年古树坏死。诉求人强烈要求当面告知办理结果。</w:t>
            </w:r>
          </w:p>
        </w:tc>
        <w:tc>
          <w:tcPr>
            <w:tcW w:w="5318"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default"/>
                <w:lang w:val="en-US" w:eastAsia="zh-CN"/>
              </w:rPr>
              <w:t>铁门镇庙头村雨污分流工程沿310国道由西向东铺设，于2018年基本完成，污水进入新安县产业集聚区污水处理厂处理。投诉人反映的地点位于庙头村西下沟，因西下沟地势较低，与国道落差3至4米，污水无法流入污水管网，附近群众称夏季雨水多时，该区域的杂物以及旱厕粪便都被雨水冲进该区域，形成一条臭水沟。现场的确存在一棵枯树，该枯树为皂角树，附近群众口述树龄约40年，附近有树木十余棵，未发现其它枯树。                                  因为无法联系上投诉人，所以无法当面告知，目前已安排在庙头村委公示栏中张贴《公告》。</w:t>
            </w:r>
          </w:p>
        </w:tc>
        <w:tc>
          <w:tcPr>
            <w:tcW w:w="789"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val="en-US" w:eastAsia="zh-CN"/>
              </w:rPr>
              <w:t>属实</w:t>
            </w:r>
          </w:p>
        </w:tc>
        <w:tc>
          <w:tcPr>
            <w:tcW w:w="2900"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default"/>
                <w:lang w:val="en-US" w:eastAsia="zh-CN"/>
              </w:rPr>
              <w:t>1、铁门镇党委政府调查组组织包村干部和村干部到现场进行走访，并形成污水解决方案，彻底解决污水乱排问题。</w:t>
            </w:r>
            <w:r>
              <w:rPr>
                <w:rFonts w:hint="default"/>
                <w:lang w:val="en-US" w:eastAsia="zh-CN"/>
              </w:rPr>
              <w:br w:type="textWrapping"/>
            </w:r>
            <w:r>
              <w:rPr>
                <w:rFonts w:hint="default"/>
                <w:lang w:val="en-US" w:eastAsia="zh-CN"/>
              </w:rPr>
              <w:t>2、由铁门镇政府对庙头村包片负责人，庙中片区支部书记邓木森进行问责，给予其全镇通报批评处分。</w:t>
            </w:r>
          </w:p>
        </w:tc>
        <w:tc>
          <w:tcPr>
            <w:tcW w:w="639" w:type="dxa"/>
            <w:tcBorders>
              <w:top w:val="nil"/>
              <w:left w:val="nil"/>
              <w:bottom w:val="single" w:color="auto" w:sz="4" w:space="0"/>
              <w:right w:val="single" w:color="auto" w:sz="8" w:space="0"/>
            </w:tcBorders>
            <w:vAlign w:val="center"/>
          </w:tcPr>
          <w:p>
            <w:pPr>
              <w:keepNext w:val="0"/>
              <w:keepLines w:val="0"/>
              <w:suppressLineNumbers w:val="0"/>
              <w:bidi w:val="0"/>
              <w:spacing w:before="0" w:beforeAutospacing="0" w:after="0" w:afterAutospacing="0"/>
              <w:ind w:left="0" w:right="0"/>
              <w:rPr>
                <w:rFonts w:hint="default" w:ascii="Times New Roman" w:hAnsi="Times New Roman" w:cs="Times New Roman"/>
                <w:lang w:val="en-US" w:eastAsia="zh-CN"/>
              </w:rPr>
            </w:pPr>
          </w:p>
        </w:tc>
      </w:tr>
      <w:tr>
        <w:tblPrEx>
          <w:tblCellMar>
            <w:top w:w="0" w:type="dxa"/>
            <w:left w:w="57" w:type="dxa"/>
            <w:bottom w:w="0" w:type="dxa"/>
            <w:right w:w="57" w:type="dxa"/>
          </w:tblCellMar>
        </w:tblPrEx>
        <w:trPr>
          <w:trHeight w:val="927" w:hRule="atLeast"/>
          <w:jc w:val="center"/>
        </w:trPr>
        <w:tc>
          <w:tcPr>
            <w:tcW w:w="594" w:type="dxa"/>
            <w:tcBorders>
              <w:top w:val="nil"/>
              <w:left w:val="single" w:color="auto" w:sz="8" w:space="0"/>
              <w:bottom w:val="single" w:color="auto" w:sz="4" w:space="0"/>
              <w:right w:val="single" w:color="auto" w:sz="4" w:space="0"/>
            </w:tcBorders>
            <w:vAlign w:val="center"/>
          </w:tcPr>
          <w:p>
            <w:pPr>
              <w:keepNext w:val="0"/>
              <w:keepLines w:val="0"/>
              <w:numPr>
                <w:ilvl w:val="0"/>
                <w:numId w:val="1"/>
              </w:numPr>
              <w:suppressLineNumbers w:val="0"/>
              <w:bidi w:val="0"/>
              <w:spacing w:before="0" w:beforeAutospacing="0" w:after="0" w:afterAutospacing="0"/>
              <w:ind w:left="454" w:leftChars="0" w:right="0" w:hanging="454" w:firstLineChars="0"/>
              <w:rPr>
                <w:rFonts w:hint="default" w:ascii="Times New Roman" w:hAnsi="Times New Roman" w:cs="Times New Roman"/>
                <w:lang w:val="en-US" w:eastAsia="zh-CN"/>
              </w:rPr>
            </w:pPr>
          </w:p>
        </w:tc>
        <w:tc>
          <w:tcPr>
            <w:tcW w:w="1759"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default"/>
              </w:rPr>
              <w:t>D410300000000201912070005</w:t>
            </w:r>
          </w:p>
        </w:tc>
        <w:tc>
          <w:tcPr>
            <w:tcW w:w="2100"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rPr>
              <w:t>洛新工业园“一刀切”问题</w:t>
            </w:r>
          </w:p>
        </w:tc>
        <w:tc>
          <w:tcPr>
            <w:tcW w:w="5318"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eastAsia"/>
                <w:lang w:val="en-US" w:eastAsia="zh-CN"/>
              </w:rPr>
            </w:pPr>
            <w:r>
              <w:rPr>
                <w:rFonts w:hint="eastAsia"/>
                <w:lang w:eastAsia="zh-CN"/>
              </w:rPr>
              <w:t>洛阳市根据《河南省重点行业重污染天气应急管控措施技术指南》和《河南省微涉气行业管控措施技术指南》制定应急减排措施，要求企业根据洛阳市</w:t>
            </w:r>
            <w:r>
              <w:rPr>
                <w:rFonts w:hint="eastAsia"/>
                <w:lang w:val="en-US" w:eastAsia="zh-CN"/>
              </w:rPr>
              <w:t>2019年涉气工业企业重污染天气应急减排措施“一厂一策”实施方案编制要点制定本企业的“一厂一策”方案并严格执行。</w:t>
            </w:r>
          </w:p>
          <w:p>
            <w:pPr>
              <w:keepNext w:val="0"/>
              <w:keepLines w:val="0"/>
              <w:suppressLineNumbers w:val="0"/>
              <w:bidi w:val="0"/>
              <w:spacing w:before="0" w:beforeAutospacing="0" w:after="0" w:afterAutospacing="0"/>
              <w:ind w:left="0" w:right="0"/>
              <w:rPr>
                <w:rFonts w:hint="eastAsia"/>
              </w:rPr>
            </w:pPr>
            <w:r>
              <w:rPr>
                <w:rFonts w:hint="eastAsia"/>
              </w:rPr>
              <w:t xml:space="preserve">洛新产业集聚区管理委员会按照《洛阳市污染防治攻坚战领导小组办公室关于在城市区及组团县启动重污染天气红色（I级）预警响应的通知》精神落实管控指令。被列入管控清单企业101家，管控措施均按照技术指南严格制定，管控期间未采取强制断电等措施。 </w:t>
            </w:r>
          </w:p>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rPr>
              <w:t>洛新产业集聚区管理委员会依照市县相关文件落实重污染天气应急管控指令，对窑炉、耐火材料、机械加工等企业分类管理，采取“限产、停产”等措施，投诉人反映的 “一刀切”问题不属实。</w:t>
            </w:r>
          </w:p>
        </w:tc>
        <w:tc>
          <w:tcPr>
            <w:tcW w:w="789"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rPr>
              <w:t>不属实</w:t>
            </w:r>
          </w:p>
        </w:tc>
        <w:tc>
          <w:tcPr>
            <w:tcW w:w="2900"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rPr>
              <w:t>洛新产业集聚区管理委员会、新安县环保局督促企业严格按照洛阳市重污染天气预警管控要求落实各项管控措施，一经发现违反管控要求的立即依法严厉查处，并采取查封扣押、移交公安等措施。对相关企业进行实地走访，针对重污染天气管控政策，为企业做好宣传、解释、安抚工作。</w:t>
            </w:r>
          </w:p>
        </w:tc>
        <w:tc>
          <w:tcPr>
            <w:tcW w:w="639" w:type="dxa"/>
            <w:tcBorders>
              <w:top w:val="nil"/>
              <w:left w:val="nil"/>
              <w:bottom w:val="single" w:color="auto" w:sz="4" w:space="0"/>
              <w:right w:val="single" w:color="auto" w:sz="8" w:space="0"/>
            </w:tcBorders>
            <w:vAlign w:val="center"/>
          </w:tcPr>
          <w:p>
            <w:pPr>
              <w:keepNext w:val="0"/>
              <w:keepLines w:val="0"/>
              <w:suppressLineNumbers w:val="0"/>
              <w:bidi w:val="0"/>
              <w:spacing w:before="0" w:beforeAutospacing="0" w:after="0" w:afterAutospacing="0"/>
              <w:ind w:left="0" w:right="0"/>
              <w:rPr>
                <w:rFonts w:hint="default" w:ascii="Times New Roman" w:hAnsi="Times New Roman" w:cs="Times New Roman"/>
                <w:lang w:val="en-US" w:eastAsia="zh-CN"/>
              </w:rPr>
            </w:pPr>
          </w:p>
        </w:tc>
      </w:tr>
      <w:tr>
        <w:tblPrEx>
          <w:tblCellMar>
            <w:top w:w="0" w:type="dxa"/>
            <w:left w:w="57" w:type="dxa"/>
            <w:bottom w:w="0" w:type="dxa"/>
            <w:right w:w="57" w:type="dxa"/>
          </w:tblCellMar>
        </w:tblPrEx>
        <w:trPr>
          <w:trHeight w:val="424" w:hRule="atLeast"/>
          <w:jc w:val="center"/>
        </w:trPr>
        <w:tc>
          <w:tcPr>
            <w:tcW w:w="594" w:type="dxa"/>
            <w:tcBorders>
              <w:top w:val="nil"/>
              <w:left w:val="single" w:color="auto" w:sz="8" w:space="0"/>
              <w:bottom w:val="single" w:color="auto" w:sz="4" w:space="0"/>
              <w:right w:val="single" w:color="auto" w:sz="4" w:space="0"/>
            </w:tcBorders>
            <w:vAlign w:val="center"/>
          </w:tcPr>
          <w:p>
            <w:pPr>
              <w:keepNext w:val="0"/>
              <w:keepLines w:val="0"/>
              <w:numPr>
                <w:ilvl w:val="0"/>
                <w:numId w:val="1"/>
              </w:numPr>
              <w:suppressLineNumbers w:val="0"/>
              <w:bidi w:val="0"/>
              <w:spacing w:before="0" w:beforeAutospacing="0" w:after="0" w:afterAutospacing="0"/>
              <w:ind w:left="454" w:leftChars="0" w:right="0" w:hanging="454" w:firstLineChars="0"/>
              <w:rPr>
                <w:rFonts w:hint="default" w:ascii="Times New Roman" w:hAnsi="Times New Roman" w:cs="Times New Roman"/>
                <w:lang w:val="en-US" w:eastAsia="zh-CN"/>
              </w:rPr>
            </w:pPr>
          </w:p>
        </w:tc>
        <w:tc>
          <w:tcPr>
            <w:tcW w:w="1759"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val="en-US" w:eastAsia="zh-CN"/>
              </w:rPr>
              <w:t>D410300000000201912070004</w:t>
            </w:r>
          </w:p>
        </w:tc>
        <w:tc>
          <w:tcPr>
            <w:tcW w:w="2100"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val="en-US" w:eastAsia="zh-CN"/>
              </w:rPr>
              <w:t>凯飞机械加工厂车间晚上偷偷生产。</w:t>
            </w:r>
          </w:p>
        </w:tc>
        <w:tc>
          <w:tcPr>
            <w:tcW w:w="5318"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eastAsia"/>
                <w:lang w:val="en-US" w:eastAsia="zh-CN"/>
              </w:rPr>
            </w:pPr>
            <w:r>
              <w:rPr>
                <w:rFonts w:hint="eastAsia"/>
                <w:lang w:val="en-US" w:eastAsia="zh-CN"/>
              </w:rPr>
              <w:t>1、2019年11月17日，高新区孙旗屯乡政府收到群众110联动电话举报（交办单号002365），内容为：高新土桥沟社区凯飞机械加工厂，晚上偷偷生产，针对该问题，孙旗屯乡立即组织乡、村两级工作人员前往现场调查处理，经核实该厂现已做为仓库使用，无生产机械、设备，仅存放有焊机，无生产现象。孙旗屯乡土桥沟社区工作人员要求企业负责人对现场物品进行清理。</w:t>
            </w:r>
          </w:p>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val="en-US" w:eastAsia="zh-CN"/>
              </w:rPr>
              <w:t>2、2019年12月7日，高新区孙旗屯乡安监办工作人员进行现场核实，该厂为空厂房，无任何生产迹象。</w:t>
            </w:r>
          </w:p>
        </w:tc>
        <w:tc>
          <w:tcPr>
            <w:tcW w:w="789"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val="en-US" w:eastAsia="zh-CN"/>
              </w:rPr>
              <w:t>不</w:t>
            </w:r>
            <w:r>
              <w:rPr>
                <w:rFonts w:hint="eastAsia"/>
                <w:lang w:eastAsia="zh-CN"/>
              </w:rPr>
              <w:t>属实</w:t>
            </w:r>
          </w:p>
        </w:tc>
        <w:tc>
          <w:tcPr>
            <w:tcW w:w="2900"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val="en-US" w:eastAsia="zh-CN"/>
              </w:rPr>
              <w:t>凯飞机械厂已于2019年11月30前彻底清空，在此期间，巡查人员日常检查时未发现其有夜间偷偷生产迹象。下一步，高新区政府要求孙旗屯对辖区内“散乱污”企业进行彻底排查，做到举一反三，加强日常监管，严</w:t>
            </w:r>
            <w:bookmarkStart w:id="1" w:name="_GoBack"/>
            <w:bookmarkEnd w:id="1"/>
            <w:r>
              <w:rPr>
                <w:rFonts w:hint="eastAsia"/>
                <w:lang w:val="en-US" w:eastAsia="zh-CN"/>
              </w:rPr>
              <w:t>防“散乱污”企业死灰复燃。</w:t>
            </w:r>
          </w:p>
        </w:tc>
        <w:tc>
          <w:tcPr>
            <w:tcW w:w="639" w:type="dxa"/>
            <w:tcBorders>
              <w:top w:val="nil"/>
              <w:left w:val="nil"/>
              <w:bottom w:val="single" w:color="auto" w:sz="4" w:space="0"/>
              <w:right w:val="single" w:color="auto" w:sz="8" w:space="0"/>
            </w:tcBorders>
            <w:vAlign w:val="center"/>
          </w:tcPr>
          <w:p>
            <w:pPr>
              <w:keepNext w:val="0"/>
              <w:keepLines w:val="0"/>
              <w:suppressLineNumbers w:val="0"/>
              <w:bidi w:val="0"/>
              <w:spacing w:before="0" w:beforeAutospacing="0" w:after="0" w:afterAutospacing="0"/>
              <w:ind w:left="0" w:right="0"/>
              <w:rPr>
                <w:rFonts w:hint="default" w:ascii="Times New Roman" w:hAnsi="Times New Roman" w:cs="Times New Roman"/>
                <w:lang w:val="en-US" w:eastAsia="zh-CN"/>
              </w:rPr>
            </w:pPr>
          </w:p>
        </w:tc>
      </w:tr>
      <w:tr>
        <w:tblPrEx>
          <w:tblCellMar>
            <w:top w:w="0" w:type="dxa"/>
            <w:left w:w="57" w:type="dxa"/>
            <w:bottom w:w="0" w:type="dxa"/>
            <w:right w:w="57" w:type="dxa"/>
          </w:tblCellMar>
        </w:tblPrEx>
        <w:trPr>
          <w:trHeight w:val="927" w:hRule="atLeast"/>
          <w:jc w:val="center"/>
        </w:trPr>
        <w:tc>
          <w:tcPr>
            <w:tcW w:w="594" w:type="dxa"/>
            <w:tcBorders>
              <w:top w:val="nil"/>
              <w:left w:val="single" w:color="auto" w:sz="8" w:space="0"/>
              <w:bottom w:val="single" w:color="auto" w:sz="4" w:space="0"/>
              <w:right w:val="single" w:color="auto" w:sz="4" w:space="0"/>
            </w:tcBorders>
            <w:vAlign w:val="center"/>
          </w:tcPr>
          <w:p>
            <w:pPr>
              <w:keepNext w:val="0"/>
              <w:keepLines w:val="0"/>
              <w:numPr>
                <w:ilvl w:val="0"/>
                <w:numId w:val="1"/>
              </w:numPr>
              <w:suppressLineNumbers w:val="0"/>
              <w:bidi w:val="0"/>
              <w:spacing w:before="0" w:beforeAutospacing="0" w:after="0" w:afterAutospacing="0"/>
              <w:ind w:left="454" w:leftChars="0" w:right="0" w:hanging="454" w:firstLineChars="0"/>
              <w:rPr>
                <w:rFonts w:hint="default" w:ascii="Times New Roman" w:hAnsi="Times New Roman" w:cs="Times New Roman"/>
                <w:lang w:val="en-US" w:eastAsia="zh-CN"/>
              </w:rPr>
            </w:pPr>
          </w:p>
        </w:tc>
        <w:tc>
          <w:tcPr>
            <w:tcW w:w="1759"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val="en-US" w:eastAsia="zh-CN"/>
              </w:rPr>
              <w:t>D410300000000201912070003</w:t>
            </w:r>
          </w:p>
        </w:tc>
        <w:tc>
          <w:tcPr>
            <w:tcW w:w="2100"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val="en-US" w:eastAsia="zh-CN"/>
              </w:rPr>
              <w:t>上灯村支部书记王玉超晚上10点后使用钩机作业，产生扬尘，噪声扰民。</w:t>
            </w:r>
          </w:p>
        </w:tc>
        <w:tc>
          <w:tcPr>
            <w:tcW w:w="5318"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rPr>
              <w:t>反映的“上古灯”应为上灯，“王玉超”应为王益超，通过走访石寺镇上灯村部分干部群众，均证明王益超没有钩机等工程机械，也没有参与露天矿山开采行为;石寺镇政府工作人员、县自然资源局对石寺镇上灯村矿山日常巡查中，未发现有私挖乱采情况。</w:t>
            </w:r>
          </w:p>
        </w:tc>
        <w:tc>
          <w:tcPr>
            <w:tcW w:w="789"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lang w:val="en-US" w:eastAsia="zh-CN"/>
              </w:rPr>
              <w:t>不属实</w:t>
            </w:r>
          </w:p>
        </w:tc>
        <w:tc>
          <w:tcPr>
            <w:tcW w:w="2900" w:type="dxa"/>
            <w:tcBorders>
              <w:top w:val="nil"/>
              <w:left w:val="nil"/>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rPr>
            </w:pPr>
          </w:p>
          <w:p>
            <w:pPr>
              <w:keepNext w:val="0"/>
              <w:keepLines w:val="0"/>
              <w:suppressLineNumbers w:val="0"/>
              <w:bidi w:val="0"/>
              <w:spacing w:before="0" w:beforeAutospacing="0" w:after="0" w:afterAutospacing="0"/>
              <w:ind w:left="0" w:right="0"/>
              <w:rPr>
                <w:rFonts w:hint="default"/>
              </w:rPr>
            </w:pPr>
            <w:r>
              <w:rPr>
                <w:rFonts w:hint="eastAsia"/>
              </w:rPr>
              <w:t>1、新安县人民政府要求石寺镇、县自然资源局加强巡查，督促矿山开采严格落实管控指令，坚决杜绝违法违规行为。</w:t>
            </w:r>
          </w:p>
          <w:p>
            <w:pPr>
              <w:keepNext w:val="0"/>
              <w:keepLines w:val="0"/>
              <w:suppressLineNumbers w:val="0"/>
              <w:bidi w:val="0"/>
              <w:spacing w:before="0" w:beforeAutospacing="0" w:after="0" w:afterAutospacing="0"/>
              <w:ind w:left="0" w:right="0"/>
              <w:rPr>
                <w:rFonts w:hint="default" w:asciiTheme="minorHAnsi" w:hAnsiTheme="minorHAnsi" w:eastAsiaTheme="minorEastAsia" w:cstheme="minorBidi"/>
                <w:kern w:val="2"/>
                <w:sz w:val="21"/>
                <w:szCs w:val="22"/>
                <w:lang w:val="en-US" w:eastAsia="zh-CN" w:bidi="ar-SA"/>
              </w:rPr>
            </w:pPr>
            <w:r>
              <w:rPr>
                <w:rFonts w:hint="eastAsia"/>
              </w:rPr>
              <w:t>2、进一步落实矿山污染防治“七个100%”，查漏补缺，确保各项环保措施不折不扣落实到位。</w:t>
            </w:r>
          </w:p>
        </w:tc>
        <w:tc>
          <w:tcPr>
            <w:tcW w:w="639" w:type="dxa"/>
            <w:tcBorders>
              <w:top w:val="nil"/>
              <w:left w:val="nil"/>
              <w:bottom w:val="single" w:color="auto" w:sz="4" w:space="0"/>
              <w:right w:val="single" w:color="auto" w:sz="8" w:space="0"/>
            </w:tcBorders>
            <w:vAlign w:val="center"/>
          </w:tcPr>
          <w:p>
            <w:pPr>
              <w:keepNext w:val="0"/>
              <w:keepLines w:val="0"/>
              <w:suppressLineNumbers w:val="0"/>
              <w:bidi w:val="0"/>
              <w:spacing w:before="0" w:beforeAutospacing="0" w:after="0" w:afterAutospacing="0"/>
              <w:ind w:left="0" w:right="0"/>
              <w:rPr>
                <w:rFonts w:hint="default" w:ascii="Times New Roman" w:hAnsi="Times New Roman" w:cs="Times New Roman"/>
                <w:lang w:val="en-US" w:eastAsia="zh-CN"/>
              </w:rPr>
            </w:pPr>
          </w:p>
        </w:tc>
      </w:tr>
      <w:tr>
        <w:tblPrEx>
          <w:tblCellMar>
            <w:top w:w="0" w:type="dxa"/>
            <w:left w:w="57" w:type="dxa"/>
            <w:bottom w:w="0" w:type="dxa"/>
            <w:right w:w="57" w:type="dxa"/>
          </w:tblCellMar>
        </w:tblPrEx>
        <w:trPr>
          <w:trHeight w:val="687" w:hRule="atLeast"/>
          <w:jc w:val="center"/>
        </w:trPr>
        <w:tc>
          <w:tcPr>
            <w:tcW w:w="594" w:type="dxa"/>
            <w:tcBorders>
              <w:top w:val="nil"/>
              <w:left w:val="single" w:color="auto" w:sz="8" w:space="0"/>
              <w:bottom w:val="single" w:color="auto" w:sz="4" w:space="0"/>
              <w:right w:val="single" w:color="auto" w:sz="4" w:space="0"/>
            </w:tcBorders>
            <w:vAlign w:val="center"/>
          </w:tcPr>
          <w:p>
            <w:pPr>
              <w:keepNext w:val="0"/>
              <w:keepLines w:val="0"/>
              <w:numPr>
                <w:ilvl w:val="0"/>
                <w:numId w:val="1"/>
              </w:numPr>
              <w:suppressLineNumbers w:val="0"/>
              <w:bidi w:val="0"/>
              <w:spacing w:before="0" w:beforeAutospacing="0" w:after="0" w:afterAutospacing="0"/>
              <w:ind w:left="454" w:leftChars="0" w:right="0" w:hanging="454" w:firstLineChars="0"/>
              <w:rPr>
                <w:rFonts w:hint="default" w:ascii="Times New Roman" w:hAnsi="Times New Roman" w:cs="Times New Roman"/>
                <w:lang w:val="en-US" w:eastAsia="zh-CN"/>
              </w:rPr>
            </w:pPr>
          </w:p>
        </w:tc>
        <w:tc>
          <w:tcPr>
            <w:tcW w:w="1759"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eastAsia" w:asciiTheme="minorHAnsi" w:hAnsiTheme="minorHAnsi" w:eastAsiaTheme="minorEastAsia" w:cstheme="minorBidi"/>
                <w:kern w:val="2"/>
                <w:sz w:val="21"/>
                <w:szCs w:val="22"/>
                <w:lang w:val="en-US" w:eastAsia="zh-CN" w:bidi="ar-SA"/>
              </w:rPr>
            </w:pPr>
            <w:r>
              <w:rPr>
                <w:rFonts w:hint="eastAsia"/>
              </w:rPr>
              <w:t>D41030000000020191</w:t>
            </w:r>
            <w:r>
              <w:rPr>
                <w:rFonts w:hint="eastAsia"/>
                <w:lang w:val="en-US" w:eastAsia="zh-CN"/>
              </w:rPr>
              <w:t>207</w:t>
            </w:r>
            <w:r>
              <w:rPr>
                <w:rFonts w:hint="eastAsia"/>
              </w:rPr>
              <w:t>00</w:t>
            </w:r>
            <w:r>
              <w:rPr>
                <w:rFonts w:hint="eastAsia"/>
                <w:lang w:val="en-US" w:eastAsia="zh-CN"/>
              </w:rPr>
              <w:t>02</w:t>
            </w:r>
          </w:p>
        </w:tc>
        <w:tc>
          <w:tcPr>
            <w:tcW w:w="210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eastAsia" w:asciiTheme="minorHAnsi" w:hAnsiTheme="minorHAnsi" w:eastAsiaTheme="minorEastAsia" w:cstheme="minorBidi"/>
                <w:kern w:val="2"/>
                <w:sz w:val="21"/>
                <w:szCs w:val="22"/>
                <w:lang w:val="en-US" w:eastAsia="zh-CN" w:bidi="ar-SA"/>
              </w:rPr>
            </w:pPr>
            <w:r>
              <w:rPr>
                <w:rFonts w:hint="eastAsia"/>
                <w:lang w:val="en-US" w:eastAsia="zh-CN"/>
              </w:rPr>
              <w:t>涧西区首电家属院东院，小区正在翻新改造，粉刷墙壁、拆除楼顶建筑，产生扬尘</w:t>
            </w:r>
            <w:r>
              <w:rPr>
                <w:rFonts w:hint="default"/>
                <w:lang w:eastAsia="zh-CN"/>
              </w:rPr>
              <w:t>。</w:t>
            </w:r>
          </w:p>
        </w:tc>
        <w:tc>
          <w:tcPr>
            <w:tcW w:w="5318"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eastAsia" w:asciiTheme="minorHAnsi" w:hAnsiTheme="minorHAnsi" w:eastAsiaTheme="minorEastAsia" w:cstheme="minorBidi"/>
                <w:kern w:val="2"/>
                <w:sz w:val="21"/>
                <w:szCs w:val="22"/>
                <w:lang w:val="en-US" w:eastAsia="zh-CN" w:bidi="ar-SA"/>
              </w:rPr>
            </w:pPr>
            <w:r>
              <w:rPr>
                <w:rFonts w:hint="eastAsia"/>
                <w:lang w:val="en-US" w:eastAsia="zh-CN"/>
              </w:rPr>
              <w:t>经调查，没有发现土石方作业，没有外墙粉刷，也没有拆除房顶建筑物，实为杂物清理、楼道内墙壁粉刷。</w:t>
            </w:r>
          </w:p>
        </w:tc>
        <w:tc>
          <w:tcPr>
            <w:tcW w:w="789"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eastAsia" w:asciiTheme="minorHAnsi" w:hAnsiTheme="minorHAnsi" w:eastAsiaTheme="minorEastAsia" w:cstheme="minorBidi"/>
                <w:kern w:val="2"/>
                <w:sz w:val="21"/>
                <w:szCs w:val="22"/>
                <w:lang w:val="en-US" w:eastAsia="zh-CN" w:bidi="ar-SA"/>
              </w:rPr>
            </w:pPr>
            <w:r>
              <w:rPr>
                <w:rFonts w:hint="eastAsia"/>
                <w:lang w:val="en-US" w:eastAsia="zh-CN"/>
              </w:rPr>
              <w:t>属实</w:t>
            </w:r>
          </w:p>
        </w:tc>
        <w:tc>
          <w:tcPr>
            <w:tcW w:w="290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1</w:t>
            </w:r>
            <w:r>
              <w:rPr>
                <w:rFonts w:hint="default"/>
                <w:lang w:val="en-US" w:eastAsia="zh-CN"/>
              </w:rPr>
              <w:t>、</w:t>
            </w:r>
            <w:r>
              <w:rPr>
                <w:rFonts w:hint="eastAsia"/>
                <w:lang w:val="en-US" w:eastAsia="zh-CN"/>
              </w:rPr>
              <w:t>涧西区珠江路办事处到首电家属院要求国祥物业对未清运但已封装的垃圾再次用土工布进行覆盖。</w:t>
            </w:r>
          </w:p>
          <w:p>
            <w:pPr>
              <w:keepNext w:val="0"/>
              <w:keepLines w:val="0"/>
              <w:suppressLineNumbers w:val="0"/>
              <w:bidi w:val="0"/>
              <w:spacing w:before="0" w:beforeAutospacing="0" w:after="0" w:afterAutospacing="0"/>
              <w:ind w:left="0" w:right="0"/>
              <w:rPr>
                <w:rFonts w:hint="default"/>
                <w:lang w:val="en-US" w:eastAsia="zh-CN"/>
              </w:rPr>
            </w:pPr>
            <w:r>
              <w:rPr>
                <w:rFonts w:hint="eastAsia"/>
                <w:lang w:val="en-US" w:eastAsia="zh-CN"/>
              </w:rPr>
              <w:t>2</w:t>
            </w:r>
            <w:r>
              <w:rPr>
                <w:rFonts w:hint="default"/>
                <w:lang w:val="en-US" w:eastAsia="zh-CN"/>
              </w:rPr>
              <w:t>、</w:t>
            </w:r>
            <w:r>
              <w:rPr>
                <w:rFonts w:hint="eastAsia"/>
                <w:lang w:val="en-US" w:eastAsia="zh-CN"/>
              </w:rPr>
              <w:t>涧西区珠江路办事处要求国祥物业对小区楼顶和保洁不到位的楼道进行全面冲洗，并定期保洁，确保卫生清洁到位。</w:t>
            </w:r>
          </w:p>
          <w:p>
            <w:pPr>
              <w:keepNext w:val="0"/>
              <w:keepLines w:val="0"/>
              <w:suppressLineNumbers w:val="0"/>
              <w:bidi w:val="0"/>
              <w:spacing w:before="0" w:beforeAutospacing="0" w:after="0" w:afterAutospacing="0"/>
              <w:ind w:left="0" w:right="0"/>
              <w:rPr>
                <w:rFonts w:hint="eastAsia" w:asciiTheme="minorHAnsi" w:hAnsiTheme="minorHAnsi" w:eastAsiaTheme="minorEastAsia" w:cstheme="minorBidi"/>
                <w:kern w:val="2"/>
                <w:sz w:val="21"/>
                <w:szCs w:val="22"/>
                <w:lang w:val="en-US" w:eastAsia="zh-CN" w:bidi="ar-SA"/>
              </w:rPr>
            </w:pPr>
            <w:r>
              <w:rPr>
                <w:rFonts w:hint="eastAsia"/>
                <w:lang w:val="en-US" w:eastAsia="zh-CN"/>
              </w:rPr>
              <w:t>3、涧西区珠江路办事处执法大队利用冲洗车协助该物业公司对院落进行定期湿扫保洁。</w:t>
            </w:r>
          </w:p>
        </w:tc>
        <w:tc>
          <w:tcPr>
            <w:tcW w:w="639" w:type="dxa"/>
            <w:tcBorders>
              <w:top w:val="nil"/>
              <w:left w:val="nil"/>
              <w:bottom w:val="nil"/>
              <w:right w:val="single" w:color="auto" w:sz="8" w:space="0"/>
            </w:tcBorders>
            <w:vAlign w:val="center"/>
          </w:tcPr>
          <w:p>
            <w:pPr>
              <w:keepNext w:val="0"/>
              <w:keepLines w:val="0"/>
              <w:suppressLineNumbers w:val="0"/>
              <w:bidi w:val="0"/>
              <w:spacing w:before="0" w:beforeAutospacing="0" w:after="0" w:afterAutospacing="0"/>
              <w:ind w:left="0" w:right="0"/>
              <w:rPr>
                <w:rFonts w:hint="default" w:ascii="Times New Roman" w:hAnsi="Times New Roman" w:cs="Times New Roman"/>
                <w:lang w:val="en-US" w:eastAsia="zh-CN"/>
              </w:rPr>
            </w:pPr>
          </w:p>
        </w:tc>
      </w:tr>
      <w:tr>
        <w:tblPrEx>
          <w:tblCellMar>
            <w:top w:w="0" w:type="dxa"/>
            <w:left w:w="57" w:type="dxa"/>
            <w:bottom w:w="0" w:type="dxa"/>
            <w:right w:w="57" w:type="dxa"/>
          </w:tblCellMar>
        </w:tblPrEx>
        <w:trPr>
          <w:trHeight w:val="687" w:hRule="atLeast"/>
          <w:jc w:val="center"/>
        </w:trPr>
        <w:tc>
          <w:tcPr>
            <w:tcW w:w="594" w:type="dxa"/>
            <w:tcBorders>
              <w:top w:val="single" w:color="auto" w:sz="4" w:space="0"/>
              <w:left w:val="single" w:color="auto" w:sz="4" w:space="0"/>
              <w:bottom w:val="single" w:color="auto" w:sz="4" w:space="0"/>
              <w:right w:val="single" w:color="auto" w:sz="4" w:space="0"/>
            </w:tcBorders>
            <w:vAlign w:val="center"/>
          </w:tcPr>
          <w:p>
            <w:pPr>
              <w:keepNext w:val="0"/>
              <w:keepLines w:val="0"/>
              <w:numPr>
                <w:ilvl w:val="0"/>
                <w:numId w:val="1"/>
              </w:numPr>
              <w:suppressLineNumbers w:val="0"/>
              <w:bidi w:val="0"/>
              <w:spacing w:before="0" w:beforeAutospacing="0" w:after="0" w:afterAutospacing="0"/>
              <w:ind w:left="454" w:leftChars="0" w:right="0" w:hanging="454" w:firstLineChars="0"/>
              <w:rPr>
                <w:rFonts w:hint="default" w:ascii="Times New Roman" w:hAnsi="Times New Roman" w:cs="Times New Roman"/>
                <w:lang w:val="en-US" w:eastAsia="zh-CN"/>
              </w:rPr>
            </w:pPr>
          </w:p>
        </w:tc>
        <w:tc>
          <w:tcPr>
            <w:tcW w:w="1759"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eastAsia" w:asciiTheme="minorHAnsi" w:hAnsiTheme="minorHAnsi" w:eastAsiaTheme="minorEastAsia" w:cstheme="minorBidi"/>
                <w:kern w:val="2"/>
                <w:sz w:val="21"/>
                <w:szCs w:val="22"/>
                <w:lang w:val="en-US" w:eastAsia="zh-CN" w:bidi="ar-SA"/>
              </w:rPr>
            </w:pPr>
            <w:r>
              <w:rPr>
                <w:rFonts w:hint="eastAsia"/>
              </w:rPr>
              <w:t>D41030000000020191</w:t>
            </w:r>
            <w:r>
              <w:rPr>
                <w:rFonts w:hint="eastAsia"/>
                <w:lang w:val="en-US" w:eastAsia="zh-CN"/>
              </w:rPr>
              <w:t>207</w:t>
            </w:r>
            <w:r>
              <w:rPr>
                <w:rFonts w:hint="eastAsia"/>
              </w:rPr>
              <w:t>00</w:t>
            </w:r>
            <w:r>
              <w:rPr>
                <w:rFonts w:hint="eastAsia"/>
                <w:lang w:val="en-US" w:eastAsia="zh-CN"/>
              </w:rPr>
              <w:t>01</w:t>
            </w:r>
          </w:p>
        </w:tc>
        <w:tc>
          <w:tcPr>
            <w:tcW w:w="210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eastAsia" w:asciiTheme="minorHAnsi" w:hAnsiTheme="minorHAnsi" w:eastAsiaTheme="minorEastAsia" w:cstheme="minorBidi"/>
                <w:kern w:val="2"/>
                <w:sz w:val="21"/>
                <w:szCs w:val="22"/>
                <w:lang w:val="en-US" w:eastAsia="zh-CN" w:bidi="ar-SA"/>
              </w:rPr>
            </w:pPr>
            <w:r>
              <w:rPr>
                <w:rFonts w:hint="eastAsia"/>
              </w:rPr>
              <w:t>伊滨区庞村镇草店村碧桂园小区居民吃水问题（吃的消防水），生活污水排入伊河东湖，碧桂园小区所有安全设备（水电暖、电梯、消防等）全部不达标。</w:t>
            </w:r>
            <w:r>
              <w:rPr>
                <w:rFonts w:hint="eastAsia"/>
                <w:lang w:eastAsia="zh-CN"/>
              </w:rPr>
              <w:t>对公示结果不满意，请领导高度重视。</w:t>
            </w:r>
          </w:p>
        </w:tc>
        <w:tc>
          <w:tcPr>
            <w:tcW w:w="5318"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eastAsia" w:asciiTheme="minorHAnsi" w:hAnsiTheme="minorHAnsi" w:eastAsiaTheme="minorEastAsia" w:cstheme="minorBidi"/>
                <w:kern w:val="2"/>
                <w:sz w:val="21"/>
                <w:szCs w:val="22"/>
                <w:lang w:val="en-US" w:eastAsia="zh-CN" w:bidi="ar-SA"/>
              </w:rPr>
            </w:pPr>
            <w:r>
              <w:rPr>
                <w:rFonts w:hint="eastAsia"/>
                <w:lang w:eastAsia="zh-CN"/>
              </w:rPr>
              <w:t>伊滨区管委会安排人员到碧桂园小区走访，随机访问了</w:t>
            </w:r>
            <w:r>
              <w:rPr>
                <w:rFonts w:hint="eastAsia"/>
                <w:lang w:val="en-US" w:eastAsia="zh-CN"/>
              </w:rPr>
              <w:t>3家业主，业主均反映小区用的是市政供水，水质安全可靠；没发现过小区向伊河东湖排污现象；小区的水电、消防、电梯安全可靠，没有出现过安全事故，小区定期组织业主参加或参观安全演练，对小区居住条件和物业服务比较满意。</w:t>
            </w:r>
          </w:p>
        </w:tc>
        <w:tc>
          <w:tcPr>
            <w:tcW w:w="789"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eastAsia" w:asciiTheme="minorHAnsi" w:hAnsiTheme="minorHAnsi" w:eastAsiaTheme="minorEastAsia" w:cstheme="minorBidi"/>
                <w:kern w:val="2"/>
                <w:sz w:val="21"/>
                <w:szCs w:val="22"/>
                <w:lang w:val="en-US" w:eastAsia="zh-CN" w:bidi="ar-SA"/>
              </w:rPr>
            </w:pPr>
            <w:r>
              <w:rPr>
                <w:rFonts w:hint="eastAsia"/>
              </w:rPr>
              <w:t>不属实</w:t>
            </w:r>
          </w:p>
        </w:tc>
        <w:tc>
          <w:tcPr>
            <w:tcW w:w="2900"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bidi w:val="0"/>
              <w:spacing w:before="0" w:beforeAutospacing="0" w:after="0" w:afterAutospacing="0"/>
              <w:ind w:left="0" w:right="0"/>
              <w:rPr>
                <w:rFonts w:hint="eastAsia"/>
              </w:rPr>
            </w:pPr>
            <w:r>
              <w:rPr>
                <w:rFonts w:hint="eastAsia"/>
              </w:rPr>
              <w:t>进一步加强管理，切实为居民提供安全和谐、文明卫生的居住环境。</w:t>
            </w:r>
          </w:p>
          <w:p>
            <w:pPr>
              <w:keepNext w:val="0"/>
              <w:keepLines w:val="0"/>
              <w:suppressLineNumbers w:val="0"/>
              <w:bidi w:val="0"/>
              <w:spacing w:before="0" w:beforeAutospacing="0" w:after="0" w:afterAutospacing="0"/>
              <w:ind w:left="0" w:right="0"/>
              <w:rPr>
                <w:rFonts w:hint="eastAsia" w:asciiTheme="minorHAnsi" w:hAnsiTheme="minorHAnsi" w:eastAsiaTheme="minorEastAsia" w:cstheme="minorBidi"/>
                <w:kern w:val="2"/>
                <w:sz w:val="21"/>
                <w:szCs w:val="22"/>
                <w:lang w:val="en-US" w:eastAsia="zh-CN" w:bidi="ar-SA"/>
              </w:rPr>
            </w:pPr>
          </w:p>
        </w:tc>
        <w:tc>
          <w:tcPr>
            <w:tcW w:w="639" w:type="dxa"/>
            <w:tcBorders>
              <w:top w:val="nil"/>
              <w:left w:val="nil"/>
              <w:bottom w:val="single" w:color="auto" w:sz="4" w:space="0"/>
              <w:right w:val="single" w:color="auto" w:sz="8" w:space="0"/>
            </w:tcBorders>
            <w:vAlign w:val="center"/>
          </w:tcPr>
          <w:p>
            <w:pPr>
              <w:keepNext w:val="0"/>
              <w:keepLines w:val="0"/>
              <w:suppressLineNumbers w:val="0"/>
              <w:bidi w:val="0"/>
              <w:spacing w:before="0" w:beforeAutospacing="0" w:after="0" w:afterAutospacing="0"/>
              <w:ind w:left="0" w:right="0"/>
              <w:rPr>
                <w:rFonts w:hint="default" w:ascii="Times New Roman" w:hAnsi="Times New Roman" w:cs="Times New Roman"/>
                <w:lang w:val="en-US" w:eastAsia="zh-CN"/>
              </w:rPr>
            </w:pPr>
          </w:p>
        </w:tc>
      </w:tr>
    </w:tbl>
    <w:p>
      <w:pPr>
        <w:widowControl/>
        <w:spacing w:line="480" w:lineRule="exact"/>
        <w:ind w:right="1281"/>
        <w:jc w:val="left"/>
        <w:rPr>
          <w:rFonts w:ascii="仿宋" w:hAnsi="仿宋" w:eastAsia="仿宋"/>
          <w:sz w:val="32"/>
          <w:szCs w:val="32"/>
        </w:rPr>
      </w:pPr>
    </w:p>
    <w:sectPr>
      <w:footerReference r:id="rId3" w:type="default"/>
      <w:pgSz w:w="16838" w:h="11906" w:orient="landscape"/>
      <w:pgMar w:top="1417" w:right="1417" w:bottom="1417" w:left="1417" w:header="851" w:footer="1417"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Verdana">
    <w:panose1 w:val="020B0604030504040204"/>
    <w:charset w:val="00"/>
    <w:family w:val="swiss"/>
    <w:pitch w:val="default"/>
    <w:sig w:usb0="A00006FF" w:usb1="4000205B" w:usb2="00000010" w:usb3="00000000" w:csb0="2000019F"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w:pict>
        <v:shape id="_x0000_s4097" o:spid="_x0000_s4097" o:spt="202" type="#_x0000_t202" style="position:absolute;left:0pt;margin-top:0pt;height:144pt;width:144pt;mso-position-horizontal:center;mso-position-horizontal-relative:margin;mso-wrap-style:none;z-index:251658240;mso-width-relative:page;mso-height-relative:page;" filled="f" stroked="f" coordsize="21600,21600">
          <v:path/>
          <v:fill on="f" focussize="0,0"/>
          <v:stroke on="f"/>
          <v:imagedata o:title=""/>
          <o:lock v:ext="edit" aspectratio="f"/>
          <v:textbox inset="0mm,0mm,0mm,0mm" style="mso-fit-shape-to-text:t;">
            <w:txbxContent>
              <w:p>
                <w:pPr>
                  <w:pStyle w:val="5"/>
                  <w:rPr>
                    <w:rFonts w:hint="eastAsia" w:eastAsiaTheme="minorEastAsia"/>
                    <w:sz w:val="28"/>
                    <w:szCs w:val="28"/>
                    <w:lang w:eastAsia="zh-CN"/>
                  </w:rPr>
                </w:pPr>
                <w:r>
                  <w:rPr>
                    <w:rFonts w:hint="default" w:ascii="Times New Roman" w:hAnsi="Times New Roman" w:cs="Times New Roman"/>
                    <w:sz w:val="28"/>
                    <w:szCs w:val="28"/>
                    <w:lang w:eastAsia="zh-CN"/>
                  </w:rPr>
                  <w:fldChar w:fldCharType="begin"/>
                </w:r>
                <w:r>
                  <w:rPr>
                    <w:rFonts w:hint="default" w:ascii="Times New Roman" w:hAnsi="Times New Roman" w:cs="Times New Roman"/>
                    <w:sz w:val="28"/>
                    <w:szCs w:val="28"/>
                    <w:lang w:eastAsia="zh-CN"/>
                  </w:rPr>
                  <w:instrText xml:space="preserve"> PAGE  \* MERGEFORMAT </w:instrText>
                </w:r>
                <w:r>
                  <w:rPr>
                    <w:rFonts w:hint="default" w:ascii="Times New Roman" w:hAnsi="Times New Roman" w:cs="Times New Roman"/>
                    <w:sz w:val="28"/>
                    <w:szCs w:val="28"/>
                    <w:lang w:eastAsia="zh-CN"/>
                  </w:rPr>
                  <w:fldChar w:fldCharType="separate"/>
                </w:r>
                <w:r>
                  <w:rPr>
                    <w:rFonts w:hint="default" w:ascii="Times New Roman" w:hAnsi="Times New Roman" w:cs="Times New Roman"/>
                    <w:sz w:val="28"/>
                    <w:szCs w:val="28"/>
                    <w:lang w:eastAsia="zh-CN"/>
                  </w:rPr>
                  <w:t>1</w:t>
                </w:r>
                <w:r>
                  <w:rPr>
                    <w:rFonts w:hint="default" w:ascii="Times New Roman" w:hAnsi="Times New Roman" w:cs="Times New Roman"/>
                    <w:sz w:val="28"/>
                    <w:szCs w:val="28"/>
                    <w:lang w:eastAsia="zh-CN"/>
                  </w:rP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40D95D4"/>
    <w:multiLevelType w:val="singleLevel"/>
    <w:tmpl w:val="D40D95D4"/>
    <w:lvl w:ilvl="0" w:tentative="0">
      <w:start w:val="1"/>
      <w:numFmt w:val="decimal"/>
      <w:lvlText w:val="%1"/>
      <w:lvlJc w:val="left"/>
      <w:pPr>
        <w:tabs>
          <w:tab w:val="left" w:pos="397"/>
        </w:tabs>
        <w:ind w:left="454" w:leftChars="0" w:hanging="454" w:firstLineChars="0"/>
      </w:pPr>
      <w:rPr>
        <w:rFonts w:hint="default"/>
      </w:rPr>
    </w:lvl>
  </w:abstractNum>
  <w:abstractNum w:abstractNumId="1">
    <w:nsid w:val="7C5E3452"/>
    <w:multiLevelType w:val="singleLevel"/>
    <w:tmpl w:val="7C5E3452"/>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doNotUseIndentAsNumberingTabStop/>
    <w:useAltKinsokuLineBreakRules/>
    <w:compatSetting w:name="compatibilityMode" w:uri="http://schemas.microsoft.com/office/word" w:val="12"/>
  </w:compat>
  <w:rsids>
    <w:rsidRoot w:val="000F270C"/>
    <w:rsid w:val="00052F5B"/>
    <w:rsid w:val="00075F84"/>
    <w:rsid w:val="000B1D9D"/>
    <w:rsid w:val="000C7F95"/>
    <w:rsid w:val="000D32E5"/>
    <w:rsid w:val="000F270C"/>
    <w:rsid w:val="001019DF"/>
    <w:rsid w:val="001334C9"/>
    <w:rsid w:val="001465A1"/>
    <w:rsid w:val="001670B9"/>
    <w:rsid w:val="0017570F"/>
    <w:rsid w:val="00182765"/>
    <w:rsid w:val="0018721B"/>
    <w:rsid w:val="00202FB1"/>
    <w:rsid w:val="00253C08"/>
    <w:rsid w:val="002B58DC"/>
    <w:rsid w:val="002C432C"/>
    <w:rsid w:val="002D4167"/>
    <w:rsid w:val="002F0A01"/>
    <w:rsid w:val="003057BD"/>
    <w:rsid w:val="0032069C"/>
    <w:rsid w:val="00357563"/>
    <w:rsid w:val="003D1820"/>
    <w:rsid w:val="003D41ED"/>
    <w:rsid w:val="003D592D"/>
    <w:rsid w:val="003E6EF4"/>
    <w:rsid w:val="00411B3F"/>
    <w:rsid w:val="00455C0A"/>
    <w:rsid w:val="004902D0"/>
    <w:rsid w:val="004D667F"/>
    <w:rsid w:val="004D6DDD"/>
    <w:rsid w:val="00521BC0"/>
    <w:rsid w:val="0052701F"/>
    <w:rsid w:val="00556760"/>
    <w:rsid w:val="0057329E"/>
    <w:rsid w:val="005C33F7"/>
    <w:rsid w:val="005F4C20"/>
    <w:rsid w:val="006373AD"/>
    <w:rsid w:val="006406BD"/>
    <w:rsid w:val="00686DF2"/>
    <w:rsid w:val="00694D98"/>
    <w:rsid w:val="006A6CB6"/>
    <w:rsid w:val="006E4FA7"/>
    <w:rsid w:val="00723741"/>
    <w:rsid w:val="00751442"/>
    <w:rsid w:val="007603AE"/>
    <w:rsid w:val="00764B67"/>
    <w:rsid w:val="00767B31"/>
    <w:rsid w:val="00786BE9"/>
    <w:rsid w:val="007E6434"/>
    <w:rsid w:val="0080206D"/>
    <w:rsid w:val="00836315"/>
    <w:rsid w:val="00836505"/>
    <w:rsid w:val="008A18A6"/>
    <w:rsid w:val="008A2F02"/>
    <w:rsid w:val="008B124D"/>
    <w:rsid w:val="008B6898"/>
    <w:rsid w:val="009478A0"/>
    <w:rsid w:val="009948F3"/>
    <w:rsid w:val="009A6348"/>
    <w:rsid w:val="009C567E"/>
    <w:rsid w:val="009C6F5C"/>
    <w:rsid w:val="009E3F51"/>
    <w:rsid w:val="009F7715"/>
    <w:rsid w:val="00A467E6"/>
    <w:rsid w:val="00A67F1E"/>
    <w:rsid w:val="00A84E49"/>
    <w:rsid w:val="00AC16EB"/>
    <w:rsid w:val="00AE2EF6"/>
    <w:rsid w:val="00BB5755"/>
    <w:rsid w:val="00BE706B"/>
    <w:rsid w:val="00BF7509"/>
    <w:rsid w:val="00C55256"/>
    <w:rsid w:val="00CC37F0"/>
    <w:rsid w:val="00CD72DC"/>
    <w:rsid w:val="00CF400D"/>
    <w:rsid w:val="00D27F8D"/>
    <w:rsid w:val="00D3507A"/>
    <w:rsid w:val="00D36069"/>
    <w:rsid w:val="00D57396"/>
    <w:rsid w:val="00D67DF5"/>
    <w:rsid w:val="00D715A3"/>
    <w:rsid w:val="00D87293"/>
    <w:rsid w:val="00DD1790"/>
    <w:rsid w:val="00DE7157"/>
    <w:rsid w:val="00E045B4"/>
    <w:rsid w:val="00E10D72"/>
    <w:rsid w:val="00E368C9"/>
    <w:rsid w:val="00E559D7"/>
    <w:rsid w:val="00E65A7E"/>
    <w:rsid w:val="00E83090"/>
    <w:rsid w:val="00EA7743"/>
    <w:rsid w:val="00EB3F29"/>
    <w:rsid w:val="00EB7AE5"/>
    <w:rsid w:val="00EC297B"/>
    <w:rsid w:val="00EE7E7B"/>
    <w:rsid w:val="00F00046"/>
    <w:rsid w:val="00FD359D"/>
    <w:rsid w:val="00FF0589"/>
    <w:rsid w:val="018B400D"/>
    <w:rsid w:val="0406286C"/>
    <w:rsid w:val="04854529"/>
    <w:rsid w:val="050033C9"/>
    <w:rsid w:val="051E1EED"/>
    <w:rsid w:val="054F22A6"/>
    <w:rsid w:val="068A1255"/>
    <w:rsid w:val="07B8196E"/>
    <w:rsid w:val="07DF5A81"/>
    <w:rsid w:val="08325981"/>
    <w:rsid w:val="08B02670"/>
    <w:rsid w:val="092F5127"/>
    <w:rsid w:val="09BE5350"/>
    <w:rsid w:val="09D436D3"/>
    <w:rsid w:val="0A654C67"/>
    <w:rsid w:val="0B946DDF"/>
    <w:rsid w:val="0C240EE1"/>
    <w:rsid w:val="0C654489"/>
    <w:rsid w:val="0D7F1C61"/>
    <w:rsid w:val="0DF568D9"/>
    <w:rsid w:val="0E29641B"/>
    <w:rsid w:val="0E2D38C8"/>
    <w:rsid w:val="0EDC139E"/>
    <w:rsid w:val="0EEE7D45"/>
    <w:rsid w:val="0F5577EA"/>
    <w:rsid w:val="107249D5"/>
    <w:rsid w:val="10873928"/>
    <w:rsid w:val="10E87224"/>
    <w:rsid w:val="11A041FE"/>
    <w:rsid w:val="11FE78BB"/>
    <w:rsid w:val="12B036F3"/>
    <w:rsid w:val="153812B2"/>
    <w:rsid w:val="15D92C1C"/>
    <w:rsid w:val="16840CFE"/>
    <w:rsid w:val="170E4BBA"/>
    <w:rsid w:val="175402C7"/>
    <w:rsid w:val="17EB1E7D"/>
    <w:rsid w:val="194F161B"/>
    <w:rsid w:val="195967C5"/>
    <w:rsid w:val="196619CD"/>
    <w:rsid w:val="1ADD662C"/>
    <w:rsid w:val="1BA102D5"/>
    <w:rsid w:val="1BE643DB"/>
    <w:rsid w:val="1DBC2CE5"/>
    <w:rsid w:val="1E0E498D"/>
    <w:rsid w:val="1F8471D0"/>
    <w:rsid w:val="1FD77501"/>
    <w:rsid w:val="20223FF0"/>
    <w:rsid w:val="20C95002"/>
    <w:rsid w:val="212B2F1A"/>
    <w:rsid w:val="213053A0"/>
    <w:rsid w:val="215B16B9"/>
    <w:rsid w:val="2164224D"/>
    <w:rsid w:val="220818B4"/>
    <w:rsid w:val="221B7B17"/>
    <w:rsid w:val="248D5E3C"/>
    <w:rsid w:val="24B35E95"/>
    <w:rsid w:val="25197F5E"/>
    <w:rsid w:val="26000A8B"/>
    <w:rsid w:val="269E4A12"/>
    <w:rsid w:val="26CC40DB"/>
    <w:rsid w:val="27262201"/>
    <w:rsid w:val="29182F8E"/>
    <w:rsid w:val="294F1682"/>
    <w:rsid w:val="2B047C87"/>
    <w:rsid w:val="2B0C4E5C"/>
    <w:rsid w:val="2B9F271C"/>
    <w:rsid w:val="2C1029C2"/>
    <w:rsid w:val="2CE17284"/>
    <w:rsid w:val="2D4E182B"/>
    <w:rsid w:val="2DA42DBB"/>
    <w:rsid w:val="2E124A0D"/>
    <w:rsid w:val="2E6A2071"/>
    <w:rsid w:val="2E907D8B"/>
    <w:rsid w:val="2EB93366"/>
    <w:rsid w:val="2F7B0E2C"/>
    <w:rsid w:val="2F962E77"/>
    <w:rsid w:val="307B0FF9"/>
    <w:rsid w:val="317524AC"/>
    <w:rsid w:val="321123A9"/>
    <w:rsid w:val="32B61DD6"/>
    <w:rsid w:val="35530919"/>
    <w:rsid w:val="35612EA0"/>
    <w:rsid w:val="35A4412C"/>
    <w:rsid w:val="366168DD"/>
    <w:rsid w:val="36D05CCB"/>
    <w:rsid w:val="374655BD"/>
    <w:rsid w:val="37BE13A1"/>
    <w:rsid w:val="37DC7428"/>
    <w:rsid w:val="37E52E14"/>
    <w:rsid w:val="38F160FC"/>
    <w:rsid w:val="391C34EF"/>
    <w:rsid w:val="39E551F1"/>
    <w:rsid w:val="3B207A83"/>
    <w:rsid w:val="3B475E1E"/>
    <w:rsid w:val="3B631417"/>
    <w:rsid w:val="3B7B19C1"/>
    <w:rsid w:val="3BD124AC"/>
    <w:rsid w:val="3C1D5AAB"/>
    <w:rsid w:val="3D2360E0"/>
    <w:rsid w:val="3D967971"/>
    <w:rsid w:val="3DD73B93"/>
    <w:rsid w:val="3E7E0AB9"/>
    <w:rsid w:val="3EA97E2E"/>
    <w:rsid w:val="3EE01AD0"/>
    <w:rsid w:val="3EFC0538"/>
    <w:rsid w:val="40121BF8"/>
    <w:rsid w:val="401C1DC8"/>
    <w:rsid w:val="402F3D30"/>
    <w:rsid w:val="409D4703"/>
    <w:rsid w:val="40CA65E0"/>
    <w:rsid w:val="40DE499C"/>
    <w:rsid w:val="41AB6420"/>
    <w:rsid w:val="41FE2CF1"/>
    <w:rsid w:val="433E52B5"/>
    <w:rsid w:val="43431E8B"/>
    <w:rsid w:val="43723CC2"/>
    <w:rsid w:val="43DD2821"/>
    <w:rsid w:val="44AA55F5"/>
    <w:rsid w:val="44DB35BD"/>
    <w:rsid w:val="45182687"/>
    <w:rsid w:val="45A963A4"/>
    <w:rsid w:val="461E4F3D"/>
    <w:rsid w:val="465E493B"/>
    <w:rsid w:val="46C039D6"/>
    <w:rsid w:val="47C67514"/>
    <w:rsid w:val="47FB30C6"/>
    <w:rsid w:val="48C17686"/>
    <w:rsid w:val="492C5093"/>
    <w:rsid w:val="49D5070C"/>
    <w:rsid w:val="49E66F8F"/>
    <w:rsid w:val="4A500D13"/>
    <w:rsid w:val="4A8A23F2"/>
    <w:rsid w:val="4AEB5FCF"/>
    <w:rsid w:val="4AEE416F"/>
    <w:rsid w:val="4AF221AD"/>
    <w:rsid w:val="4B3A7BF3"/>
    <w:rsid w:val="4B9A62C7"/>
    <w:rsid w:val="4BD000B3"/>
    <w:rsid w:val="4BFB21FE"/>
    <w:rsid w:val="4C1C581D"/>
    <w:rsid w:val="4CF422D5"/>
    <w:rsid w:val="4DBE7AAB"/>
    <w:rsid w:val="4E1477C0"/>
    <w:rsid w:val="4E7C7F0B"/>
    <w:rsid w:val="4EE55FC0"/>
    <w:rsid w:val="4EF94FFA"/>
    <w:rsid w:val="4F69788F"/>
    <w:rsid w:val="4F83571F"/>
    <w:rsid w:val="4FB75E5B"/>
    <w:rsid w:val="50125C98"/>
    <w:rsid w:val="5057488B"/>
    <w:rsid w:val="519251A4"/>
    <w:rsid w:val="51BA45F2"/>
    <w:rsid w:val="521331D8"/>
    <w:rsid w:val="52416F53"/>
    <w:rsid w:val="54F63B38"/>
    <w:rsid w:val="550537D3"/>
    <w:rsid w:val="577B04BB"/>
    <w:rsid w:val="582E434D"/>
    <w:rsid w:val="588C5A38"/>
    <w:rsid w:val="58E921A3"/>
    <w:rsid w:val="592911C1"/>
    <w:rsid w:val="59BA011D"/>
    <w:rsid w:val="5AE3017D"/>
    <w:rsid w:val="5B8E1616"/>
    <w:rsid w:val="5BC7664C"/>
    <w:rsid w:val="5CB7258A"/>
    <w:rsid w:val="5D195DB9"/>
    <w:rsid w:val="5D213E61"/>
    <w:rsid w:val="5E0A1CE0"/>
    <w:rsid w:val="5E2D6BC0"/>
    <w:rsid w:val="5EB128DB"/>
    <w:rsid w:val="5F811FD7"/>
    <w:rsid w:val="5FDD2F8E"/>
    <w:rsid w:val="601B458B"/>
    <w:rsid w:val="610949B8"/>
    <w:rsid w:val="61412F43"/>
    <w:rsid w:val="614819A8"/>
    <w:rsid w:val="620C11AF"/>
    <w:rsid w:val="62502E4E"/>
    <w:rsid w:val="62BC4D32"/>
    <w:rsid w:val="644D7B3F"/>
    <w:rsid w:val="651E387E"/>
    <w:rsid w:val="65301048"/>
    <w:rsid w:val="65A42340"/>
    <w:rsid w:val="67387FBB"/>
    <w:rsid w:val="675D01AB"/>
    <w:rsid w:val="68C76FCE"/>
    <w:rsid w:val="690C681C"/>
    <w:rsid w:val="6A295486"/>
    <w:rsid w:val="6B0057F1"/>
    <w:rsid w:val="6BD42AF9"/>
    <w:rsid w:val="6CAC356E"/>
    <w:rsid w:val="6CC425A2"/>
    <w:rsid w:val="6D2C516C"/>
    <w:rsid w:val="6D7C4EA6"/>
    <w:rsid w:val="6D916DD7"/>
    <w:rsid w:val="6E141D2A"/>
    <w:rsid w:val="6EA420B9"/>
    <w:rsid w:val="6F761AB8"/>
    <w:rsid w:val="6F8B782C"/>
    <w:rsid w:val="708326C5"/>
    <w:rsid w:val="70DE219B"/>
    <w:rsid w:val="70F67AC9"/>
    <w:rsid w:val="70F904BC"/>
    <w:rsid w:val="71247342"/>
    <w:rsid w:val="725324DA"/>
    <w:rsid w:val="73BF3940"/>
    <w:rsid w:val="740A3740"/>
    <w:rsid w:val="741F056C"/>
    <w:rsid w:val="74655422"/>
    <w:rsid w:val="7489187F"/>
    <w:rsid w:val="757B20E4"/>
    <w:rsid w:val="7625304E"/>
    <w:rsid w:val="76D23970"/>
    <w:rsid w:val="77280CD0"/>
    <w:rsid w:val="77610E5C"/>
    <w:rsid w:val="77752A4F"/>
    <w:rsid w:val="77E354C4"/>
    <w:rsid w:val="780E53ED"/>
    <w:rsid w:val="78786AB0"/>
    <w:rsid w:val="78B33F24"/>
    <w:rsid w:val="78BE13AB"/>
    <w:rsid w:val="78DD26AA"/>
    <w:rsid w:val="78EE014E"/>
    <w:rsid w:val="7962794C"/>
    <w:rsid w:val="796D57AE"/>
    <w:rsid w:val="79B00065"/>
    <w:rsid w:val="7A2E0D09"/>
    <w:rsid w:val="7A841BE1"/>
    <w:rsid w:val="7A8E0A32"/>
    <w:rsid w:val="7A9A5BDB"/>
    <w:rsid w:val="7AF60BAA"/>
    <w:rsid w:val="7B2057D4"/>
    <w:rsid w:val="7B6266CB"/>
    <w:rsid w:val="7B993094"/>
    <w:rsid w:val="7C3C1444"/>
    <w:rsid w:val="7CAE77FE"/>
    <w:rsid w:val="7EF90234"/>
    <w:rsid w:val="7F131A6C"/>
    <w:rsid w:val="7F1A6105"/>
    <w:rsid w:val="7F5062B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3"/>
    <w:next w:val="3"/>
    <w:link w:val="15"/>
    <w:unhideWhenUsed/>
    <w:qFormat/>
    <w:uiPriority w:val="9"/>
    <w:pPr>
      <w:keepNext/>
      <w:keepLines/>
      <w:spacing w:line="600" w:lineRule="exact"/>
      <w:jc w:val="center"/>
      <w:outlineLvl w:val="1"/>
    </w:pPr>
    <w:rPr>
      <w:rFonts w:ascii="Times New Roman" w:hAnsi="Times New Roman" w:eastAsia="华文中宋" w:cs="Times New Roman"/>
      <w:b/>
      <w:sz w:val="44"/>
    </w:rPr>
  </w:style>
  <w:style w:type="character" w:default="1" w:styleId="9">
    <w:name w:val="Default Paragraph Font"/>
    <w:unhideWhenUsed/>
    <w:qFormat/>
    <w:uiPriority w:val="1"/>
  </w:style>
  <w:style w:type="table" w:default="1" w:styleId="7">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Calibri" w:hAnsi="Calibri" w:eastAsia="宋体" w:cs="Times New Roman"/>
      <w:kern w:val="2"/>
      <w:sz w:val="21"/>
      <w:szCs w:val="22"/>
    </w:rPr>
    <w:tblPr>
      <w:tblCellMar>
        <w:top w:w="0" w:type="dxa"/>
        <w:left w:w="108" w:type="dxa"/>
        <w:bottom w:w="0" w:type="dxa"/>
        <w:right w:w="108" w:type="dxa"/>
      </w:tblCellMar>
    </w:tblPr>
  </w:style>
  <w:style w:type="paragraph" w:styleId="3">
    <w:name w:val="Body Text"/>
    <w:basedOn w:val="1"/>
    <w:qFormat/>
    <w:uiPriority w:val="0"/>
    <w:pPr>
      <w:spacing w:after="120" w:afterLines="0"/>
    </w:pPr>
    <w:rPr>
      <w:rFonts w:ascii="Times New Roman" w:hAnsi="Times New Roman" w:eastAsia="宋体" w:cs="Times New Roman"/>
      <w:sz w:val="24"/>
      <w:szCs w:val="24"/>
    </w:rPr>
  </w:style>
  <w:style w:type="paragraph" w:styleId="4">
    <w:name w:val="Date"/>
    <w:basedOn w:val="1"/>
    <w:next w:val="1"/>
    <w:link w:val="12"/>
    <w:semiHidden/>
    <w:unhideWhenUsed/>
    <w:qFormat/>
    <w:uiPriority w:val="99"/>
    <w:pPr>
      <w:ind w:left="100" w:leftChars="2500"/>
    </w:pPr>
  </w:style>
  <w:style w:type="paragraph" w:styleId="5">
    <w:name w:val="footer"/>
    <w:basedOn w:val="1"/>
    <w:link w:val="14"/>
    <w:unhideWhenUsed/>
    <w:qFormat/>
    <w:uiPriority w:val="99"/>
    <w:pPr>
      <w:tabs>
        <w:tab w:val="center" w:pos="4153"/>
        <w:tab w:val="right" w:pos="8306"/>
      </w:tabs>
      <w:snapToGrid w:val="0"/>
      <w:jc w:val="left"/>
    </w:pPr>
    <w:rPr>
      <w:sz w:val="18"/>
      <w:szCs w:val="18"/>
    </w:rPr>
  </w:style>
  <w:style w:type="paragraph" w:styleId="6">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Hyperlink"/>
    <w:basedOn w:val="9"/>
    <w:unhideWhenUsed/>
    <w:qFormat/>
    <w:uiPriority w:val="99"/>
    <w:rPr>
      <w:color w:val="0000FF" w:themeColor="hyperlink"/>
      <w:u w:val="single"/>
    </w:rPr>
  </w:style>
  <w:style w:type="paragraph" w:styleId="11">
    <w:name w:val="List Paragraph"/>
    <w:basedOn w:val="1"/>
    <w:qFormat/>
    <w:uiPriority w:val="34"/>
    <w:pPr>
      <w:ind w:firstLine="420" w:firstLineChars="200"/>
    </w:pPr>
  </w:style>
  <w:style w:type="character" w:customStyle="1" w:styleId="12">
    <w:name w:val="日期 Char"/>
    <w:basedOn w:val="9"/>
    <w:link w:val="4"/>
    <w:semiHidden/>
    <w:qFormat/>
    <w:uiPriority w:val="99"/>
  </w:style>
  <w:style w:type="character" w:customStyle="1" w:styleId="13">
    <w:name w:val="页眉 Char"/>
    <w:basedOn w:val="9"/>
    <w:link w:val="6"/>
    <w:qFormat/>
    <w:uiPriority w:val="99"/>
    <w:rPr>
      <w:sz w:val="18"/>
      <w:szCs w:val="18"/>
    </w:rPr>
  </w:style>
  <w:style w:type="character" w:customStyle="1" w:styleId="14">
    <w:name w:val="页脚 Char"/>
    <w:basedOn w:val="9"/>
    <w:link w:val="5"/>
    <w:qFormat/>
    <w:uiPriority w:val="99"/>
    <w:rPr>
      <w:sz w:val="18"/>
      <w:szCs w:val="18"/>
    </w:rPr>
  </w:style>
  <w:style w:type="character" w:customStyle="1" w:styleId="15">
    <w:name w:val="标题 2 Char"/>
    <w:basedOn w:val="9"/>
    <w:link w:val="2"/>
    <w:qFormat/>
    <w:uiPriority w:val="9"/>
    <w:rPr>
      <w:rFonts w:ascii="Times New Roman" w:hAnsi="Times New Roman" w:eastAsia="华文中宋" w:cs="Times New Roman"/>
      <w:b/>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4097"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511B12C-3D92-42E2-A60B-879061BB02CE}">
  <ds:schemaRefs/>
</ds:datastoreItem>
</file>

<file path=docProps/app.xml><?xml version="1.0" encoding="utf-8"?>
<Properties xmlns="http://schemas.openxmlformats.org/officeDocument/2006/extended-properties" xmlns:vt="http://schemas.openxmlformats.org/officeDocument/2006/docPropsVTypes">
  <Template>Normal</Template>
  <Pages>8</Pages>
  <Words>961</Words>
  <Characters>5483</Characters>
  <Lines>45</Lines>
  <Paragraphs>12</Paragraphs>
  <TotalTime>4</TotalTime>
  <ScaleCrop>false</ScaleCrop>
  <LinksUpToDate>false</LinksUpToDate>
  <CharactersWithSpaces>6432</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2019-11-28T02:00:00Z</dcterms:created>
  <dc:creator>lenovo</dc:creator>
  <cp:lastModifiedBy>有何不可</cp:lastModifiedBy>
  <cp:lastPrinted>2019-12-01T15:07:00Z</cp:lastPrinted>
  <dcterms:modified xsi:type="dcterms:W3CDTF">2019-12-11T12:56:15Z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