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after="0" w:line="600" w:lineRule="exact"/>
        <w:jc w:val="center"/>
        <w:rPr>
          <w:rFonts w:ascii="方正小标宋_GBK" w:hAnsi="方正小标宋_GBK" w:eastAsia="方正小标宋_GBK" w:cs="方正小标宋_GBK"/>
          <w:kern w:val="2"/>
          <w:sz w:val="44"/>
          <w:szCs w:val="44"/>
          <w:lang w:eastAsia="zh-CN"/>
        </w:rPr>
      </w:pPr>
      <w:r>
        <w:rPr>
          <w:rFonts w:ascii="方正小标宋_GBK" w:hAnsi="方正小标宋_GBK" w:eastAsia="方正小标宋_GBK" w:cs="方正小标宋_GBK"/>
          <w:kern w:val="2"/>
          <w:sz w:val="44"/>
          <w:szCs w:val="44"/>
          <w:lang w:eastAsia="zh-CN"/>
        </w:rPr>
        <w:t>《美丽洛阳建设“十五五”规划》</w:t>
      </w:r>
    </w:p>
    <w:p>
      <w:pPr>
        <w:widowControl w:val="0"/>
        <w:spacing w:after="0" w:line="600" w:lineRule="exact"/>
        <w:jc w:val="center"/>
        <w:rPr>
          <w:rFonts w:ascii="方正小标宋_GBK" w:hAnsi="方正小标宋_GBK" w:eastAsia="方正小标宋_GBK" w:cs="方正小标宋_GBK"/>
          <w:kern w:val="2"/>
          <w:sz w:val="44"/>
          <w:szCs w:val="44"/>
          <w:lang w:eastAsia="zh-CN"/>
        </w:rPr>
      </w:pPr>
      <w:r>
        <w:rPr>
          <w:rFonts w:ascii="方正小标宋_GBK" w:hAnsi="方正小标宋_GBK" w:eastAsia="方正小标宋_GBK" w:cs="方正小标宋_GBK"/>
          <w:kern w:val="2"/>
          <w:sz w:val="44"/>
          <w:szCs w:val="44"/>
          <w:lang w:eastAsia="zh-CN"/>
        </w:rPr>
        <w:t>（征求意见稿）政策解读</w:t>
      </w:r>
    </w:p>
    <w:p>
      <w:pPr>
        <w:spacing w:after="0" w:line="600" w:lineRule="exact"/>
        <w:rPr>
          <w:rFonts w:ascii="Times New Roman" w:hAnsi="Times New Roman" w:eastAsia="仿宋" w:cs="Times New Roman"/>
          <w:sz w:val="30"/>
          <w:szCs w:val="30"/>
          <w:lang w:eastAsia="zh-CN"/>
        </w:rPr>
      </w:pP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为</w:t>
      </w:r>
      <w:r>
        <w:rPr>
          <w:rFonts w:hint="eastAsia" w:ascii="Times New Roman" w:hAnsi="Times New Roman" w:eastAsia="仿宋" w:cs="Times New Roman"/>
          <w:sz w:val="32"/>
          <w:szCs w:val="32"/>
          <w:lang w:eastAsia="zh-CN"/>
        </w:rPr>
        <w:t>深入</w:t>
      </w:r>
      <w:r>
        <w:rPr>
          <w:rFonts w:ascii="Times New Roman" w:hAnsi="Times New Roman" w:eastAsia="仿宋" w:cs="Times New Roman"/>
          <w:sz w:val="32"/>
          <w:szCs w:val="32"/>
          <w:lang w:eastAsia="zh-CN"/>
        </w:rPr>
        <w:t>贯彻党的二十大和二十届历次全会精神，</w:t>
      </w:r>
      <w:r>
        <w:rPr>
          <w:rFonts w:hint="eastAsia" w:ascii="Times New Roman" w:hAnsi="Times New Roman" w:eastAsia="仿宋" w:cs="Times New Roman"/>
          <w:sz w:val="32"/>
          <w:szCs w:val="32"/>
          <w:lang w:eastAsia="zh-CN"/>
        </w:rPr>
        <w:t>全面贯彻习近平生态文明思想，</w:t>
      </w:r>
      <w:r>
        <w:rPr>
          <w:rFonts w:hint="eastAsia" w:ascii="Times New Roman" w:hAnsi="Times New Roman" w:eastAsia="仿宋_GB2312" w:cs="仿宋_GB2312"/>
          <w:kern w:val="2"/>
          <w:sz w:val="32"/>
          <w:szCs w:val="32"/>
          <w:lang w:eastAsia="zh-CN"/>
        </w:rPr>
        <w:t>系统谋划</w:t>
      </w:r>
      <w:r>
        <w:rPr>
          <w:rFonts w:ascii="Times New Roman" w:hAnsi="Times New Roman" w:eastAsia="仿宋" w:cs="Times New Roman"/>
          <w:sz w:val="32"/>
          <w:szCs w:val="32"/>
          <w:lang w:eastAsia="zh-CN"/>
        </w:rPr>
        <w:t>“十五五”</w:t>
      </w:r>
      <w:r>
        <w:rPr>
          <w:rFonts w:hint="eastAsia" w:ascii="Times New Roman" w:hAnsi="Times New Roman" w:eastAsia="仿宋" w:cs="Times New Roman"/>
          <w:sz w:val="32"/>
          <w:szCs w:val="32"/>
          <w:lang w:eastAsia="zh-CN"/>
        </w:rPr>
        <w:t>时期</w:t>
      </w:r>
      <w:r>
        <w:rPr>
          <w:rFonts w:ascii="Times New Roman" w:hAnsi="Times New Roman" w:eastAsia="仿宋" w:cs="Times New Roman"/>
          <w:sz w:val="32"/>
          <w:szCs w:val="32"/>
          <w:lang w:eastAsia="zh-CN"/>
        </w:rPr>
        <w:t>美丽洛阳建设</w:t>
      </w:r>
      <w:r>
        <w:rPr>
          <w:rFonts w:hint="eastAsia" w:ascii="Times New Roman" w:hAnsi="Times New Roman" w:eastAsia="仿宋" w:cs="Times New Roman"/>
          <w:sz w:val="32"/>
          <w:szCs w:val="32"/>
          <w:lang w:eastAsia="zh-CN"/>
        </w:rPr>
        <w:t>工作，</w:t>
      </w:r>
      <w:r>
        <w:rPr>
          <w:rFonts w:hint="eastAsia" w:ascii="仿宋_GB2312" w:hAnsi="仿宋_GB2312" w:eastAsia="仿宋_GB2312" w:cs="仿宋_GB2312"/>
          <w:sz w:val="32"/>
          <w:szCs w:val="32"/>
          <w:lang w:eastAsia="zh-CN"/>
        </w:rPr>
        <w:t>依据</w:t>
      </w:r>
      <w:r>
        <w:rPr>
          <w:rFonts w:ascii="Times New Roman" w:hAnsi="Times New Roman" w:eastAsia="仿宋" w:cs="Times New Roman"/>
          <w:sz w:val="32"/>
          <w:szCs w:val="32"/>
          <w:lang w:eastAsia="zh-CN"/>
        </w:rPr>
        <w:t>《美丽河南建设“十五五”规划》</w:t>
      </w:r>
      <w:r>
        <w:rPr>
          <w:rFonts w:hint="eastAsia" w:ascii="仿宋_GB2312" w:hAnsi="仿宋_GB2312" w:eastAsia="仿宋_GB2312" w:cs="仿宋_GB2312"/>
          <w:sz w:val="32"/>
          <w:szCs w:val="32"/>
          <w:lang w:eastAsia="zh-CN"/>
        </w:rPr>
        <w:t>《洛阳市国民经济和社会发展第十五个五年规划纲要》</w:t>
      </w:r>
      <w:r>
        <w:rPr>
          <w:rFonts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t xml:space="preserve"> 结合美丽洛阳工作基础，编制</w:t>
      </w:r>
      <w:r>
        <w:rPr>
          <w:rFonts w:ascii="Times New Roman" w:hAnsi="Times New Roman" w:eastAsia="仿宋" w:cs="Times New Roman"/>
          <w:sz w:val="32"/>
          <w:szCs w:val="32"/>
          <w:lang w:eastAsia="zh-CN"/>
        </w:rPr>
        <w:t>《美丽洛阳建设“十五五”规划》</w:t>
      </w:r>
      <w:r>
        <w:rPr>
          <w:rFonts w:hint="eastAsia" w:ascii="仿宋_GB2312" w:hAnsi="仿宋_GB2312" w:eastAsia="仿宋_GB2312" w:cs="仿宋_GB2312"/>
          <w:sz w:val="32"/>
          <w:szCs w:val="32"/>
          <w:lang w:eastAsia="zh-CN"/>
        </w:rPr>
        <w:t>（以下简称《规划》），</w:t>
      </w:r>
      <w:r>
        <w:rPr>
          <w:rFonts w:ascii="Times New Roman" w:hAnsi="Times New Roman" w:eastAsia="仿宋" w:cs="Times New Roman"/>
          <w:sz w:val="32"/>
          <w:szCs w:val="32"/>
          <w:lang w:eastAsia="zh-CN"/>
        </w:rPr>
        <w:t>便于社会公众全面了解《规划》的主要内容，</w:t>
      </w:r>
      <w:r>
        <w:rPr>
          <w:rFonts w:hint="eastAsia" w:ascii="Times New Roman" w:hAnsi="Times New Roman" w:eastAsia="仿宋_GB2312" w:cs="仿宋_GB2312"/>
          <w:kern w:val="2"/>
          <w:sz w:val="32"/>
          <w:szCs w:val="32"/>
          <w:lang w:eastAsia="zh-CN"/>
        </w:rPr>
        <w:t>现就有关内容解读如下。</w:t>
      </w:r>
    </w:p>
    <w:p>
      <w:pPr>
        <w:spacing w:after="0" w:line="600" w:lineRule="exact"/>
        <w:ind w:firstLine="641"/>
        <w:jc w:val="both"/>
        <w:rPr>
          <w:rFonts w:ascii="黑体" w:hAnsi="黑体" w:eastAsia="黑体" w:cs="Times New Roman"/>
          <w:b/>
          <w:sz w:val="32"/>
          <w:szCs w:val="32"/>
          <w:lang w:eastAsia="zh-CN"/>
        </w:rPr>
      </w:pPr>
      <w:r>
        <w:rPr>
          <w:rFonts w:ascii="黑体" w:hAnsi="黑体" w:eastAsia="黑体" w:cs="Times New Roman"/>
          <w:b/>
          <w:sz w:val="32"/>
          <w:szCs w:val="32"/>
          <w:lang w:eastAsia="zh-CN"/>
        </w:rPr>
        <w:t>一、规划编制的背景和意义</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hint="eastAsia" w:ascii="Times New Roman" w:hAnsi="Times New Roman" w:eastAsia="楷体_GB2312" w:cs="Times New Roman"/>
          <w:b/>
          <w:bCs/>
          <w:color w:val="000000"/>
          <w:sz w:val="32"/>
          <w:szCs w:val="32"/>
          <w:lang w:eastAsia="zh-CN"/>
        </w:rPr>
        <w:t>（一）贯彻落实国家和省级决策部署的必然要求。</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十五五”时期是美丽中国建设承前启后、扩面提质，实现生态环境根本好转的关键阶段。2026年6月，国务院印发《美丽中国建设“十五五”规划》（国发〔2026〕20号），对“十五五”时期全面推进美丽中国建设作出系统部署。省委、省政府认真落实党中央、国务院决策部署，编制实施《美丽河南建设“十五五”规划》，明确了全省美丽建设的总体要求和重点任务。市委、市政府深入贯彻落实习近平生态文明思想，按照《洛阳市国民经济和社会发展第十五个五年规划纲要》的总体安排，立足洛阳实际组织编制本《规划》，着力把国家和省的战略部署转化为加快美丽洛阳建设的具体行动。</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hint="eastAsia" w:ascii="Times New Roman" w:hAnsi="Times New Roman" w:eastAsia="楷体_GB2312" w:cs="Times New Roman"/>
          <w:b/>
          <w:bCs/>
          <w:color w:val="000000"/>
          <w:sz w:val="32"/>
          <w:szCs w:val="32"/>
          <w:lang w:eastAsia="zh-CN"/>
        </w:rPr>
        <w:t>（二）着力解决全市环境质量持续改善的现实需要。</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洛阳地处黄河中下游，是黄河流域生态保护和高质量发展重大国家战略的重要节点城市，生态地位重要。“十四五”时期，全市深入打好污染防治攻坚战，成功入选国家减污降碳协同创新试点城市，黄河孟津段入选全国幸福河湖优秀案例，伊洛河（洛阳段）、小浪底水库获评全国“美丽河湖”，创成国家生态文明建设示范区4个、“两山”实践创新基地2个，生态环境质量持续改善，为美丽洛阳建设奠定了坚实基础。同时也要看到，全市产业结构偏重、能源结构偏煤、交通运输结构偏公路的格局尚未根本改变，生态环境质量持续改善的基础仍不稳固，迫切需要在“十五五”时期系统谋划、接续发力。</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hint="eastAsia" w:ascii="Times New Roman" w:hAnsi="Times New Roman" w:eastAsia="楷体_GB2312" w:cs="Times New Roman"/>
          <w:b/>
          <w:bCs/>
          <w:color w:val="000000"/>
          <w:sz w:val="32"/>
          <w:szCs w:val="32"/>
          <w:lang w:eastAsia="zh-CN"/>
        </w:rPr>
        <w:t>（三）</w:t>
      </w:r>
      <w:r>
        <w:rPr>
          <w:rFonts w:ascii="Times New Roman" w:hAnsi="Times New Roman" w:eastAsia="楷体_GB2312" w:cs="Times New Roman"/>
          <w:b/>
          <w:bCs/>
          <w:color w:val="000000"/>
          <w:sz w:val="32"/>
          <w:szCs w:val="32"/>
          <w:lang w:eastAsia="zh-CN"/>
        </w:rPr>
        <w:t>落实黄河流域生态保护和高质量发展战略的具体行动</w:t>
      </w:r>
      <w:r>
        <w:rPr>
          <w:rFonts w:hint="eastAsia" w:ascii="Times New Roman" w:hAnsi="Times New Roman" w:eastAsia="楷体_GB2312" w:cs="Times New Roman"/>
          <w:b/>
          <w:bCs/>
          <w:color w:val="000000"/>
          <w:sz w:val="32"/>
          <w:szCs w:val="32"/>
          <w:lang w:eastAsia="zh-CN"/>
        </w:rPr>
        <w:t>。</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编制实施《规划》，是贯彻落实习近平生态文明思想、深入落实黄河流域生态保护和高质量发展战略的具体行动，是落实《洛阳市国民经济和社会发展第十五个五年规划纲要》的重要举措。规划的出台实施，有利于协同推进降碳、减污、扩绿、增长，加快推动发展方式绿色低碳转型；有利于持续改善生态环境质量，不断满足人民群众日益增长的优美生态环境需要；有利于把生态优势稳妥有效转化为经济社会发展优势，为加快建设现代生态宜居城市、奋力谱写中原大地推进中国式现代化新篇章提供有力支撑。</w:t>
      </w:r>
    </w:p>
    <w:p>
      <w:pPr>
        <w:widowControl w:val="0"/>
        <w:overflowPunct w:val="0"/>
        <w:adjustRightInd w:val="0"/>
        <w:snapToGrid w:val="0"/>
        <w:spacing w:after="0" w:line="600" w:lineRule="exact"/>
        <w:ind w:firstLine="642" w:firstLineChars="200"/>
        <w:jc w:val="both"/>
        <w:rPr>
          <w:rFonts w:ascii="Times New Roman" w:hAnsi="Times New Roman" w:eastAsia="楷体_GB2312" w:cs="Times New Roman"/>
          <w:b/>
          <w:bCs/>
          <w:color w:val="000000"/>
          <w:sz w:val="32"/>
          <w:szCs w:val="32"/>
          <w:lang w:eastAsia="zh-CN"/>
        </w:rPr>
      </w:pPr>
      <w:r>
        <w:rPr>
          <w:rFonts w:hint="eastAsia" w:ascii="Times New Roman" w:hAnsi="Times New Roman" w:eastAsia="楷体_GB2312" w:cs="Times New Roman"/>
          <w:b/>
          <w:bCs/>
          <w:color w:val="000000"/>
          <w:sz w:val="32"/>
          <w:szCs w:val="32"/>
          <w:lang w:eastAsia="zh-CN"/>
        </w:rPr>
        <w:t>（三）依法依规履行规划编制和重大决策程序的具体举措。</w:t>
      </w:r>
    </w:p>
    <w:p>
      <w:pPr>
        <w:spacing w:after="0" w:line="600" w:lineRule="exact"/>
        <w:ind w:firstLine="641"/>
        <w:jc w:val="both"/>
        <w:rPr>
          <w:rFonts w:ascii="Times New Roman" w:hAnsi="Times New Roman" w:eastAsia="仿宋" w:cs="Times New Roman"/>
          <w:sz w:val="32"/>
          <w:szCs w:val="32"/>
          <w:lang w:eastAsia="zh-CN"/>
        </w:rPr>
      </w:pPr>
      <w:r>
        <w:rPr>
          <w:rFonts w:hint="eastAsia" w:ascii="Times New Roman" w:hAnsi="Times New Roman" w:eastAsia="仿宋_GB2312" w:cs="仿宋_GB2312"/>
          <w:kern w:val="2"/>
          <w:sz w:val="32"/>
          <w:szCs w:val="32"/>
          <w:lang w:eastAsia="zh-CN"/>
        </w:rPr>
        <w:t>按照市政府办公室《关于印发洛阳市“十五五”专项规划编制目录清单的通知》（洛政办〔2026〕1号）要求，本《规划》列入全市“十五五”专项规划编制目录，并纳入《洛阳市人民政府2026年重大行政决策事项目录》，需严格履行公众参与、专家论证、风险评估、合法性审查和集体讨论决定等法定程序。本次公开征求意见，是落实科学决策、民主决策、依法决策要求，广泛凝聚社会共识的重要环节。</w:t>
      </w:r>
    </w:p>
    <w:p>
      <w:pPr>
        <w:spacing w:after="0" w:line="600" w:lineRule="exact"/>
        <w:ind w:firstLine="641"/>
        <w:jc w:val="both"/>
        <w:rPr>
          <w:rFonts w:ascii="黑体" w:hAnsi="黑体" w:eastAsia="黑体" w:cs="Times New Roman"/>
          <w:b/>
          <w:sz w:val="32"/>
          <w:szCs w:val="32"/>
          <w:lang w:eastAsia="zh-CN"/>
        </w:rPr>
      </w:pPr>
      <w:r>
        <w:rPr>
          <w:rFonts w:ascii="黑体" w:hAnsi="黑体" w:eastAsia="黑体" w:cs="Times New Roman"/>
          <w:b/>
          <w:sz w:val="32"/>
          <w:szCs w:val="32"/>
          <w:lang w:eastAsia="zh-CN"/>
        </w:rPr>
        <w:t>二、规划编制过程</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《规划》编制坚持上下衔接、开门问策、科学论证，历经前期研究、起草编制、征求意见等阶段。前期研究阶段</w:t>
      </w:r>
      <w:r>
        <w:rPr>
          <w:rFonts w:hint="eastAsia" w:ascii="Times New Roman" w:hAnsi="Times New Roman" w:eastAsia="仿宋" w:cs="Times New Roman"/>
          <w:sz w:val="32"/>
          <w:szCs w:val="32"/>
          <w:lang w:eastAsia="zh-CN"/>
        </w:rPr>
        <w:t>（2</w:t>
      </w:r>
      <w:r>
        <w:rPr>
          <w:rFonts w:ascii="Times New Roman" w:hAnsi="Times New Roman" w:eastAsia="仿宋" w:cs="Times New Roman"/>
          <w:sz w:val="32"/>
          <w:szCs w:val="32"/>
          <w:lang w:eastAsia="zh-CN"/>
        </w:rPr>
        <w:t>026</w:t>
      </w:r>
      <w:r>
        <w:rPr>
          <w:rFonts w:hint="eastAsia" w:ascii="Times New Roman" w:hAnsi="Times New Roman" w:eastAsia="仿宋" w:cs="Times New Roman"/>
          <w:sz w:val="32"/>
          <w:szCs w:val="32"/>
          <w:lang w:eastAsia="zh-CN"/>
        </w:rPr>
        <w:t>年6月）</w:t>
      </w:r>
      <w:r>
        <w:rPr>
          <w:rFonts w:ascii="Times New Roman" w:hAnsi="Times New Roman" w:eastAsia="仿宋" w:cs="Times New Roman"/>
          <w:sz w:val="32"/>
          <w:szCs w:val="32"/>
          <w:lang w:eastAsia="zh-CN"/>
        </w:rPr>
        <w:t>，系统梳理“十四五”时期全市生态环境保护的主要成效与短板弱项，围绕目标指标、重点任务、重大工程等开展专题调研和形势研判，为规划起草打好基础。起草编制阶段</w:t>
      </w:r>
      <w:r>
        <w:rPr>
          <w:rFonts w:hint="eastAsia" w:ascii="Times New Roman" w:hAnsi="Times New Roman" w:eastAsia="仿宋" w:cs="Times New Roman"/>
          <w:sz w:val="32"/>
          <w:szCs w:val="32"/>
          <w:lang w:eastAsia="zh-CN"/>
        </w:rPr>
        <w:t>（2</w:t>
      </w:r>
      <w:r>
        <w:rPr>
          <w:rFonts w:ascii="Times New Roman" w:hAnsi="Times New Roman" w:eastAsia="仿宋" w:cs="Times New Roman"/>
          <w:sz w:val="32"/>
          <w:szCs w:val="32"/>
          <w:lang w:eastAsia="zh-CN"/>
        </w:rPr>
        <w:t>026</w:t>
      </w:r>
      <w:r>
        <w:rPr>
          <w:rFonts w:hint="eastAsia" w:ascii="Times New Roman" w:hAnsi="Times New Roman" w:eastAsia="仿宋" w:cs="Times New Roman"/>
          <w:sz w:val="32"/>
          <w:szCs w:val="32"/>
          <w:lang w:eastAsia="zh-CN"/>
        </w:rPr>
        <w:t>年7月）</w:t>
      </w:r>
      <w:r>
        <w:rPr>
          <w:rFonts w:ascii="Times New Roman" w:hAnsi="Times New Roman" w:eastAsia="仿宋" w:cs="Times New Roman"/>
          <w:sz w:val="32"/>
          <w:szCs w:val="32"/>
          <w:lang w:eastAsia="zh-CN"/>
        </w:rPr>
        <w:t>，组建工作专班，组织生态环境等有关部门共同参与，研究提出《规划》框架和主要内容，形成《规划》初稿。衔接论证阶段</w:t>
      </w:r>
      <w:r>
        <w:rPr>
          <w:rFonts w:hint="eastAsia" w:ascii="Times New Roman" w:hAnsi="Times New Roman" w:eastAsia="仿宋" w:cs="Times New Roman"/>
          <w:sz w:val="32"/>
          <w:szCs w:val="32"/>
          <w:lang w:eastAsia="zh-CN"/>
        </w:rPr>
        <w:t>（2</w:t>
      </w:r>
      <w:r>
        <w:rPr>
          <w:rFonts w:ascii="Times New Roman" w:hAnsi="Times New Roman" w:eastAsia="仿宋" w:cs="Times New Roman"/>
          <w:sz w:val="32"/>
          <w:szCs w:val="32"/>
          <w:lang w:eastAsia="zh-CN"/>
        </w:rPr>
        <w:t>026</w:t>
      </w:r>
      <w:r>
        <w:rPr>
          <w:rFonts w:hint="eastAsia" w:ascii="Times New Roman" w:hAnsi="Times New Roman" w:eastAsia="仿宋" w:cs="Times New Roman"/>
          <w:sz w:val="32"/>
          <w:szCs w:val="32"/>
          <w:lang w:eastAsia="zh-CN"/>
        </w:rPr>
        <w:t>年</w:t>
      </w:r>
      <w:r>
        <w:rPr>
          <w:rFonts w:ascii="Times New Roman" w:hAnsi="Times New Roman" w:eastAsia="仿宋" w:cs="Times New Roman"/>
          <w:sz w:val="32"/>
          <w:szCs w:val="32"/>
          <w:lang w:eastAsia="zh-CN"/>
        </w:rPr>
        <w:t>8</w:t>
      </w:r>
      <w:r>
        <w:rPr>
          <w:rFonts w:hint="eastAsia" w:ascii="Times New Roman" w:hAnsi="Times New Roman" w:eastAsia="仿宋" w:cs="Times New Roman"/>
          <w:sz w:val="32"/>
          <w:szCs w:val="32"/>
          <w:lang w:eastAsia="zh-CN"/>
        </w:rPr>
        <w:t>月）</w:t>
      </w:r>
      <w:r>
        <w:rPr>
          <w:rFonts w:ascii="Times New Roman" w:hAnsi="Times New Roman" w:eastAsia="仿宋" w:cs="Times New Roman"/>
          <w:sz w:val="32"/>
          <w:szCs w:val="32"/>
          <w:lang w:eastAsia="zh-CN"/>
        </w:rPr>
        <w:t>，主动与国家和省相关规划、市“十五五”规划纲要对接，确保指导思想、目标指标、重点任务一脉相承、上下贯通。征求意见阶段</w:t>
      </w:r>
      <w:r>
        <w:rPr>
          <w:rFonts w:hint="eastAsia" w:ascii="Times New Roman" w:hAnsi="Times New Roman" w:eastAsia="仿宋" w:cs="Times New Roman"/>
          <w:sz w:val="32"/>
          <w:szCs w:val="32"/>
          <w:lang w:eastAsia="zh-CN"/>
        </w:rPr>
        <w:t>（2</w:t>
      </w:r>
      <w:r>
        <w:rPr>
          <w:rFonts w:ascii="Times New Roman" w:hAnsi="Times New Roman" w:eastAsia="仿宋" w:cs="Times New Roman"/>
          <w:sz w:val="32"/>
          <w:szCs w:val="32"/>
          <w:lang w:eastAsia="zh-CN"/>
        </w:rPr>
        <w:t>026</w:t>
      </w:r>
      <w:r>
        <w:rPr>
          <w:rFonts w:hint="eastAsia" w:ascii="Times New Roman" w:hAnsi="Times New Roman" w:eastAsia="仿宋" w:cs="Times New Roman"/>
          <w:sz w:val="32"/>
          <w:szCs w:val="32"/>
          <w:lang w:eastAsia="zh-CN"/>
        </w:rPr>
        <w:t>年</w:t>
      </w:r>
      <w:r>
        <w:rPr>
          <w:rFonts w:ascii="Times New Roman" w:hAnsi="Times New Roman" w:eastAsia="仿宋" w:cs="Times New Roman"/>
          <w:sz w:val="32"/>
          <w:szCs w:val="32"/>
          <w:lang w:eastAsia="zh-CN"/>
        </w:rPr>
        <w:t>9</w:t>
      </w:r>
      <w:r>
        <w:rPr>
          <w:rFonts w:hint="eastAsia" w:ascii="Times New Roman" w:hAnsi="Times New Roman" w:eastAsia="仿宋" w:cs="Times New Roman"/>
          <w:sz w:val="32"/>
          <w:szCs w:val="32"/>
          <w:lang w:eastAsia="zh-CN"/>
        </w:rPr>
        <w:t>月）</w:t>
      </w:r>
      <w:r>
        <w:rPr>
          <w:rFonts w:ascii="Times New Roman" w:hAnsi="Times New Roman" w:eastAsia="仿宋" w:cs="Times New Roman"/>
          <w:sz w:val="32"/>
          <w:szCs w:val="32"/>
          <w:lang w:eastAsia="zh-CN"/>
        </w:rPr>
        <w:t>，书面征求各县（区）人民政府和市直有关部门意见，对相关意见逐条研究、充分吸纳</w:t>
      </w:r>
      <w:r>
        <w:rPr>
          <w:rFonts w:hint="eastAsia" w:ascii="Times New Roman" w:hAnsi="Times New Roman" w:eastAsia="仿宋_GB2312" w:cs="仿宋_GB2312"/>
          <w:kern w:val="2"/>
          <w:sz w:val="32"/>
          <w:szCs w:val="32"/>
          <w:lang w:eastAsia="zh-CN"/>
        </w:rPr>
        <w:t>，并向社会公开公示</w:t>
      </w:r>
      <w:r>
        <w:rPr>
          <w:rFonts w:ascii="Times New Roman" w:hAnsi="Times New Roman" w:eastAsia="仿宋" w:cs="Times New Roman"/>
          <w:sz w:val="32"/>
          <w:szCs w:val="32"/>
          <w:lang w:eastAsia="zh-CN"/>
        </w:rPr>
        <w:t>。</w:t>
      </w:r>
    </w:p>
    <w:p>
      <w:pPr>
        <w:spacing w:after="0" w:line="600" w:lineRule="exact"/>
        <w:ind w:firstLine="641"/>
        <w:jc w:val="both"/>
        <w:rPr>
          <w:rFonts w:ascii="黑体" w:hAnsi="黑体" w:eastAsia="黑体" w:cs="Times New Roman"/>
          <w:b/>
          <w:sz w:val="32"/>
          <w:szCs w:val="32"/>
          <w:lang w:eastAsia="zh-CN"/>
        </w:rPr>
      </w:pPr>
      <w:r>
        <w:rPr>
          <w:rFonts w:ascii="黑体" w:hAnsi="黑体" w:eastAsia="黑体" w:cs="Times New Roman"/>
          <w:b/>
          <w:sz w:val="32"/>
          <w:szCs w:val="32"/>
          <w:lang w:eastAsia="zh-CN"/>
        </w:rPr>
        <w:t>三、规划</w:t>
      </w:r>
      <w:r>
        <w:rPr>
          <w:rFonts w:hint="eastAsia" w:ascii="黑体" w:hAnsi="黑体" w:eastAsia="黑体" w:cs="Times New Roman"/>
          <w:b/>
          <w:sz w:val="32"/>
          <w:szCs w:val="32"/>
          <w:lang w:eastAsia="zh-CN"/>
        </w:rPr>
        <w:t>指导思想</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规划》坚持以习近平新时代中国特色社会主义思想为指导，深入学习贯彻习近平总书记在河南考察时的重要讲话精神和关于河南工作的重要论述，深入贯彻党的二十大和二十届历次全会精神，全面贯彻习近平生态文明思想，深入践行绿水青山就是金山银山的理念，聚焦“1+2+4+N”目标任务体系，落实“1+2+10+6”工作部署，紧密围绕黄河流域生态保护和高质量发展，将绿色低碳发展作为关键路径，持续优化产业、能源与运输结构，深入推进污染防治攻坚和生态系统优化，协同推进降碳减污扩绿增长，严守生态安全底线，加快建设现代生态宜居城市，在奋力谱写中原大地推进中国式现代化新篇章中挑大梁、走在前。</w:t>
      </w:r>
    </w:p>
    <w:p>
      <w:pPr>
        <w:spacing w:after="0" w:line="600" w:lineRule="exact"/>
        <w:ind w:firstLine="641"/>
        <w:jc w:val="both"/>
        <w:rPr>
          <w:rFonts w:ascii="黑体" w:hAnsi="黑体" w:eastAsia="黑体" w:cs="Times New Roman"/>
          <w:b/>
          <w:sz w:val="32"/>
          <w:szCs w:val="32"/>
          <w:lang w:eastAsia="zh-CN"/>
        </w:rPr>
      </w:pPr>
      <w:r>
        <w:rPr>
          <w:rFonts w:ascii="黑体" w:hAnsi="黑体" w:eastAsia="黑体" w:cs="Times New Roman"/>
          <w:b/>
          <w:sz w:val="32"/>
          <w:szCs w:val="32"/>
          <w:lang w:eastAsia="zh-CN"/>
        </w:rPr>
        <w:t>四、规划原则</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ascii="Times New Roman" w:hAnsi="Times New Roman" w:eastAsia="楷体_GB2312" w:cs="Times New Roman"/>
          <w:b/>
          <w:bCs/>
          <w:color w:val="000000"/>
          <w:sz w:val="32"/>
          <w:szCs w:val="32"/>
          <w:lang w:eastAsia="zh-CN"/>
        </w:rPr>
        <w:t>（一）坚持党的全面领导。</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把党的领导贯穿美丽洛阳建设各方面全过程，落实各级党政领导干部生态环境保护责任制，强化统筹协调，形成工作合力，确保党中央、国务院决策部署和省委、省政府工作要求在洛阳落地见效。</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ascii="Times New Roman" w:hAnsi="Times New Roman" w:eastAsia="楷体_GB2312" w:cs="Times New Roman"/>
          <w:b/>
          <w:bCs/>
          <w:color w:val="000000"/>
          <w:sz w:val="32"/>
          <w:szCs w:val="32"/>
          <w:lang w:eastAsia="zh-CN"/>
        </w:rPr>
        <w:t>（二）坚持环保为民。</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始终坚守环保为民的初心，把解决群众身边的噪声、餐饮油烟、黑臭水体等突出生态环境问题作为出发点和落脚点，让人民群众在生态环境改善中有更多获得感、幸福感、安全感。</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ascii="Times New Roman" w:hAnsi="Times New Roman" w:eastAsia="楷体_GB2312" w:cs="Times New Roman"/>
          <w:b/>
          <w:bCs/>
          <w:color w:val="000000"/>
          <w:sz w:val="32"/>
          <w:szCs w:val="32"/>
          <w:lang w:eastAsia="zh-CN"/>
        </w:rPr>
        <w:t>（三）坚持系统观念。</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坚持山水林田湖草沙一体化保护和系统治理，统筹产业结构调整、污染治理、生态保护、应对气候变化，协同推进降碳、减污、扩绿、增长，努力实现生态效益、经济效益、社会效益相统一。</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ascii="Times New Roman" w:hAnsi="Times New Roman" w:eastAsia="楷体_GB2312" w:cs="Times New Roman"/>
          <w:b/>
          <w:bCs/>
          <w:color w:val="000000"/>
          <w:sz w:val="32"/>
          <w:szCs w:val="32"/>
          <w:lang w:eastAsia="zh-CN"/>
        </w:rPr>
        <w:t>（四）坚持绿色低碳转型。</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以碳达峰碳中和为牵引，把绿色低碳发展作为关键路径，持续优化产业、能源与运输结构，加快形成绿色生产生活方式，推动经济社会发展全面绿色转型。</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ascii="Times New Roman" w:hAnsi="Times New Roman" w:eastAsia="楷体_GB2312" w:cs="Times New Roman"/>
          <w:b/>
          <w:bCs/>
          <w:color w:val="000000"/>
          <w:sz w:val="32"/>
          <w:szCs w:val="32"/>
          <w:lang w:eastAsia="zh-CN"/>
        </w:rPr>
        <w:t>（五）坚持改革创新。</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以改革为动力提升生态环境治理效能，健全生态环境分区管控、排污许可等制度体系，强化科技、人才和市场机制支撑，持续激发美丽洛阳建设的内生动力和创新活力。</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ascii="Times New Roman" w:hAnsi="Times New Roman" w:eastAsia="楷体_GB2312" w:cs="Times New Roman"/>
          <w:b/>
          <w:bCs/>
          <w:color w:val="000000"/>
          <w:sz w:val="32"/>
          <w:szCs w:val="32"/>
          <w:lang w:eastAsia="zh-CN"/>
        </w:rPr>
        <w:t>（六）坚持底线思维。</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严守生态保护红线、环境质量底线、资源利用上线，统筹发展和安全，有效防范化解生态环境风险，守牢美丽洛阳建设的生态环境安全底线。</w:t>
      </w:r>
    </w:p>
    <w:p>
      <w:pPr>
        <w:spacing w:after="0" w:line="600" w:lineRule="exact"/>
        <w:ind w:firstLine="641"/>
        <w:jc w:val="both"/>
        <w:rPr>
          <w:rFonts w:ascii="黑体" w:hAnsi="黑体" w:eastAsia="黑体" w:cs="Times New Roman"/>
          <w:b/>
          <w:sz w:val="32"/>
          <w:szCs w:val="32"/>
          <w:lang w:eastAsia="zh-CN"/>
        </w:rPr>
      </w:pPr>
      <w:r>
        <w:rPr>
          <w:rFonts w:ascii="黑体" w:hAnsi="黑体" w:eastAsia="黑体" w:cs="Times New Roman"/>
          <w:b/>
          <w:sz w:val="32"/>
          <w:szCs w:val="32"/>
          <w:lang w:eastAsia="zh-CN"/>
        </w:rPr>
        <w:t>五、规划目标</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《规划》在衔接国家、省目标要求的基础上，结合洛阳实际，提出了到2030年、到2035年两个阶段性目标。</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到2030年，全市生态环境质量全面改善，空气、水、土壤、声环境等环境质量指标完成省下达目标，绿色生产生活方式基本形成，如期实现碳达峰，主要污染物排放总量持续减少，固体废物综合治理效能持续提升，进一步筑牢重要生态安全屏障，生态优势稳妥有效转化为经济社会发展优势，现代生态宜居的美丽洛阳建设取得重大进展。到2035年，生态环境根本好转，基本实现“古今辉映洛城美，生态宜居智慧都”的建设目标。</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围绕上述目标，《规划》设置了环境质量改善、减污降碳协同、生态系统保护、风险防控4类17项主要指标，其中约束性指标6项。约束性指标包括城市细颗粒物（PM</w:t>
      </w:r>
      <w:r>
        <w:rPr>
          <w:rFonts w:ascii="Times New Roman" w:hAnsi="Times New Roman" w:eastAsia="仿宋" w:cs="Times New Roman"/>
          <w:sz w:val="32"/>
          <w:szCs w:val="32"/>
          <w:vertAlign w:val="subscript"/>
          <w:lang w:eastAsia="zh-CN"/>
        </w:rPr>
        <w:t>2.5</w:t>
      </w:r>
      <w:r>
        <w:rPr>
          <w:rFonts w:ascii="Times New Roman" w:hAnsi="Times New Roman" w:eastAsia="仿宋" w:cs="Times New Roman"/>
          <w:sz w:val="32"/>
          <w:szCs w:val="32"/>
          <w:lang w:eastAsia="zh-CN"/>
        </w:rPr>
        <w:t>）浓度、优良水体比例、单位地区生产总值二氧化碳排放降低、非化石能源占能源消费总量比重、主要污染物重点工程减排量、森林覆盖率，是必须完成的刚性要求；其余为预期性指标，主要发挥引导预期作用。</w:t>
      </w:r>
    </w:p>
    <w:p>
      <w:pPr>
        <w:spacing w:after="0" w:line="600" w:lineRule="exact"/>
        <w:ind w:firstLine="641"/>
        <w:jc w:val="both"/>
        <w:rPr>
          <w:rFonts w:ascii="黑体" w:hAnsi="黑体" w:eastAsia="黑体" w:cs="Times New Roman"/>
          <w:b/>
          <w:sz w:val="32"/>
          <w:szCs w:val="32"/>
          <w:lang w:eastAsia="zh-CN"/>
        </w:rPr>
      </w:pPr>
      <w:r>
        <w:rPr>
          <w:rFonts w:ascii="黑体" w:hAnsi="黑体" w:eastAsia="黑体" w:cs="Times New Roman"/>
          <w:b/>
          <w:sz w:val="32"/>
          <w:szCs w:val="32"/>
          <w:lang w:eastAsia="zh-CN"/>
        </w:rPr>
        <w:t>六、规划主要内容</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《规划》</w:t>
      </w:r>
      <w:r>
        <w:rPr>
          <w:rFonts w:hint="eastAsia" w:ascii="Times New Roman" w:hAnsi="Times New Roman" w:eastAsia="仿宋" w:cs="Times New Roman"/>
          <w:sz w:val="32"/>
          <w:szCs w:val="32"/>
          <w:lang w:eastAsia="zh-CN"/>
        </w:rPr>
        <w:t>文本包括总</w:t>
      </w:r>
      <w:r>
        <w:rPr>
          <w:rFonts w:hint="eastAsia" w:ascii="Times New Roman" w:hAnsi="Times New Roman" w:eastAsia="仿宋_GB2312" w:cs="仿宋_GB2312"/>
          <w:kern w:val="2"/>
          <w:sz w:val="32"/>
          <w:szCs w:val="32"/>
          <w:lang w:eastAsia="zh-CN"/>
        </w:rPr>
        <w:t>体要求、</w:t>
      </w:r>
      <w:r>
        <w:rPr>
          <w:rFonts w:ascii="Times New Roman" w:hAnsi="Times New Roman" w:eastAsia="仿宋_GB2312" w:cs="仿宋_GB2312"/>
          <w:kern w:val="2"/>
          <w:sz w:val="32"/>
          <w:szCs w:val="32"/>
          <w:lang w:eastAsia="zh-CN"/>
        </w:rPr>
        <w:t>全面深入打好污染防治攻坚战</w:t>
      </w:r>
      <w:r>
        <w:rPr>
          <w:rFonts w:hint="eastAsia" w:ascii="Times New Roman" w:hAnsi="Times New Roman" w:eastAsia="仿宋_GB2312" w:cs="仿宋_GB2312"/>
          <w:kern w:val="2"/>
          <w:sz w:val="32"/>
          <w:szCs w:val="32"/>
          <w:lang w:eastAsia="zh-CN"/>
        </w:rPr>
        <w:t>、</w:t>
      </w:r>
      <w:r>
        <w:rPr>
          <w:rFonts w:ascii="Times New Roman" w:hAnsi="Times New Roman" w:eastAsia="仿宋_GB2312" w:cs="仿宋_GB2312"/>
          <w:kern w:val="2"/>
          <w:sz w:val="32"/>
          <w:szCs w:val="32"/>
          <w:lang w:eastAsia="zh-CN"/>
        </w:rPr>
        <w:t>全面深化“无废城市”建设和新污染物治理</w:t>
      </w:r>
      <w:r>
        <w:rPr>
          <w:rFonts w:hint="eastAsia" w:ascii="Times New Roman" w:hAnsi="Times New Roman" w:eastAsia="仿宋_GB2312" w:cs="仿宋_GB2312"/>
          <w:kern w:val="2"/>
          <w:sz w:val="32"/>
          <w:szCs w:val="32"/>
          <w:lang w:eastAsia="zh-CN"/>
        </w:rPr>
        <w:t>、</w:t>
      </w:r>
      <w:r>
        <w:rPr>
          <w:rFonts w:ascii="Times New Roman" w:hAnsi="Times New Roman" w:eastAsia="仿宋_GB2312" w:cs="仿宋_GB2312"/>
          <w:kern w:val="2"/>
          <w:sz w:val="32"/>
          <w:szCs w:val="32"/>
          <w:lang w:eastAsia="zh-CN"/>
        </w:rPr>
        <w:t>加快培育绿色低碳发展新动能</w:t>
      </w:r>
      <w:r>
        <w:rPr>
          <w:rFonts w:hint="eastAsia" w:ascii="Times New Roman" w:hAnsi="Times New Roman" w:eastAsia="仿宋_GB2312" w:cs="仿宋_GB2312"/>
          <w:kern w:val="2"/>
          <w:sz w:val="32"/>
          <w:szCs w:val="32"/>
          <w:lang w:eastAsia="zh-CN"/>
        </w:rPr>
        <w:t>、</w:t>
      </w:r>
      <w:r>
        <w:rPr>
          <w:rFonts w:ascii="Times New Roman" w:hAnsi="Times New Roman" w:eastAsia="仿宋_GB2312" w:cs="仿宋_GB2312"/>
          <w:kern w:val="2"/>
          <w:sz w:val="32"/>
          <w:szCs w:val="32"/>
          <w:lang w:eastAsia="zh-CN"/>
        </w:rPr>
        <w:t>积极应对气候变化</w:t>
      </w:r>
      <w:r>
        <w:rPr>
          <w:rFonts w:hint="eastAsia" w:ascii="Times New Roman" w:hAnsi="Times New Roman" w:eastAsia="仿宋_GB2312" w:cs="仿宋_GB2312"/>
          <w:kern w:val="2"/>
          <w:sz w:val="32"/>
          <w:szCs w:val="32"/>
          <w:lang w:eastAsia="zh-CN"/>
        </w:rPr>
        <w:t>、</w:t>
      </w:r>
      <w:r>
        <w:rPr>
          <w:rFonts w:ascii="Times New Roman" w:hAnsi="Times New Roman" w:eastAsia="仿宋_GB2312" w:cs="仿宋_GB2312"/>
          <w:kern w:val="2"/>
          <w:sz w:val="32"/>
          <w:szCs w:val="32"/>
          <w:lang w:eastAsia="zh-CN"/>
        </w:rPr>
        <w:t>统筹优化生态系统结构功能</w:t>
      </w:r>
      <w:r>
        <w:rPr>
          <w:rFonts w:hint="eastAsia" w:ascii="Times New Roman" w:hAnsi="Times New Roman" w:eastAsia="仿宋_GB2312" w:cs="仿宋_GB2312"/>
          <w:kern w:val="2"/>
          <w:sz w:val="32"/>
          <w:szCs w:val="32"/>
          <w:lang w:eastAsia="zh-CN"/>
        </w:rPr>
        <w:t>、</w:t>
      </w:r>
      <w:r>
        <w:rPr>
          <w:rFonts w:ascii="Times New Roman" w:hAnsi="Times New Roman" w:eastAsia="仿宋_GB2312" w:cs="仿宋_GB2312"/>
          <w:kern w:val="2"/>
          <w:sz w:val="32"/>
          <w:szCs w:val="32"/>
          <w:lang w:eastAsia="zh-CN"/>
        </w:rPr>
        <w:t>守牢美丽洛阳建设生态环境安全底线</w:t>
      </w:r>
      <w:r>
        <w:rPr>
          <w:rFonts w:hint="eastAsia" w:ascii="Times New Roman" w:hAnsi="Times New Roman" w:eastAsia="仿宋_GB2312" w:cs="仿宋_GB2312"/>
          <w:kern w:val="2"/>
          <w:sz w:val="32"/>
          <w:szCs w:val="32"/>
          <w:lang w:eastAsia="zh-CN"/>
        </w:rPr>
        <w:t>、</w:t>
      </w:r>
      <w:r>
        <w:rPr>
          <w:rFonts w:ascii="Times New Roman" w:hAnsi="Times New Roman" w:eastAsia="仿宋_GB2312" w:cs="仿宋_GB2312"/>
          <w:kern w:val="2"/>
          <w:sz w:val="32"/>
          <w:szCs w:val="32"/>
          <w:lang w:eastAsia="zh-CN"/>
        </w:rPr>
        <w:t>健全美丽洛阳建设保障体系</w:t>
      </w:r>
      <w:r>
        <w:rPr>
          <w:rFonts w:hint="eastAsia" w:ascii="Times New Roman" w:hAnsi="Times New Roman" w:eastAsia="仿宋_GB2312" w:cs="仿宋_GB2312"/>
          <w:kern w:val="2"/>
          <w:sz w:val="32"/>
          <w:szCs w:val="32"/>
          <w:lang w:eastAsia="zh-CN"/>
        </w:rPr>
        <w:t>及</w:t>
      </w:r>
      <w:r>
        <w:rPr>
          <w:rFonts w:ascii="Times New Roman" w:hAnsi="Times New Roman" w:eastAsia="仿宋_GB2312" w:cs="仿宋_GB2312"/>
          <w:kern w:val="2"/>
          <w:sz w:val="32"/>
          <w:szCs w:val="32"/>
          <w:lang w:eastAsia="zh-CN"/>
        </w:rPr>
        <w:t>规划实施保障</w:t>
      </w:r>
      <w:r>
        <w:rPr>
          <w:rFonts w:hint="eastAsia" w:ascii="Times New Roman" w:hAnsi="Times New Roman" w:eastAsia="仿宋_GB2312" w:cs="仿宋_GB2312"/>
          <w:kern w:val="2"/>
          <w:sz w:val="32"/>
          <w:szCs w:val="32"/>
          <w:lang w:eastAsia="zh-CN"/>
        </w:rPr>
        <w:t>等九部分正文内容</w:t>
      </w:r>
      <w:r>
        <w:rPr>
          <w:rFonts w:ascii="Times New Roman" w:hAnsi="Times New Roman" w:eastAsia="仿宋_GB2312" w:cs="仿宋_GB2312"/>
          <w:kern w:val="2"/>
          <w:sz w:val="32"/>
          <w:szCs w:val="32"/>
          <w:lang w:eastAsia="zh-CN"/>
        </w:rPr>
        <w:t>，</w:t>
      </w:r>
      <w:r>
        <w:rPr>
          <w:rFonts w:hint="eastAsia" w:ascii="Times New Roman" w:hAnsi="Times New Roman" w:eastAsia="仿宋_GB2312" w:cs="仿宋_GB2312"/>
          <w:kern w:val="2"/>
          <w:sz w:val="32"/>
          <w:szCs w:val="32"/>
          <w:lang w:eastAsia="zh-CN"/>
        </w:rPr>
        <w:t>相应正文板块后设置主要指标、“美丽系列”建设行动及重点工程等八个专栏。</w:t>
      </w:r>
      <w:r>
        <w:rPr>
          <w:rFonts w:ascii="Times New Roman" w:hAnsi="Times New Roman" w:eastAsia="仿宋" w:cs="Times New Roman"/>
          <w:sz w:val="32"/>
          <w:szCs w:val="32"/>
          <w:lang w:eastAsia="zh-CN"/>
        </w:rPr>
        <w:t>《规划》</w:t>
      </w:r>
      <w:r>
        <w:rPr>
          <w:rFonts w:hint="eastAsia" w:ascii="Times New Roman" w:hAnsi="Times New Roman" w:eastAsia="仿宋_GB2312" w:cs="仿宋_GB2312"/>
          <w:kern w:val="2"/>
          <w:sz w:val="32"/>
          <w:szCs w:val="32"/>
          <w:lang w:eastAsia="zh-CN"/>
        </w:rPr>
        <w:t>核心内容解读如下</w:t>
      </w:r>
      <w:r>
        <w:rPr>
          <w:rFonts w:ascii="Times New Roman" w:hAnsi="Times New Roman" w:eastAsia="仿宋" w:cs="Times New Roman"/>
          <w:sz w:val="32"/>
          <w:szCs w:val="32"/>
          <w:lang w:eastAsia="zh-CN"/>
        </w:rPr>
        <w:t>。</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ascii="Times New Roman" w:hAnsi="Times New Roman" w:eastAsia="楷体_GB2312" w:cs="Times New Roman"/>
          <w:b/>
          <w:bCs/>
          <w:color w:val="000000"/>
          <w:sz w:val="32"/>
          <w:szCs w:val="32"/>
          <w:lang w:eastAsia="zh-CN"/>
        </w:rPr>
        <w:t>（一）深入打好污染防治攻坚战。</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规划》坚持精准治污、科学治污、依法治污，以更高标准持续改善生态环境质量。在大气污染防治方面，锚定“美丽蓝天”建设，推动洛宁、栾川、汝阳、嵩县空气质量二级达标，全面完成水泥、焦化、铸造用生铁等重点行业及燃煤锅炉超低排放改造，持续推进挥发性有机物全流程综合治理，加强机动车、扬尘、餐饮油烟等污染治理，推动全市空气质量持续提升进位。在水生态环境保护方面，以黄河流域为重点，深入推进“净水入黄河”工程，确保黄河干流洛阳段水质稳定保持Ⅱ类，伊河、洛河水质稳定保持Ⅲ类及以上，全市县级及以上集中式饮用水水源水质达标率稳定在100%，持续巩固城乡黑臭水体治理成效，着力解决群众身边水污染问题。在土壤、地下水和农村生态环境保护方面，持续加强土壤源头防控，推进受污染农用地安全利用和地下水污染防治，分类推进农村生活污水治理设施提质增效，整县推进农业面源污染综合防治；同步共同守护宁静家园，开展噪声问题排查整治，推进宁静小区、宁静街区建设。</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ascii="Times New Roman" w:hAnsi="Times New Roman" w:eastAsia="楷体_GB2312" w:cs="Times New Roman"/>
          <w:b/>
          <w:bCs/>
          <w:color w:val="000000"/>
          <w:sz w:val="32"/>
          <w:szCs w:val="32"/>
          <w:lang w:eastAsia="zh-CN"/>
        </w:rPr>
        <w:t>（二）全面深化“无废城市”建设和新污染物治理。</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规划》部署开展非法倾倒处置固体废物、历史遗留固体废物堆存场所等专项整治，提升“无废城市”建设水平，强化工业固体废物全链条管控，推动大宗工业固废综合利用和建筑垃圾资源化利用，秸秆综合利用率稳定在93%以上，畜禽粪污综合利用率保持在89%以上，农村生活垃圾分类处理行政村实现全覆盖。严格危险废物环境监管，推动重点监管单位“五即一码”全覆盖，鼓励低价值危险废物综合利用。深入开展新污染物治理，强化重点产品有害物质源头减量和替代，加强新污染物协同治理。</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ascii="Times New Roman" w:hAnsi="Times New Roman" w:eastAsia="楷体_GB2312" w:cs="Times New Roman"/>
          <w:b/>
          <w:bCs/>
          <w:color w:val="000000"/>
          <w:sz w:val="32"/>
          <w:szCs w:val="32"/>
          <w:lang w:eastAsia="zh-CN"/>
        </w:rPr>
        <w:t>（三）加快培育绿色低碳发展新动能。</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规划》强化生态环境分区管控和环境影响评价管理，全面落实固定污染源排污许可“一证式”管理。促进产业绿色转型升级，严控“两高”项目准入，推进石化、化工、有色、建材、装备制造等传统行业绿色化改造，持续培育绿色工厂、绿色园区、绿色供应链管理企业。加快构建绿色低碳能源体系，持续推进煤炭消费替代和煤电机组优化改造，大力推进新能源开发利用，探索建设零碳工厂、零碳园区和“近零碳”公共机构。持续优化交通运输结构，推动大宗货物“公转铁”，全市火电、煤炭、焦化、有色、水泥等重点行业大宗货物清洁运输比例达到85%以上。大力推广绿色低碳生活方式，推动历史文化保护与生态文明建设互融互促，促进生态文旅融合发展。</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ascii="Times New Roman" w:hAnsi="Times New Roman" w:eastAsia="楷体_GB2312" w:cs="Times New Roman"/>
          <w:b/>
          <w:bCs/>
          <w:color w:val="000000"/>
          <w:sz w:val="32"/>
          <w:szCs w:val="32"/>
          <w:lang w:eastAsia="zh-CN"/>
        </w:rPr>
        <w:t>（四）积极应对气候变化。</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规划》提出实施碳排放总量和强度双控制度，深化国家减污降碳协同创新试点城市和节能降碳试点城市建设，聚焦能源、工业、交通、城建等重点领域和有色、建材、石化化工等重点行业，积极稳妥推进和实现碳达峰。加快发展洛阳碳市场，推动火电、石化、有色金属冶炼、建材等重点行业企业深度融入全国碳市场，建立生态环境权交易平台，构建辐射全省的区域碳交易市场服务体系。加强非二氧化碳温室气体排放控制，强化应对气候变化管理，全面推进气候适应型和韧性城市建设。</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ascii="Times New Roman" w:hAnsi="Times New Roman" w:eastAsia="楷体_GB2312" w:cs="Times New Roman"/>
          <w:b/>
          <w:bCs/>
          <w:color w:val="000000"/>
          <w:sz w:val="32"/>
          <w:szCs w:val="32"/>
          <w:lang w:eastAsia="zh-CN"/>
        </w:rPr>
        <w:t>（五）统筹优化生态系统结构功能。</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规划》持续加强黄河生态带建设，差异化实施分区生态修复，加快形成“一带、四区、多廊道、多节点”全域生态系统保护格局。推动自然保护地整合优化，加强伏牛山、黄河湿地等自然保护区生态系统修复和监管，以南部四县为重点科学开展国土绿化，持续实施伏牛山历史遗留矿山生态修复工程，推进绿色矿山建设，全市持证在产的80%大中型矿山达到绿色矿山标准。系统推进生物多样性保护，推进洛阳牡丹、伊河鲂、黄河鲤、乌苏里拟鲿等特色种质资源保护及有序开发。强化生态保护监管，深入实施“绿盾”行动，开展生态保护红线、自然保护地生态环境保护成效评估。</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ascii="Times New Roman" w:hAnsi="Times New Roman" w:eastAsia="楷体_GB2312" w:cs="Times New Roman"/>
          <w:b/>
          <w:bCs/>
          <w:color w:val="000000"/>
          <w:sz w:val="32"/>
          <w:szCs w:val="32"/>
          <w:lang w:eastAsia="zh-CN"/>
        </w:rPr>
        <w:t>（六）守牢美丽洛阳建设生态环境安全底线。</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规划》强化重点领域环境风险防控，严格涉重金属重点行业环境准入，开展重金属环境安全隐患排查整治，加强尾矿库环境监管，推动无主库、长期停产库实施闭库。保障核与辐射安全，加强医疗机构、工业探伤等重点领域安全监管，规范放射性废物、废旧闲置放射源处理处置。提升生态环境应急能力，健全跨界河流突发水污染事件联防联控机制，推进化工园区、危化品运输道路、尾矿库、输油管线“一园（路、库、管）一策一图”，常态化开展环境应急培训和演练。</w:t>
      </w:r>
    </w:p>
    <w:p>
      <w:pPr>
        <w:spacing w:after="0" w:line="600" w:lineRule="exact"/>
        <w:ind w:firstLine="641"/>
        <w:jc w:val="both"/>
        <w:rPr>
          <w:rFonts w:ascii="Times New Roman" w:hAnsi="Times New Roman" w:eastAsia="楷体_GB2312" w:cs="Times New Roman"/>
          <w:b/>
          <w:bCs/>
          <w:color w:val="000000"/>
          <w:sz w:val="32"/>
          <w:szCs w:val="32"/>
          <w:lang w:eastAsia="zh-CN"/>
        </w:rPr>
      </w:pPr>
      <w:r>
        <w:rPr>
          <w:rFonts w:ascii="Times New Roman" w:hAnsi="Times New Roman" w:eastAsia="楷体_GB2312" w:cs="Times New Roman"/>
          <w:b/>
          <w:bCs/>
          <w:color w:val="000000"/>
          <w:sz w:val="32"/>
          <w:szCs w:val="32"/>
          <w:lang w:eastAsia="zh-CN"/>
        </w:rPr>
        <w:t>（七）健全保障体系并抓好规划实施。</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规划》明确全面实施生态环境法典，加强普法宣传，依法推进生态环境损害赔偿、环境信息依法披露等制度落实，提升生态环境执法和现代化监测能力。强化技术及人才支撑，组织开展减污降碳、多污染物协同减排、新污染物治理等重大科技需求攻关，实施高层次生态环境科技人才工程。完善市场经济激励政策，积极争取资金支持，探索创新投融资和生态环境导向的开发（EOD）模式。加强市委、市政府对规划实施的组织领导，落实各级党政领导干部生态环境保护责任制，将目标指标、任务措施和工程项目分解落实到相关部门，健全重大项目实施机制，及时开展规划实施动态监测、中期评估和总结评估。</w:t>
      </w:r>
    </w:p>
    <w:p>
      <w:pPr>
        <w:spacing w:after="0" w:line="600" w:lineRule="exact"/>
        <w:ind w:firstLine="641"/>
        <w:jc w:val="both"/>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美丽洛阳建设人人有责、人人受益。希望社会各界广泛关注、积极支持、共同参与，携手守护河洛大地的蓝天碧水、青山净土，共同绘就“古今辉映洛城美，生态宜居智慧都”的美好画卷。</w:t>
      </w:r>
    </w:p>
    <w:p>
      <w:pPr>
        <w:spacing w:after="0" w:line="600" w:lineRule="exact"/>
        <w:rPr>
          <w:rFonts w:ascii="Times New Roman" w:hAnsi="Times New Roman" w:eastAsia="仿宋" w:cs="Times New Roman"/>
          <w:sz w:val="32"/>
          <w:szCs w:val="32"/>
          <w:lang w:eastAsia="zh-CN"/>
        </w:rPr>
      </w:pPr>
    </w:p>
    <w:p>
      <w:pPr>
        <w:spacing w:after="0" w:line="600" w:lineRule="exact"/>
        <w:rPr>
          <w:rFonts w:ascii="Times New Roman" w:hAnsi="Times New Roman" w:eastAsia="仿宋" w:cs="Times New Roman"/>
          <w:sz w:val="32"/>
          <w:szCs w:val="32"/>
          <w:lang w:eastAsia="zh-CN"/>
        </w:rPr>
      </w:pPr>
    </w:p>
    <w:p>
      <w:pPr>
        <w:spacing w:after="0" w:line="600" w:lineRule="exact"/>
        <w:rPr>
          <w:rFonts w:ascii="Times New Roman" w:hAnsi="Times New Roman" w:eastAsia="仿宋" w:cs="Times New Roman"/>
          <w:sz w:val="32"/>
          <w:szCs w:val="32"/>
          <w:lang w:eastAsia="zh-CN"/>
        </w:rPr>
      </w:pPr>
    </w:p>
    <w:p>
      <w:pPr>
        <w:spacing w:after="0" w:line="600" w:lineRule="exact"/>
        <w:ind w:right="737"/>
        <w:jc w:val="right"/>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洛阳市生态环境局</w:t>
      </w:r>
    </w:p>
    <w:p>
      <w:pPr>
        <w:spacing w:after="0" w:line="600" w:lineRule="exact"/>
        <w:ind w:right="737"/>
        <w:jc w:val="right"/>
        <w:rPr>
          <w:rFonts w:ascii="Times New Roman" w:hAnsi="Times New Roman" w:eastAsia="仿宋" w:cs="Times New Roman"/>
          <w:sz w:val="32"/>
          <w:szCs w:val="32"/>
          <w:lang w:eastAsia="zh-CN"/>
        </w:rPr>
      </w:pPr>
      <w:r>
        <w:rPr>
          <w:rFonts w:ascii="Times New Roman" w:hAnsi="Times New Roman" w:eastAsia="仿宋" w:cs="Times New Roman"/>
          <w:sz w:val="32"/>
          <w:szCs w:val="32"/>
          <w:lang w:eastAsia="zh-CN"/>
        </w:rPr>
        <w:t>2026年9月28日</w:t>
      </w:r>
      <w:bookmarkStart w:id="0" w:name="_GoBack"/>
      <w:bookmarkEnd w:id="0"/>
    </w:p>
    <w:sectPr>
      <w:footerReference r:id="rId5" w:type="default"/>
      <w:footerReference r:id="rId6" w:type="even"/>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简体">
    <w:altName w:val="方正书宋_GBK"/>
    <w:panose1 w:val="02010601030101010101"/>
    <w:charset w:val="86"/>
    <w:family w:val="script"/>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ＭＳ 明朝">
    <w:altName w:val="Droid Sans Japanese"/>
    <w:panose1 w:val="00000000000000000000"/>
    <w:charset w:val="86"/>
    <w:family w:val="auto"/>
    <w:pitch w:val="default"/>
    <w:sig w:usb0="00000000" w:usb1="00000000" w:usb2="00000000" w:usb3="00000000" w:csb0="00000000" w:csb1="00000000"/>
  </w:font>
  <w:font w:name="Droid Sans Japanese">
    <w:panose1 w:val="020B0502000000000001"/>
    <w:charset w:val="00"/>
    <w:family w:val="auto"/>
    <w:pitch w:val="default"/>
    <w:sig w:usb0="80000000" w:usb1="08070000" w:usb2="00000010" w:usb3="00000000" w:csb0="00000001" w:csb1="00000000"/>
  </w:font>
  <w:font w:name="ＭＳ ゴシック">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Courier">
    <w:altName w:val="Liberation Mono"/>
    <w:panose1 w:val="02070409020205020404"/>
    <w:charset w:val="00"/>
    <w:family w:val="auto"/>
    <w:pitch w:val="default"/>
    <w:sig w:usb0="00000000" w:usb1="00000000" w:usb2="00000000" w:usb3="00000000" w:csb0="00000001" w:csb1="00000000"/>
  </w:font>
  <w:font w:name="Liberation Mono">
    <w:panose1 w:val="02070409020205020404"/>
    <w:charset w:val="00"/>
    <w:family w:val="auto"/>
    <w:pitch w:val="default"/>
    <w:sig w:usb0="A00002AF" w:usb1="400078FB" w:usb2="00000000" w:usb3="00000000" w:csb0="6000009F" w:csb1="DFD70000"/>
  </w:font>
  <w:font w:name="方正小标宋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ＭＳ 明朝">
    <w:altName w:val="Droid Sans Japanese"/>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right"/>
    </w:pPr>
    <w:r>
      <w:rPr>
        <w:rFonts w:ascii="宋体" w:hAnsi="宋体"/>
        <w:sz w:val="28"/>
      </w:rPr>
      <w:t>—</w:t>
    </w:r>
    <w:r>
      <w:rPr>
        <w:rFonts w:ascii="宋体" w:hAnsi="宋体"/>
        <w:sz w:val="28"/>
      </w:rPr>
      <w:fldChar w:fldCharType="begin"/>
    </w:r>
    <w:r>
      <w:rPr>
        <w:rFonts w:ascii="宋体" w:hAnsi="宋体"/>
        <w:sz w:val="28"/>
      </w:rPr>
      <w:instrText xml:space="preserve"> PAGE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rFonts w:ascii="宋体" w:hAnsi="宋体"/>
        <w:sz w:val="28"/>
      </w:rPr>
      <w:t>—</w:t>
    </w:r>
    <w:r>
      <w:rPr>
        <w:rFonts w:ascii="宋体" w:hAnsi="宋体"/>
        <w:sz w:val="28"/>
      </w:rPr>
      <w:fldChar w:fldCharType="begin"/>
    </w:r>
    <w:r>
      <w:rPr>
        <w:rFonts w:ascii="宋体" w:hAnsi="宋体"/>
        <w:sz w:val="28"/>
      </w:rPr>
      <w:instrText xml:space="preserve"> PAGE </w:instrText>
    </w:r>
    <w:r>
      <w:rPr>
        <w:rFonts w:ascii="宋体" w:hAnsi="宋体"/>
        <w:sz w:val="28"/>
      </w:rPr>
      <w:fldChar w:fldCharType="separate"/>
    </w:r>
    <w:r>
      <w:rPr>
        <w:rFonts w:ascii="宋体" w:hAnsi="宋体"/>
        <w:sz w:val="28"/>
      </w:rPr>
      <w:t>2</w:t>
    </w:r>
    <w:r>
      <w:rPr>
        <w:rFonts w:ascii="宋体" w:hAnsi="宋体"/>
        <w:sz w:val="28"/>
      </w:rPr>
      <w:fldChar w:fldCharType="end"/>
    </w:r>
    <w:r>
      <w:rPr>
        <w:rFonts w:ascii="宋体" w:hAnsi="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evenAndOddHeaders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2F585B"/>
    <w:rsid w:val="00326F90"/>
    <w:rsid w:val="003B2A78"/>
    <w:rsid w:val="004B090A"/>
    <w:rsid w:val="004C0FE7"/>
    <w:rsid w:val="00627411"/>
    <w:rsid w:val="00631B31"/>
    <w:rsid w:val="006665C5"/>
    <w:rsid w:val="006C50E4"/>
    <w:rsid w:val="00704A85"/>
    <w:rsid w:val="00AA1D8D"/>
    <w:rsid w:val="00B47730"/>
    <w:rsid w:val="00CB0664"/>
    <w:rsid w:val="00CB3707"/>
    <w:rsid w:val="00FC693F"/>
    <w:rsid w:val="DE3F921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11</Pages>
  <Words>770</Words>
  <Characters>4394</Characters>
  <Lines>36</Lines>
  <Paragraphs>10</Paragraphs>
  <TotalTime>1</TotalTime>
  <ScaleCrop>false</ScaleCrop>
  <LinksUpToDate>false</LinksUpToDate>
  <CharactersWithSpaces>5154</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2026-09-28T18:22:00Z</dcterms:created>
  <dc:creator>python-docx</dc:creator>
  <dc:description>generated by python-docx</dc:description>
  <cp:lastModifiedBy>greatwall</cp:lastModifiedBy>
  <dcterms:modified xsi:type="dcterms:W3CDTF">2026-09-30T09:57:46Z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ies>
</file>