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overflowPunct w:val="0"/>
        <w:topLinePunct/>
        <w:spacing w:before="4" w:line="400" w:lineRule="exact"/>
        <w:ind w:left="0" w:leftChars="0" w:right="355" w:rightChars="169" w:firstLine="0" w:firstLineChars="0"/>
        <w:jc w:val="both"/>
        <w:rPr>
          <w:rFonts w:hint="eastAsia" w:ascii="黑体" w:hAnsi="黑体" w:eastAsia="黑体"/>
          <w:b w:val="0"/>
          <w:bCs/>
          <w:sz w:val="32"/>
          <w:szCs w:val="32"/>
          <w:lang w:eastAsia="zh-CN"/>
        </w:rPr>
      </w:pPr>
      <w:r>
        <w:rPr>
          <w:rFonts w:hint="eastAsia" w:ascii="黑体" w:hAnsi="黑体" w:eastAsia="黑体"/>
          <w:b w:val="0"/>
          <w:bCs/>
          <w:sz w:val="32"/>
          <w:szCs w:val="32"/>
          <w:lang w:eastAsia="zh-CN"/>
        </w:rPr>
        <w:t>附件</w:t>
      </w:r>
    </w:p>
    <w:p>
      <w:pPr>
        <w:pStyle w:val="10"/>
        <w:overflowPunct w:val="0"/>
        <w:topLinePunct/>
        <w:spacing w:before="4" w:line="400" w:lineRule="exact"/>
        <w:ind w:right="355" w:rightChars="169"/>
        <w:jc w:val="right"/>
        <w:rPr>
          <w:rFonts w:hint="eastAsia" w:ascii="黑体" w:hAnsi="黑体" w:eastAsia="黑体"/>
          <w:b/>
          <w:sz w:val="28"/>
          <w:szCs w:val="28"/>
        </w:rPr>
      </w:pPr>
    </w:p>
    <w:p>
      <w:pPr>
        <w:pStyle w:val="10"/>
        <w:overflowPunct w:val="0"/>
        <w:topLinePunct/>
        <w:spacing w:before="4" w:line="400" w:lineRule="exact"/>
        <w:ind w:right="355" w:rightChars="169"/>
        <w:jc w:val="right"/>
        <w:rPr>
          <w:rFonts w:hint="eastAsia" w:ascii="黑体" w:hAnsi="黑体" w:eastAsia="黑体"/>
          <w:b/>
          <w:sz w:val="28"/>
          <w:szCs w:val="28"/>
        </w:rPr>
      </w:pPr>
    </w:p>
    <w:p>
      <w:pPr>
        <w:widowControl w:val="0"/>
        <w:jc w:val="center"/>
        <w:rPr>
          <w:rFonts w:hint="eastAsia" w:ascii="方正小标宋简体" w:hAnsi="方正小标宋简体" w:eastAsia="方正小标宋简体" w:cs="方正小标宋简体"/>
          <w:b w:val="0"/>
          <w:bCs/>
          <w:kern w:val="0"/>
          <w:sz w:val="48"/>
          <w:szCs w:val="44"/>
        </w:rPr>
      </w:pPr>
      <w:r>
        <w:rPr>
          <w:rFonts w:hint="eastAsia" w:ascii="方正小标宋简体" w:hAnsi="方正小标宋简体" w:eastAsia="方正小标宋简体" w:cs="方正小标宋简体"/>
          <w:b w:val="0"/>
          <w:bCs/>
          <w:kern w:val="0"/>
          <w:sz w:val="48"/>
          <w:szCs w:val="44"/>
        </w:rPr>
        <w:t>洛阳市“十五五”国土空间生态修复</w:t>
      </w:r>
    </w:p>
    <w:p>
      <w:pPr>
        <w:widowControl w:val="0"/>
        <w:jc w:val="center"/>
        <w:rPr>
          <w:rFonts w:hint="eastAsia" w:ascii="方正小标宋简体" w:hAnsi="方正小标宋简体" w:eastAsia="方正小标宋简体" w:cs="方正小标宋简体"/>
          <w:b w:val="0"/>
          <w:bCs/>
          <w:sz w:val="48"/>
          <w:szCs w:val="44"/>
        </w:rPr>
      </w:pPr>
      <w:r>
        <w:rPr>
          <w:rFonts w:hint="eastAsia" w:ascii="方正小标宋简体" w:hAnsi="方正小标宋简体" w:eastAsia="方正小标宋简体" w:cs="方正小标宋简体"/>
          <w:b w:val="0"/>
          <w:bCs/>
          <w:kern w:val="0"/>
          <w:sz w:val="48"/>
          <w:szCs w:val="44"/>
        </w:rPr>
        <w:t>规  划</w:t>
      </w:r>
    </w:p>
    <w:p>
      <w:pPr>
        <w:widowControl w:val="0"/>
        <w:spacing w:line="360" w:lineRule="auto"/>
        <w:jc w:val="center"/>
        <w:rPr>
          <w:rFonts w:ascii="Times New Roman" w:hAnsi="Times New Roman" w:eastAsia="楷体"/>
          <w:sz w:val="44"/>
          <w:szCs w:val="44"/>
        </w:rPr>
      </w:pPr>
      <w:r>
        <w:rPr>
          <w:rFonts w:hint="eastAsia" w:ascii="Times New Roman" w:hAnsi="楷体" w:eastAsia="楷体"/>
          <w:sz w:val="44"/>
          <w:szCs w:val="44"/>
        </w:rPr>
        <w:t>（征求意见稿）</w:t>
      </w: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widowControl w:val="0"/>
        <w:spacing w:line="360" w:lineRule="auto"/>
        <w:jc w:val="center"/>
        <w:rPr>
          <w:rFonts w:ascii="Times New Roman" w:hAnsi="Times New Roman"/>
          <w:sz w:val="32"/>
          <w:szCs w:val="18"/>
        </w:rPr>
      </w:pPr>
    </w:p>
    <w:p>
      <w:pPr>
        <w:pStyle w:val="22"/>
      </w:pPr>
    </w:p>
    <w:p>
      <w:pPr>
        <w:widowControl w:val="0"/>
        <w:spacing w:line="360" w:lineRule="auto"/>
        <w:jc w:val="center"/>
        <w:rPr>
          <w:rFonts w:ascii="Times New Roman" w:hAnsi="Times New Roman"/>
          <w:sz w:val="32"/>
          <w:szCs w:val="18"/>
        </w:rPr>
      </w:pPr>
    </w:p>
    <w:p>
      <w:pPr>
        <w:widowControl w:val="0"/>
        <w:contextualSpacing/>
        <w:jc w:val="center"/>
        <w:rPr>
          <w:rFonts w:hint="eastAsia" w:ascii="Times New Roman" w:hAnsi="黑体" w:eastAsia="黑体"/>
          <w:sz w:val="36"/>
          <w:szCs w:val="36"/>
        </w:rPr>
      </w:pPr>
      <w:r>
        <w:rPr>
          <w:rFonts w:ascii="Times New Roman" w:hAnsi="黑体" w:eastAsia="黑体"/>
          <w:sz w:val="36"/>
          <w:szCs w:val="36"/>
        </w:rPr>
        <w:t>洛阳市自然资源和规划局</w:t>
      </w:r>
    </w:p>
    <w:p>
      <w:pPr>
        <w:widowControl w:val="0"/>
        <w:contextualSpacing/>
        <w:jc w:val="center"/>
        <w:rPr>
          <w:rFonts w:ascii="Times New Roman" w:hAnsi="Times New Roman" w:eastAsia="黑体"/>
          <w:sz w:val="36"/>
          <w:szCs w:val="36"/>
        </w:rPr>
      </w:pPr>
      <w:r>
        <w:rPr>
          <w:rFonts w:ascii="Times New Roman" w:hAnsi="黑体" w:eastAsia="黑体"/>
          <w:sz w:val="36"/>
          <w:szCs w:val="36"/>
        </w:rPr>
        <w:t>二〇二</w:t>
      </w:r>
      <w:r>
        <w:rPr>
          <w:rFonts w:hint="eastAsia" w:ascii="Times New Roman" w:hAnsi="黑体" w:eastAsia="黑体"/>
          <w:sz w:val="36"/>
          <w:szCs w:val="36"/>
        </w:rPr>
        <w:t>六</w:t>
      </w:r>
      <w:r>
        <w:rPr>
          <w:rFonts w:ascii="Times New Roman" w:hAnsi="黑体" w:eastAsia="黑体"/>
          <w:sz w:val="36"/>
          <w:szCs w:val="36"/>
        </w:rPr>
        <w:t>年</w:t>
      </w:r>
      <w:r>
        <w:rPr>
          <w:rFonts w:hint="eastAsia" w:ascii="Times New Roman" w:hAnsi="黑体" w:eastAsia="黑体"/>
          <w:sz w:val="36"/>
          <w:szCs w:val="36"/>
        </w:rPr>
        <w:t>九</w:t>
      </w:r>
      <w:r>
        <w:rPr>
          <w:rFonts w:ascii="Times New Roman" w:hAnsi="黑体" w:eastAsia="黑体"/>
          <w:sz w:val="36"/>
          <w:szCs w:val="36"/>
        </w:rPr>
        <w:t>月</w:t>
      </w:r>
    </w:p>
    <w:p>
      <w:pPr>
        <w:widowControl w:val="0"/>
        <w:contextualSpacing/>
        <w:jc w:val="center"/>
        <w:rPr>
          <w:rFonts w:ascii="Times New Roman" w:hAnsi="Times New Roman" w:eastAsia="黑体"/>
          <w:sz w:val="36"/>
          <w:szCs w:val="36"/>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cols w:space="720" w:num="1"/>
          <w:titlePg/>
          <w:docGrid w:type="lines" w:linePitch="312" w:charSpace="0"/>
        </w:sectPr>
      </w:pPr>
    </w:p>
    <w:p>
      <w:pPr>
        <w:widowControl w:val="0"/>
        <w:spacing w:before="156" w:beforeLines="50" w:after="156" w:afterLines="50"/>
        <w:jc w:val="center"/>
        <w:outlineLvl w:val="0"/>
        <w:rPr>
          <w:rFonts w:hint="eastAsia" w:ascii="方正小标宋简体" w:hAnsi="方正小标宋简体" w:eastAsia="方正小标宋简体" w:cs="方正小标宋简体"/>
          <w:bCs/>
          <w:sz w:val="36"/>
          <w:szCs w:val="36"/>
        </w:rPr>
      </w:pPr>
      <w:bookmarkStart w:id="0" w:name="_Toc240990633"/>
      <w:bookmarkStart w:id="1" w:name="_Toc19000"/>
      <w:bookmarkStart w:id="2" w:name="_Toc23458"/>
      <w:bookmarkStart w:id="3" w:name="_Toc11261"/>
      <w:bookmarkStart w:id="4" w:name="_Toc8996"/>
      <w:bookmarkStart w:id="5" w:name="_Toc24734"/>
      <w:bookmarkStart w:id="6" w:name="_Toc19455"/>
      <w:bookmarkStart w:id="7" w:name="_Toc25864"/>
      <w:r>
        <w:rPr>
          <w:rFonts w:hint="eastAsia" w:ascii="方正小标宋简体" w:hAnsi="方正小标宋简体" w:eastAsia="方正小标宋简体" w:cs="方正小标宋简体"/>
          <w:bCs/>
          <w:sz w:val="36"/>
          <w:szCs w:val="36"/>
        </w:rPr>
        <w:t>前  言</w:t>
      </w:r>
      <w:bookmarkEnd w:id="0"/>
      <w:bookmarkEnd w:id="1"/>
      <w:bookmarkEnd w:id="2"/>
      <w:bookmarkEnd w:id="3"/>
      <w:bookmarkEnd w:id="4"/>
      <w:bookmarkEnd w:id="5"/>
      <w:bookmarkEnd w:id="6"/>
      <w:bookmarkEnd w:id="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洛阳地处中原腹地，横跨黄河中游两岸，北望黄河、南依伏牛山，兼有山地、丘陵、河谷平原等多种地貌，地跨黄河、淮河、长江三大流域，是黄河流域重要节点城市、中原城市群副中心城市，在全省生态格局中具有重要地位。洛阳市委市政府</w:t>
      </w:r>
      <w:r>
        <w:rPr>
          <w:rFonts w:hint="eastAsia" w:ascii="仿宋_GB2312" w:hAnsi="仿宋_GB2312" w:eastAsia="仿宋_GB2312" w:cs="仿宋_GB2312"/>
          <w:kern w:val="0"/>
          <w:sz w:val="32"/>
          <w:szCs w:val="32"/>
          <w:lang w:eastAsia="zh-CN"/>
        </w:rPr>
        <w:t>全面</w:t>
      </w:r>
      <w:r>
        <w:rPr>
          <w:rFonts w:hint="eastAsia" w:ascii="仿宋_GB2312" w:hAnsi="仿宋_GB2312" w:eastAsia="仿宋_GB2312" w:cs="仿宋_GB2312"/>
          <w:kern w:val="0"/>
          <w:sz w:val="32"/>
          <w:szCs w:val="32"/>
        </w:rPr>
        <w:t>贯彻落实党中央关于黄河流域生态保护和高质量发展战略决策部署，</w:t>
      </w:r>
      <w:r>
        <w:rPr>
          <w:rFonts w:hint="eastAsia" w:ascii="仿宋_GB2312" w:hAnsi="仿宋_GB2312" w:eastAsia="仿宋_GB2312" w:cs="仿宋_GB2312"/>
          <w:kern w:val="0"/>
          <w:sz w:val="32"/>
          <w:szCs w:val="32"/>
          <w:lang w:eastAsia="zh-CN"/>
        </w:rPr>
        <w:t>深入学习</w:t>
      </w:r>
      <w:r>
        <w:rPr>
          <w:rFonts w:hint="eastAsia" w:ascii="仿宋_GB2312" w:hAnsi="仿宋_GB2312" w:eastAsia="仿宋_GB2312" w:cs="仿宋_GB2312"/>
          <w:kern w:val="0"/>
          <w:sz w:val="32"/>
          <w:szCs w:val="32"/>
        </w:rPr>
        <w:t>习近平总书记</w:t>
      </w:r>
      <w:r>
        <w:rPr>
          <w:rFonts w:hint="eastAsia" w:ascii="仿宋_GB2312" w:hAnsi="仿宋_GB2312" w:eastAsia="仿宋_GB2312" w:cs="仿宋_GB2312"/>
          <w:kern w:val="0"/>
          <w:sz w:val="32"/>
          <w:szCs w:val="32"/>
          <w:lang w:eastAsia="zh-CN"/>
        </w:rPr>
        <w:t>视察</w:t>
      </w:r>
      <w:r>
        <w:rPr>
          <w:rFonts w:hint="eastAsia" w:ascii="仿宋_GB2312" w:hAnsi="仿宋_GB2312" w:eastAsia="仿宋_GB2312" w:cs="仿宋_GB2312"/>
          <w:kern w:val="0"/>
          <w:sz w:val="32"/>
          <w:szCs w:val="32"/>
        </w:rPr>
        <w:t>河南重要讲话</w:t>
      </w:r>
      <w:r>
        <w:rPr>
          <w:rFonts w:hint="eastAsia" w:ascii="仿宋_GB2312" w:hAnsi="仿宋_GB2312" w:eastAsia="仿宋_GB2312" w:cs="仿宋_GB2312"/>
          <w:kern w:val="0"/>
          <w:sz w:val="32"/>
          <w:szCs w:val="32"/>
          <w:lang w:eastAsia="zh-CN"/>
        </w:rPr>
        <w:t>和</w:t>
      </w:r>
      <w:r>
        <w:rPr>
          <w:rFonts w:hint="eastAsia" w:ascii="仿宋_GB2312" w:hAnsi="仿宋_GB2312" w:eastAsia="仿宋_GB2312" w:cs="仿宋_GB2312"/>
          <w:kern w:val="0"/>
          <w:sz w:val="32"/>
          <w:szCs w:val="32"/>
        </w:rPr>
        <w:t>重要指示批示精神，统筹推进山水林田湖草沙一体化保护和系统治理，努力筑牢黄河中下游生态屏障、建设现代生态宜居城市。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根据</w:t>
      </w:r>
      <w:r>
        <w:rPr>
          <w:rFonts w:hint="eastAsia" w:ascii="仿宋_GB2312" w:hAnsi="仿宋_GB2312" w:eastAsia="仿宋_GB2312" w:cs="仿宋_GB2312"/>
          <w:kern w:val="0"/>
          <w:sz w:val="32"/>
          <w:szCs w:val="32"/>
        </w:rPr>
        <w:t>《自然资源部办公厅关于开展“十五五”国土空间生态修复规划编制工作的通知》和《河南省自然资源厅办公室关于开展“十五五”国土空间生态修复规划编制工作的通知》（豫自然资办函〔2025〕75号）要求</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为深入贯彻落实习近平生态文明思想，按照市政府工作部署，市自然资源和规划局依据《河南省“十五五”国土空间生态修复规划》</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《中共洛阳市委关于制定洛阳市国民经济和社会发展第十五个五年规划的建议》</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《市县级国土空间生态修复规划编制指南》</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TD/T1101-2024</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并</w:t>
      </w:r>
      <w:r>
        <w:rPr>
          <w:rFonts w:hint="eastAsia" w:ascii="仿宋_GB2312" w:hAnsi="仿宋_GB2312" w:eastAsia="仿宋_GB2312" w:cs="仿宋_GB2312"/>
          <w:kern w:val="0"/>
          <w:sz w:val="32"/>
          <w:szCs w:val="32"/>
        </w:rPr>
        <w:t>结合洛阳市实际</w:t>
      </w:r>
      <w:r>
        <w:rPr>
          <w:rFonts w:hint="eastAsia" w:ascii="仿宋_GB2312" w:hAnsi="仿宋_GB2312" w:eastAsia="仿宋_GB2312" w:cs="仿宋_GB2312"/>
          <w:kern w:val="0"/>
          <w:sz w:val="32"/>
          <w:szCs w:val="32"/>
          <w:lang w:eastAsia="zh-CN"/>
        </w:rPr>
        <w:t>，组织</w:t>
      </w:r>
      <w:r>
        <w:rPr>
          <w:rFonts w:hint="eastAsia" w:ascii="仿宋_GB2312" w:hAnsi="仿宋_GB2312" w:eastAsia="仿宋_GB2312" w:cs="仿宋_GB2312"/>
          <w:kern w:val="0"/>
          <w:sz w:val="32"/>
          <w:szCs w:val="32"/>
        </w:rPr>
        <w:t>编制</w:t>
      </w:r>
      <w:r>
        <w:rPr>
          <w:rFonts w:hint="eastAsia" w:ascii="仿宋_GB2312" w:hAnsi="仿宋_GB2312" w:eastAsia="仿宋_GB2312" w:cs="仿宋_GB2312"/>
          <w:kern w:val="0"/>
          <w:sz w:val="32"/>
          <w:szCs w:val="32"/>
          <w:lang w:eastAsia="zh-CN"/>
        </w:rPr>
        <w:t>了</w:t>
      </w:r>
      <w:r>
        <w:rPr>
          <w:rFonts w:hint="eastAsia" w:ascii="仿宋_GB2312" w:hAnsi="仿宋_GB2312" w:eastAsia="仿宋_GB2312" w:cs="仿宋_GB2312"/>
          <w:kern w:val="0"/>
          <w:sz w:val="32"/>
          <w:szCs w:val="32"/>
        </w:rPr>
        <w:t>《洛阳市“十五五”国土空间生态修复规划》（以下简称《规划》）。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国土空间生态修复规划是国土空间规划体系的重要专项规划，是一定时期内国土空间生态修复任务的总纲和空间指引。《规划》是对《洛阳市国土空间总体规划（2021—2035年）》的落实和深化，是全市“十五五”期间开展各类生态修复活动</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指导县（区）国土空间生态修复工作的重要依据，在国土空间生态修复规划体系中发挥承上启下、统筹协调作用。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rPr>
        <w:sectPr>
          <w:headerReference r:id="rId8" w:type="default"/>
          <w:footerReference r:id="rId9" w:type="default"/>
          <w:pgSz w:w="12240" w:h="15840"/>
          <w:pgMar w:top="1440" w:right="1800" w:bottom="1440" w:left="1800" w:header="720" w:footer="720" w:gutter="0"/>
          <w:pgNumType w:fmt="decimal" w:start="1"/>
          <w:cols w:space="720" w:num="1"/>
          <w:docGrid w:type="lines" w:linePitch="312" w:charSpace="0"/>
        </w:sectPr>
      </w:pPr>
      <w:r>
        <w:rPr>
          <w:rFonts w:hint="eastAsia" w:ascii="仿宋_GB2312" w:hAnsi="仿宋_GB2312" w:eastAsia="仿宋_GB2312" w:cs="仿宋_GB2312"/>
          <w:kern w:val="0"/>
          <w:sz w:val="32"/>
          <w:szCs w:val="32"/>
        </w:rPr>
        <w:t>《规划》范围为洛阳市行政辖区，辖7县7区，总面积约1.52万平方千米。规划期为2026年～2030年，基期年为2025年，规划目标年为2030年，展望至2035年。</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大标宋简体"/>
          <w:sz w:val="36"/>
          <w:szCs w:val="36"/>
        </w:rPr>
      </w:pPr>
      <w:r>
        <w:rPr>
          <w:rFonts w:hint="eastAsia" w:ascii="Times New Roman" w:hAnsi="Times New Roman" w:eastAsia="方正大标宋简体"/>
          <w:sz w:val="36"/>
          <w:szCs w:val="36"/>
        </w:rPr>
        <w:t>目  录</w:t>
      </w:r>
    </w:p>
    <w:p>
      <w:pPr>
        <w:pStyle w:val="16"/>
        <w:tabs>
          <w:tab w:val="right" w:leader="dot" w:pos="8630"/>
        </w:tabs>
        <w:spacing w:line="360" w:lineRule="auto"/>
        <w:rPr>
          <w:rFonts w:hint="eastAsia" w:ascii="仿宋_GB2312" w:eastAsia="仿宋_GB2312" w:hAnsiTheme="minorHAnsi" w:cstheme="minorBidi"/>
          <w:sz w:val="28"/>
          <w:szCs w:val="28"/>
          <w14:ligatures w14:val="standardContextual"/>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TOC \o "1-2" \h \u </w:instrText>
      </w:r>
      <w:r>
        <w:rPr>
          <w:rFonts w:ascii="Times New Roman" w:hAnsi="Times New Roman" w:eastAsia="仿宋_GB2312"/>
          <w:sz w:val="28"/>
          <w:szCs w:val="28"/>
        </w:rPr>
        <w:fldChar w:fldCharType="separate"/>
      </w:r>
      <w:r>
        <w:fldChar w:fldCharType="begin"/>
      </w:r>
      <w:r>
        <w:instrText xml:space="preserve"> HYPERLINK \l "_Toc240990633" </w:instrText>
      </w:r>
      <w:r>
        <w:fldChar w:fldCharType="separate"/>
      </w:r>
      <w:r>
        <w:rPr>
          <w:rStyle w:val="28"/>
          <w:rFonts w:hint="eastAsia" w:ascii="仿宋_GB2312" w:hAnsi="方正小标宋简体" w:eastAsia="仿宋_GB2312" w:cs="方正小标宋简体"/>
          <w:bCs/>
          <w:sz w:val="28"/>
          <w:szCs w:val="28"/>
        </w:rPr>
        <w:t>前  言</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_Toc240990633 \h </w:instrText>
      </w:r>
      <w:r>
        <w:rPr>
          <w:rFonts w:hint="eastAsia" w:ascii="仿宋_GB2312" w:eastAsia="仿宋_GB2312"/>
          <w:sz w:val="28"/>
          <w:szCs w:val="28"/>
        </w:rPr>
        <w:fldChar w:fldCharType="separate"/>
      </w:r>
      <w:r>
        <w:rPr>
          <w:rFonts w:hint="eastAsia" w:ascii="仿宋_GB2312" w:eastAsia="仿宋_GB2312"/>
          <w:sz w:val="28"/>
          <w:szCs w:val="28"/>
        </w:rPr>
        <w:t>1</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"_Toc240990634" </w:instrText>
      </w:r>
      <w:r>
        <w:fldChar w:fldCharType="separate"/>
      </w:r>
      <w:r>
        <w:rPr>
          <w:rStyle w:val="28"/>
          <w:rFonts w:hint="eastAsia" w:ascii="仿宋_GB2312" w:hAnsi="方正小标宋简体" w:eastAsia="仿宋_GB2312" w:cs="方正小标宋简体"/>
          <w:bCs/>
          <w:sz w:val="28"/>
          <w:szCs w:val="28"/>
        </w:rPr>
        <w:t>第一章  现状与形势</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_Toc240990634 \h </w:instrText>
      </w:r>
      <w:r>
        <w:rPr>
          <w:rFonts w:hint="eastAsia" w:ascii="仿宋_GB2312" w:eastAsia="仿宋_GB2312"/>
          <w:sz w:val="28"/>
          <w:szCs w:val="28"/>
        </w:rPr>
        <w:fldChar w:fldCharType="separate"/>
      </w:r>
      <w:r>
        <w:rPr>
          <w:rFonts w:hint="eastAsia" w:ascii="仿宋_GB2312" w:eastAsia="仿宋_GB2312"/>
          <w:sz w:val="28"/>
          <w:szCs w:val="28"/>
        </w:rPr>
        <w:t>3</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"_Toc240990635" </w:instrText>
      </w:r>
      <w:r>
        <w:fldChar w:fldCharType="separate"/>
      </w:r>
      <w:r>
        <w:rPr>
          <w:rStyle w:val="28"/>
          <w:rFonts w:hint="eastAsia" w:ascii="仿宋_GB2312" w:hAnsi="Times New Roman" w:eastAsia="仿宋_GB2312"/>
          <w:bCs/>
          <w:sz w:val="28"/>
          <w:szCs w:val="28"/>
        </w:rPr>
        <w:t>第一节  总体概况</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_Toc240990635 \h </w:instrText>
      </w:r>
      <w:r>
        <w:rPr>
          <w:rFonts w:hint="eastAsia" w:ascii="仿宋_GB2312" w:eastAsia="仿宋_GB2312"/>
          <w:sz w:val="28"/>
          <w:szCs w:val="28"/>
        </w:rPr>
        <w:fldChar w:fldCharType="separate"/>
      </w:r>
      <w:r>
        <w:rPr>
          <w:rFonts w:hint="eastAsia" w:ascii="仿宋_GB2312" w:eastAsia="仿宋_GB2312"/>
          <w:sz w:val="28"/>
          <w:szCs w:val="28"/>
        </w:rPr>
        <w:t>3</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"_Toc240990636" </w:instrText>
      </w:r>
      <w:r>
        <w:fldChar w:fldCharType="separate"/>
      </w:r>
      <w:r>
        <w:rPr>
          <w:rStyle w:val="28"/>
          <w:rFonts w:hint="eastAsia" w:ascii="仿宋_GB2312" w:hAnsi="Times New Roman" w:eastAsia="仿宋_GB2312"/>
          <w:bCs/>
          <w:sz w:val="28"/>
          <w:szCs w:val="28"/>
        </w:rPr>
        <w:t>第二节  生态修复工作及成效</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_Toc240990636 \h </w:instrText>
      </w:r>
      <w:r>
        <w:rPr>
          <w:rFonts w:hint="eastAsia" w:ascii="仿宋_GB2312" w:eastAsia="仿宋_GB2312"/>
          <w:sz w:val="28"/>
          <w:szCs w:val="28"/>
        </w:rPr>
        <w:fldChar w:fldCharType="separate"/>
      </w:r>
      <w:r>
        <w:rPr>
          <w:rFonts w:hint="eastAsia" w:ascii="仿宋_GB2312" w:eastAsia="仿宋_GB2312"/>
          <w:sz w:val="28"/>
          <w:szCs w:val="28"/>
        </w:rPr>
        <w:t>11</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"_Toc240990637" </w:instrText>
      </w:r>
      <w:r>
        <w:fldChar w:fldCharType="separate"/>
      </w:r>
      <w:r>
        <w:rPr>
          <w:rStyle w:val="28"/>
          <w:rFonts w:hint="eastAsia" w:ascii="仿宋_GB2312" w:hAnsi="Times New Roman" w:eastAsia="仿宋_GB2312"/>
          <w:bCs/>
          <w:sz w:val="28"/>
          <w:szCs w:val="28"/>
        </w:rPr>
        <w:t>第三节  机遇与挑战</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_Toc240990637 \h </w:instrText>
      </w:r>
      <w:r>
        <w:rPr>
          <w:rFonts w:hint="eastAsia" w:ascii="仿宋_GB2312" w:eastAsia="仿宋_GB2312"/>
          <w:sz w:val="28"/>
          <w:szCs w:val="28"/>
        </w:rPr>
        <w:fldChar w:fldCharType="separate"/>
      </w:r>
      <w:r>
        <w:rPr>
          <w:rFonts w:hint="eastAsia" w:ascii="仿宋_GB2312" w:eastAsia="仿宋_GB2312"/>
          <w:sz w:val="28"/>
          <w:szCs w:val="28"/>
        </w:rPr>
        <w:t>16</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"_Toc240990638" </w:instrText>
      </w:r>
      <w:r>
        <w:fldChar w:fldCharType="separate"/>
      </w:r>
      <w:r>
        <w:rPr>
          <w:rStyle w:val="28"/>
          <w:rFonts w:hint="eastAsia" w:ascii="仿宋_GB2312" w:hAnsi="方正小标宋简体" w:eastAsia="仿宋_GB2312" w:cs="方正小标宋简体"/>
          <w:bCs/>
          <w:sz w:val="28"/>
          <w:szCs w:val="28"/>
        </w:rPr>
        <w:t>第二章  问题与评价</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_Toc240990638 \h </w:instrText>
      </w:r>
      <w:r>
        <w:rPr>
          <w:rFonts w:hint="eastAsia" w:ascii="仿宋_GB2312" w:eastAsia="仿宋_GB2312"/>
          <w:sz w:val="28"/>
          <w:szCs w:val="28"/>
        </w:rPr>
        <w:fldChar w:fldCharType="separate"/>
      </w:r>
      <w:r>
        <w:rPr>
          <w:rFonts w:hint="eastAsia" w:ascii="仿宋_GB2312" w:eastAsia="仿宋_GB2312"/>
          <w:sz w:val="28"/>
          <w:szCs w:val="28"/>
        </w:rPr>
        <w:t>19</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"_Toc240990639" </w:instrText>
      </w:r>
      <w:r>
        <w:fldChar w:fldCharType="separate"/>
      </w:r>
      <w:r>
        <w:rPr>
          <w:rStyle w:val="28"/>
          <w:rFonts w:hint="eastAsia" w:ascii="仿宋_GB2312" w:hAnsi="Times New Roman" w:eastAsia="仿宋_GB2312"/>
          <w:bCs/>
          <w:sz w:val="28"/>
          <w:szCs w:val="28"/>
        </w:rPr>
        <w:t xml:space="preserve">第一节  </w:t>
      </w:r>
      <w:r>
        <w:rPr>
          <w:rStyle w:val="28"/>
          <w:rFonts w:hint="eastAsia" w:ascii="仿宋_GB2312" w:hAnsi="Times New Roman" w:eastAsia="仿宋_GB2312"/>
          <w:sz w:val="28"/>
          <w:szCs w:val="28"/>
        </w:rPr>
        <w:t>生态空间主要问题</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_Toc240990639 \h </w:instrText>
      </w:r>
      <w:r>
        <w:rPr>
          <w:rFonts w:hint="eastAsia" w:ascii="仿宋_GB2312" w:eastAsia="仿宋_GB2312"/>
          <w:sz w:val="28"/>
          <w:szCs w:val="28"/>
        </w:rPr>
        <w:fldChar w:fldCharType="separate"/>
      </w:r>
      <w:r>
        <w:rPr>
          <w:rFonts w:hint="eastAsia" w:ascii="仿宋_GB2312" w:eastAsia="仿宋_GB2312"/>
          <w:sz w:val="28"/>
          <w:szCs w:val="28"/>
        </w:rPr>
        <w:t>20</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"_Toc240990640" </w:instrText>
      </w:r>
      <w:r>
        <w:fldChar w:fldCharType="separate"/>
      </w:r>
      <w:r>
        <w:rPr>
          <w:rStyle w:val="28"/>
          <w:rFonts w:hint="eastAsia" w:ascii="仿宋_GB2312" w:hAnsi="Times New Roman" w:eastAsia="仿宋_GB2312"/>
          <w:bCs/>
          <w:sz w:val="28"/>
          <w:szCs w:val="28"/>
        </w:rPr>
        <w:t>第二节  农业空间主要问题</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_Toc240990640 \h </w:instrText>
      </w:r>
      <w:r>
        <w:rPr>
          <w:rFonts w:hint="eastAsia" w:ascii="仿宋_GB2312" w:eastAsia="仿宋_GB2312"/>
          <w:sz w:val="28"/>
          <w:szCs w:val="28"/>
        </w:rPr>
        <w:fldChar w:fldCharType="separate"/>
      </w:r>
      <w:r>
        <w:rPr>
          <w:rFonts w:hint="eastAsia" w:ascii="仿宋_GB2312" w:eastAsia="仿宋_GB2312"/>
          <w:sz w:val="28"/>
          <w:szCs w:val="28"/>
        </w:rPr>
        <w:t>23</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"_Toc240990641" </w:instrText>
      </w:r>
      <w:r>
        <w:fldChar w:fldCharType="separate"/>
      </w:r>
      <w:r>
        <w:rPr>
          <w:rStyle w:val="28"/>
          <w:rFonts w:hint="eastAsia" w:ascii="仿宋_GB2312" w:hAnsi="Times New Roman" w:eastAsia="仿宋_GB2312"/>
          <w:bCs/>
          <w:sz w:val="28"/>
          <w:szCs w:val="28"/>
        </w:rPr>
        <w:t>第三节  城镇空间主要问题</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_Toc240990641 \h </w:instrText>
      </w:r>
      <w:r>
        <w:rPr>
          <w:rFonts w:hint="eastAsia" w:ascii="仿宋_GB2312" w:eastAsia="仿宋_GB2312"/>
          <w:sz w:val="28"/>
          <w:szCs w:val="28"/>
        </w:rPr>
        <w:fldChar w:fldCharType="separate"/>
      </w:r>
      <w:r>
        <w:rPr>
          <w:rFonts w:hint="eastAsia" w:ascii="仿宋_GB2312" w:eastAsia="仿宋_GB2312"/>
          <w:sz w:val="28"/>
          <w:szCs w:val="28"/>
        </w:rPr>
        <w:t>24</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"_Toc240990642" </w:instrText>
      </w:r>
      <w:r>
        <w:fldChar w:fldCharType="separate"/>
      </w:r>
      <w:r>
        <w:rPr>
          <w:rStyle w:val="28"/>
          <w:rFonts w:hint="eastAsia" w:ascii="仿宋_GB2312" w:hAnsi="方正小标宋简体" w:eastAsia="仿宋_GB2312" w:cs="方正小标宋简体"/>
          <w:bCs/>
          <w:sz w:val="28"/>
          <w:szCs w:val="28"/>
        </w:rPr>
        <w:t>第三章  总体要求</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_Toc240990642 \h </w:instrText>
      </w:r>
      <w:r>
        <w:rPr>
          <w:rFonts w:hint="eastAsia" w:ascii="仿宋_GB2312" w:eastAsia="仿宋_GB2312"/>
          <w:sz w:val="28"/>
          <w:szCs w:val="28"/>
        </w:rPr>
        <w:fldChar w:fldCharType="separate"/>
      </w:r>
      <w:r>
        <w:rPr>
          <w:rFonts w:hint="eastAsia" w:ascii="仿宋_GB2312" w:eastAsia="仿宋_GB2312"/>
          <w:sz w:val="28"/>
          <w:szCs w:val="28"/>
        </w:rPr>
        <w:t>25</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"_Toc240990643" </w:instrText>
      </w:r>
      <w:r>
        <w:fldChar w:fldCharType="separate"/>
      </w:r>
      <w:r>
        <w:rPr>
          <w:rStyle w:val="28"/>
          <w:rFonts w:hint="eastAsia" w:ascii="仿宋_GB2312" w:hAnsi="Times New Roman" w:eastAsia="仿宋_GB2312"/>
          <w:bCs/>
          <w:sz w:val="28"/>
          <w:szCs w:val="28"/>
        </w:rPr>
        <w:t>第一节  指导思想</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_Toc240990643 \h </w:instrText>
      </w:r>
      <w:r>
        <w:rPr>
          <w:rFonts w:hint="eastAsia" w:ascii="仿宋_GB2312" w:eastAsia="仿宋_GB2312"/>
          <w:sz w:val="28"/>
          <w:szCs w:val="28"/>
        </w:rPr>
        <w:fldChar w:fldCharType="separate"/>
      </w:r>
      <w:r>
        <w:rPr>
          <w:rFonts w:hint="eastAsia" w:ascii="仿宋_GB2312" w:eastAsia="仿宋_GB2312"/>
          <w:sz w:val="28"/>
          <w:szCs w:val="28"/>
        </w:rPr>
        <w:t>25</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"_Toc240990644" </w:instrText>
      </w:r>
      <w:r>
        <w:fldChar w:fldCharType="separate"/>
      </w:r>
      <w:r>
        <w:rPr>
          <w:rStyle w:val="28"/>
          <w:rFonts w:hint="eastAsia" w:ascii="仿宋_GB2312" w:hAnsi="Times New Roman" w:eastAsia="仿宋_GB2312"/>
          <w:bCs/>
          <w:sz w:val="28"/>
          <w:szCs w:val="28"/>
        </w:rPr>
        <w:t>第二节  基本原则</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_Toc240990644 \h </w:instrText>
      </w:r>
      <w:r>
        <w:rPr>
          <w:rFonts w:hint="eastAsia" w:ascii="仿宋_GB2312" w:eastAsia="仿宋_GB2312"/>
          <w:sz w:val="28"/>
          <w:szCs w:val="28"/>
        </w:rPr>
        <w:fldChar w:fldCharType="separate"/>
      </w:r>
      <w:r>
        <w:rPr>
          <w:rFonts w:hint="eastAsia" w:ascii="仿宋_GB2312" w:eastAsia="仿宋_GB2312"/>
          <w:sz w:val="28"/>
          <w:szCs w:val="28"/>
        </w:rPr>
        <w:t>26</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"_Toc240990645" </w:instrText>
      </w:r>
      <w:r>
        <w:fldChar w:fldCharType="separate"/>
      </w:r>
      <w:r>
        <w:rPr>
          <w:rStyle w:val="28"/>
          <w:rFonts w:hint="eastAsia" w:ascii="仿宋_GB2312" w:hAnsi="Times New Roman" w:eastAsia="仿宋_GB2312"/>
          <w:bCs/>
          <w:sz w:val="28"/>
          <w:szCs w:val="28"/>
        </w:rPr>
        <w:t>第三节  主要目标</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_Toc240990645 \h </w:instrText>
      </w:r>
      <w:r>
        <w:rPr>
          <w:rFonts w:hint="eastAsia" w:ascii="仿宋_GB2312" w:eastAsia="仿宋_GB2312"/>
          <w:sz w:val="28"/>
          <w:szCs w:val="28"/>
        </w:rPr>
        <w:fldChar w:fldCharType="separate"/>
      </w:r>
      <w:r>
        <w:rPr>
          <w:rFonts w:hint="eastAsia" w:ascii="仿宋_GB2312" w:eastAsia="仿宋_GB2312"/>
          <w:sz w:val="28"/>
          <w:szCs w:val="28"/>
        </w:rPr>
        <w:t>27</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"_Toc240990646" </w:instrText>
      </w:r>
      <w:r>
        <w:fldChar w:fldCharType="separate"/>
      </w:r>
      <w:r>
        <w:rPr>
          <w:rStyle w:val="28"/>
          <w:rFonts w:hint="eastAsia" w:ascii="仿宋_GB2312" w:hAnsi="方正小标宋简体" w:eastAsia="仿宋_GB2312" w:cs="方正小标宋简体"/>
          <w:bCs/>
          <w:sz w:val="28"/>
          <w:szCs w:val="28"/>
        </w:rPr>
        <w:t>第四章  总体布局</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_Toc240990646 \h </w:instrText>
      </w:r>
      <w:r>
        <w:rPr>
          <w:rFonts w:hint="eastAsia" w:ascii="仿宋_GB2312" w:eastAsia="仿宋_GB2312"/>
          <w:sz w:val="28"/>
          <w:szCs w:val="28"/>
        </w:rPr>
        <w:fldChar w:fldCharType="separate"/>
      </w:r>
      <w:r>
        <w:rPr>
          <w:rFonts w:hint="eastAsia" w:ascii="仿宋_GB2312" w:eastAsia="仿宋_GB2312"/>
          <w:sz w:val="28"/>
          <w:szCs w:val="28"/>
        </w:rPr>
        <w:t>30</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"_Toc240990647" </w:instrText>
      </w:r>
      <w:r>
        <w:fldChar w:fldCharType="separate"/>
      </w:r>
      <w:r>
        <w:rPr>
          <w:rStyle w:val="28"/>
          <w:rFonts w:hint="eastAsia" w:ascii="仿宋_GB2312" w:hAnsi="Times New Roman" w:eastAsia="仿宋_GB2312"/>
          <w:bCs/>
          <w:sz w:val="28"/>
          <w:szCs w:val="28"/>
        </w:rPr>
        <w:t>第一节  生态修复分区</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_Toc240990647 \h </w:instrText>
      </w:r>
      <w:r>
        <w:rPr>
          <w:rFonts w:hint="eastAsia" w:ascii="仿宋_GB2312" w:eastAsia="仿宋_GB2312"/>
          <w:sz w:val="28"/>
          <w:szCs w:val="28"/>
        </w:rPr>
        <w:fldChar w:fldCharType="separate"/>
      </w:r>
      <w:r>
        <w:rPr>
          <w:rFonts w:hint="eastAsia" w:ascii="仿宋_GB2312" w:eastAsia="仿宋_GB2312"/>
          <w:sz w:val="28"/>
          <w:szCs w:val="28"/>
        </w:rPr>
        <w:t>30</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"_Toc240990648" </w:instrText>
      </w:r>
      <w:r>
        <w:fldChar w:fldCharType="separate"/>
      </w:r>
      <w:r>
        <w:rPr>
          <w:rStyle w:val="28"/>
          <w:rFonts w:hint="eastAsia" w:ascii="仿宋_GB2312" w:hAnsi="Times New Roman" w:eastAsia="仿宋_GB2312"/>
          <w:bCs/>
          <w:sz w:val="28"/>
          <w:szCs w:val="28"/>
        </w:rPr>
        <w:t>第二节  生态修复重点区域</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_Toc240990648 \h </w:instrText>
      </w:r>
      <w:r>
        <w:rPr>
          <w:rFonts w:hint="eastAsia" w:ascii="仿宋_GB2312" w:eastAsia="仿宋_GB2312"/>
          <w:sz w:val="28"/>
          <w:szCs w:val="28"/>
        </w:rPr>
        <w:fldChar w:fldCharType="separate"/>
      </w:r>
      <w:r>
        <w:rPr>
          <w:rFonts w:hint="eastAsia" w:ascii="仿宋_GB2312" w:eastAsia="仿宋_GB2312"/>
          <w:sz w:val="28"/>
          <w:szCs w:val="28"/>
        </w:rPr>
        <w:t>34</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"_Toc240990649" </w:instrText>
      </w:r>
      <w:r>
        <w:fldChar w:fldCharType="separate"/>
      </w:r>
      <w:r>
        <w:rPr>
          <w:rStyle w:val="28"/>
          <w:rFonts w:hint="eastAsia" w:ascii="仿宋_GB2312" w:hAnsi="方正小标宋简体" w:eastAsia="仿宋_GB2312" w:cs="方正小标宋简体"/>
          <w:bCs/>
          <w:sz w:val="28"/>
          <w:szCs w:val="28"/>
        </w:rPr>
        <w:t>第五章  主要任务</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_Toc240990649 \h </w:instrText>
      </w:r>
      <w:r>
        <w:rPr>
          <w:rFonts w:hint="eastAsia" w:ascii="仿宋_GB2312" w:eastAsia="仿宋_GB2312"/>
          <w:sz w:val="28"/>
          <w:szCs w:val="28"/>
        </w:rPr>
        <w:fldChar w:fldCharType="separate"/>
      </w:r>
      <w:r>
        <w:rPr>
          <w:rFonts w:hint="eastAsia" w:ascii="仿宋_GB2312" w:eastAsia="仿宋_GB2312"/>
          <w:sz w:val="28"/>
          <w:szCs w:val="28"/>
        </w:rPr>
        <w:t>36</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"_Toc240990650" </w:instrText>
      </w:r>
      <w:r>
        <w:fldChar w:fldCharType="separate"/>
      </w:r>
      <w:r>
        <w:rPr>
          <w:rStyle w:val="28"/>
          <w:rFonts w:hint="eastAsia" w:ascii="仿宋_GB2312" w:hAnsi="方正小标宋简体" w:eastAsia="仿宋_GB2312" w:cs="方正小标宋简体"/>
          <w:bCs/>
          <w:sz w:val="28"/>
          <w:szCs w:val="28"/>
        </w:rPr>
        <w:t>第六章  生态修复工程</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_Toc240990650 \h </w:instrText>
      </w:r>
      <w:r>
        <w:rPr>
          <w:rFonts w:hint="eastAsia" w:ascii="仿宋_GB2312" w:eastAsia="仿宋_GB2312"/>
          <w:sz w:val="28"/>
          <w:szCs w:val="28"/>
        </w:rPr>
        <w:fldChar w:fldCharType="separate"/>
      </w:r>
      <w:r>
        <w:rPr>
          <w:rFonts w:hint="eastAsia" w:ascii="仿宋_GB2312" w:eastAsia="仿宋_GB2312"/>
          <w:sz w:val="28"/>
          <w:szCs w:val="28"/>
        </w:rPr>
        <w:t>39</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"_Toc240990651" </w:instrText>
      </w:r>
      <w:r>
        <w:fldChar w:fldCharType="separate"/>
      </w:r>
      <w:r>
        <w:rPr>
          <w:rStyle w:val="28"/>
          <w:rFonts w:hint="eastAsia" w:ascii="仿宋_GB2312" w:hAnsi="Times New Roman" w:eastAsia="仿宋_GB2312"/>
          <w:bCs/>
          <w:sz w:val="28"/>
          <w:szCs w:val="28"/>
        </w:rPr>
        <w:t>第一节 黄河生态保护带修复工程</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_Toc240990651 \h </w:instrText>
      </w:r>
      <w:r>
        <w:rPr>
          <w:rFonts w:hint="eastAsia" w:ascii="仿宋_GB2312" w:eastAsia="仿宋_GB2312"/>
          <w:sz w:val="28"/>
          <w:szCs w:val="28"/>
        </w:rPr>
        <w:fldChar w:fldCharType="separate"/>
      </w:r>
      <w:r>
        <w:rPr>
          <w:rFonts w:hint="eastAsia" w:ascii="仿宋_GB2312" w:eastAsia="仿宋_GB2312"/>
          <w:sz w:val="28"/>
          <w:szCs w:val="28"/>
        </w:rPr>
        <w:t>39</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"_Toc240990652" </w:instrText>
      </w:r>
      <w:r>
        <w:fldChar w:fldCharType="separate"/>
      </w:r>
      <w:r>
        <w:rPr>
          <w:rStyle w:val="28"/>
          <w:rFonts w:hint="eastAsia" w:ascii="仿宋_GB2312" w:hAnsi="Times New Roman" w:eastAsia="仿宋_GB2312"/>
          <w:bCs/>
          <w:sz w:val="28"/>
          <w:szCs w:val="28"/>
        </w:rPr>
        <w:t>第二节 伊洛河生态廊道修复工程</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_Toc240990652 \h </w:instrText>
      </w:r>
      <w:r>
        <w:rPr>
          <w:rFonts w:hint="eastAsia" w:ascii="仿宋_GB2312" w:eastAsia="仿宋_GB2312"/>
          <w:sz w:val="28"/>
          <w:szCs w:val="28"/>
        </w:rPr>
        <w:fldChar w:fldCharType="separate"/>
      </w:r>
      <w:r>
        <w:rPr>
          <w:rFonts w:hint="eastAsia" w:ascii="仿宋_GB2312" w:eastAsia="仿宋_GB2312"/>
          <w:sz w:val="28"/>
          <w:szCs w:val="28"/>
        </w:rPr>
        <w:t>41</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"_Toc240990653" </w:instrText>
      </w:r>
      <w:r>
        <w:fldChar w:fldCharType="separate"/>
      </w:r>
      <w:r>
        <w:rPr>
          <w:rStyle w:val="28"/>
          <w:rFonts w:hint="eastAsia" w:ascii="仿宋_GB2312" w:hAnsi="Times New Roman" w:eastAsia="仿宋_GB2312"/>
          <w:bCs/>
          <w:sz w:val="28"/>
          <w:szCs w:val="28"/>
        </w:rPr>
        <w:t>第三节 北汝河与涧河生态廊道修复工程</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_Toc240990653 \h </w:instrText>
      </w:r>
      <w:r>
        <w:rPr>
          <w:rFonts w:hint="eastAsia" w:ascii="仿宋_GB2312" w:eastAsia="仿宋_GB2312"/>
          <w:sz w:val="28"/>
          <w:szCs w:val="28"/>
        </w:rPr>
        <w:fldChar w:fldCharType="separate"/>
      </w:r>
      <w:r>
        <w:rPr>
          <w:rFonts w:hint="eastAsia" w:ascii="仿宋_GB2312" w:eastAsia="仿宋_GB2312"/>
          <w:sz w:val="28"/>
          <w:szCs w:val="28"/>
        </w:rPr>
        <w:t>43</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"_Toc240990654" </w:instrText>
      </w:r>
      <w:r>
        <w:fldChar w:fldCharType="separate"/>
      </w:r>
      <w:r>
        <w:rPr>
          <w:rStyle w:val="28"/>
          <w:rFonts w:hint="eastAsia" w:ascii="仿宋_GB2312" w:hAnsi="Times New Roman" w:eastAsia="仿宋_GB2312"/>
          <w:bCs/>
          <w:sz w:val="28"/>
          <w:szCs w:val="28"/>
        </w:rPr>
        <w:t>第四节 黄土丘陵浅山区水土保持与矿山修复工程</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_Toc240990654 \h </w:instrText>
      </w:r>
      <w:r>
        <w:rPr>
          <w:rFonts w:hint="eastAsia" w:ascii="仿宋_GB2312" w:eastAsia="仿宋_GB2312"/>
          <w:sz w:val="28"/>
          <w:szCs w:val="28"/>
        </w:rPr>
        <w:fldChar w:fldCharType="separate"/>
      </w:r>
      <w:r>
        <w:rPr>
          <w:rFonts w:hint="eastAsia" w:ascii="仿宋_GB2312" w:eastAsia="仿宋_GB2312"/>
          <w:sz w:val="28"/>
          <w:szCs w:val="28"/>
        </w:rPr>
        <w:t>44</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"_Toc240990655" </w:instrText>
      </w:r>
      <w:r>
        <w:fldChar w:fldCharType="separate"/>
      </w:r>
      <w:r>
        <w:rPr>
          <w:rStyle w:val="28"/>
          <w:rFonts w:hint="eastAsia" w:ascii="仿宋_GB2312" w:hAnsi="Times New Roman" w:eastAsia="仿宋_GB2312"/>
          <w:bCs/>
          <w:sz w:val="28"/>
          <w:szCs w:val="28"/>
        </w:rPr>
        <w:t>第五节 南部山地涵养区森林生态与生物多样性保护工程</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_Toc240990655 \h </w:instrText>
      </w:r>
      <w:r>
        <w:rPr>
          <w:rFonts w:hint="eastAsia" w:ascii="仿宋_GB2312" w:eastAsia="仿宋_GB2312"/>
          <w:sz w:val="28"/>
          <w:szCs w:val="28"/>
        </w:rPr>
        <w:fldChar w:fldCharType="separate"/>
      </w:r>
      <w:r>
        <w:rPr>
          <w:rFonts w:hint="eastAsia" w:ascii="仿宋_GB2312" w:eastAsia="仿宋_GB2312"/>
          <w:sz w:val="28"/>
          <w:szCs w:val="28"/>
        </w:rPr>
        <w:t>46</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"_Toc240990656" </w:instrText>
      </w:r>
      <w:r>
        <w:fldChar w:fldCharType="separate"/>
      </w:r>
      <w:r>
        <w:rPr>
          <w:rStyle w:val="28"/>
          <w:rFonts w:hint="eastAsia" w:ascii="仿宋_GB2312" w:hAnsi="Times New Roman" w:eastAsia="仿宋_GB2312"/>
          <w:bCs/>
          <w:sz w:val="28"/>
          <w:szCs w:val="28"/>
        </w:rPr>
        <w:t>第六节 多斑块自然保护地与湿地生态修复工程</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_Toc240990656 \h </w:instrText>
      </w:r>
      <w:r>
        <w:rPr>
          <w:rFonts w:hint="eastAsia" w:ascii="仿宋_GB2312" w:eastAsia="仿宋_GB2312"/>
          <w:sz w:val="28"/>
          <w:szCs w:val="28"/>
        </w:rPr>
        <w:fldChar w:fldCharType="separate"/>
      </w:r>
      <w:r>
        <w:rPr>
          <w:rFonts w:hint="eastAsia" w:ascii="仿宋_GB2312" w:eastAsia="仿宋_GB2312"/>
          <w:sz w:val="28"/>
          <w:szCs w:val="28"/>
        </w:rPr>
        <w:t>48</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"_Toc240990657" </w:instrText>
      </w:r>
      <w:r>
        <w:fldChar w:fldCharType="separate"/>
      </w:r>
      <w:r>
        <w:rPr>
          <w:rStyle w:val="28"/>
          <w:rFonts w:hint="eastAsia" w:ascii="仿宋_GB2312" w:hAnsi="Times New Roman" w:eastAsia="仿宋_GB2312"/>
          <w:bCs/>
          <w:sz w:val="28"/>
          <w:szCs w:val="28"/>
        </w:rPr>
        <w:t>第七节 多网络绿色生态网络建设工程</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_Toc240990657 \h </w:instrText>
      </w:r>
      <w:r>
        <w:rPr>
          <w:rFonts w:hint="eastAsia" w:ascii="仿宋_GB2312" w:eastAsia="仿宋_GB2312"/>
          <w:sz w:val="28"/>
          <w:szCs w:val="28"/>
        </w:rPr>
        <w:fldChar w:fldCharType="separate"/>
      </w:r>
      <w:r>
        <w:rPr>
          <w:rFonts w:hint="eastAsia" w:ascii="仿宋_GB2312" w:eastAsia="仿宋_GB2312"/>
          <w:sz w:val="28"/>
          <w:szCs w:val="28"/>
        </w:rPr>
        <w:t>49</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"_Toc240990658" </w:instrText>
      </w:r>
      <w:r>
        <w:fldChar w:fldCharType="separate"/>
      </w:r>
      <w:r>
        <w:rPr>
          <w:rStyle w:val="28"/>
          <w:rFonts w:hint="eastAsia" w:ascii="仿宋_GB2312" w:hAnsi="方正小标宋简体" w:eastAsia="仿宋_GB2312" w:cs="方正小标宋简体"/>
          <w:bCs/>
          <w:sz w:val="28"/>
          <w:szCs w:val="28"/>
        </w:rPr>
        <w:t>第七章  露天矿山综合治理和生态修复</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_Toc240990658 \h </w:instrText>
      </w:r>
      <w:r>
        <w:rPr>
          <w:rFonts w:hint="eastAsia" w:ascii="仿宋_GB2312" w:eastAsia="仿宋_GB2312"/>
          <w:sz w:val="28"/>
          <w:szCs w:val="28"/>
        </w:rPr>
        <w:fldChar w:fldCharType="separate"/>
      </w:r>
      <w:r>
        <w:rPr>
          <w:rFonts w:hint="eastAsia" w:ascii="仿宋_GB2312" w:eastAsia="仿宋_GB2312"/>
          <w:sz w:val="28"/>
          <w:szCs w:val="28"/>
        </w:rPr>
        <w:t>52</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"_Toc240990659" </w:instrText>
      </w:r>
      <w:r>
        <w:fldChar w:fldCharType="separate"/>
      </w:r>
      <w:r>
        <w:rPr>
          <w:rStyle w:val="28"/>
          <w:rFonts w:hint="eastAsia" w:ascii="仿宋_GB2312" w:hAnsi="Times New Roman" w:eastAsia="仿宋_GB2312"/>
          <w:bCs/>
          <w:sz w:val="28"/>
          <w:szCs w:val="28"/>
        </w:rPr>
        <w:t>第一节  绿色矿山建设</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_Toc240990659 \h </w:instrText>
      </w:r>
      <w:r>
        <w:rPr>
          <w:rFonts w:hint="eastAsia" w:ascii="仿宋_GB2312" w:eastAsia="仿宋_GB2312"/>
          <w:sz w:val="28"/>
          <w:szCs w:val="28"/>
        </w:rPr>
        <w:fldChar w:fldCharType="separate"/>
      </w:r>
      <w:r>
        <w:rPr>
          <w:rFonts w:hint="eastAsia" w:ascii="仿宋_GB2312" w:eastAsia="仿宋_GB2312"/>
          <w:sz w:val="28"/>
          <w:szCs w:val="28"/>
        </w:rPr>
        <w:t>52</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"_Toc240990660" </w:instrText>
      </w:r>
      <w:r>
        <w:fldChar w:fldCharType="separate"/>
      </w:r>
      <w:r>
        <w:rPr>
          <w:rStyle w:val="28"/>
          <w:rFonts w:hint="eastAsia" w:ascii="仿宋_GB2312" w:hAnsi="Times New Roman" w:eastAsia="仿宋_GB2312"/>
          <w:bCs/>
          <w:sz w:val="28"/>
          <w:szCs w:val="28"/>
        </w:rPr>
        <w:t>第二节  生产矿山全过程监管</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_Toc240990660 \h </w:instrText>
      </w:r>
      <w:r>
        <w:rPr>
          <w:rFonts w:hint="eastAsia" w:ascii="仿宋_GB2312" w:eastAsia="仿宋_GB2312"/>
          <w:sz w:val="28"/>
          <w:szCs w:val="28"/>
        </w:rPr>
        <w:fldChar w:fldCharType="separate"/>
      </w:r>
      <w:r>
        <w:rPr>
          <w:rFonts w:hint="eastAsia" w:ascii="仿宋_GB2312" w:eastAsia="仿宋_GB2312"/>
          <w:sz w:val="28"/>
          <w:szCs w:val="28"/>
        </w:rPr>
        <w:t>53</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"_Toc240990661" </w:instrText>
      </w:r>
      <w:r>
        <w:fldChar w:fldCharType="separate"/>
      </w:r>
      <w:r>
        <w:rPr>
          <w:rStyle w:val="28"/>
          <w:rFonts w:hint="eastAsia" w:ascii="仿宋_GB2312" w:hAnsi="Times New Roman" w:eastAsia="仿宋_GB2312"/>
          <w:bCs/>
          <w:sz w:val="28"/>
          <w:szCs w:val="28"/>
        </w:rPr>
        <w:t>第三节  历史遗留矿山生态修复</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_Toc240990661 \h </w:instrText>
      </w:r>
      <w:r>
        <w:rPr>
          <w:rFonts w:hint="eastAsia" w:ascii="仿宋_GB2312" w:eastAsia="仿宋_GB2312"/>
          <w:sz w:val="28"/>
          <w:szCs w:val="28"/>
        </w:rPr>
        <w:fldChar w:fldCharType="separate"/>
      </w:r>
      <w:r>
        <w:rPr>
          <w:rFonts w:hint="eastAsia" w:ascii="仿宋_GB2312" w:eastAsia="仿宋_GB2312"/>
          <w:sz w:val="28"/>
          <w:szCs w:val="28"/>
        </w:rPr>
        <w:t>54</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"_Toc240990662" </w:instrText>
      </w:r>
      <w:r>
        <w:fldChar w:fldCharType="separate"/>
      </w:r>
      <w:r>
        <w:rPr>
          <w:rStyle w:val="28"/>
          <w:rFonts w:hint="eastAsia" w:ascii="仿宋_GB2312" w:hAnsi="Times New Roman" w:eastAsia="仿宋_GB2312"/>
          <w:bCs/>
          <w:sz w:val="28"/>
          <w:szCs w:val="28"/>
        </w:rPr>
        <w:t>第四节  矿山空间复合利用</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_Toc240990662 \h </w:instrText>
      </w:r>
      <w:r>
        <w:rPr>
          <w:rFonts w:hint="eastAsia" w:ascii="仿宋_GB2312" w:eastAsia="仿宋_GB2312"/>
          <w:sz w:val="28"/>
          <w:szCs w:val="28"/>
        </w:rPr>
        <w:fldChar w:fldCharType="separate"/>
      </w:r>
      <w:r>
        <w:rPr>
          <w:rFonts w:hint="eastAsia" w:ascii="仿宋_GB2312" w:eastAsia="仿宋_GB2312"/>
          <w:sz w:val="28"/>
          <w:szCs w:val="28"/>
        </w:rPr>
        <w:t>55</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"_Toc240990663" </w:instrText>
      </w:r>
      <w:r>
        <w:fldChar w:fldCharType="separate"/>
      </w:r>
      <w:r>
        <w:rPr>
          <w:rStyle w:val="28"/>
          <w:rFonts w:hint="eastAsia" w:ascii="仿宋_GB2312" w:hAnsi="Times New Roman" w:eastAsia="仿宋_GB2312"/>
          <w:bCs/>
          <w:sz w:val="28"/>
          <w:szCs w:val="28"/>
        </w:rPr>
        <w:t>第五节  修复责任与资金保障</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_Toc240990663 \h </w:instrText>
      </w:r>
      <w:r>
        <w:rPr>
          <w:rFonts w:hint="eastAsia" w:ascii="仿宋_GB2312" w:eastAsia="仿宋_GB2312"/>
          <w:sz w:val="28"/>
          <w:szCs w:val="28"/>
        </w:rPr>
        <w:fldChar w:fldCharType="separate"/>
      </w:r>
      <w:r>
        <w:rPr>
          <w:rFonts w:hint="eastAsia" w:ascii="仿宋_GB2312" w:eastAsia="仿宋_GB2312"/>
          <w:sz w:val="28"/>
          <w:szCs w:val="28"/>
        </w:rPr>
        <w:t>56</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"_Toc240990664" </w:instrText>
      </w:r>
      <w:r>
        <w:fldChar w:fldCharType="separate"/>
      </w:r>
      <w:r>
        <w:rPr>
          <w:rStyle w:val="28"/>
          <w:rFonts w:hint="eastAsia" w:ascii="仿宋_GB2312" w:hAnsi="方正小标宋简体" w:eastAsia="仿宋_GB2312" w:cs="方正小标宋简体"/>
          <w:bCs/>
          <w:sz w:val="28"/>
          <w:szCs w:val="28"/>
        </w:rPr>
        <w:t>第八章  资金测算</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_Toc240990664 \h </w:instrText>
      </w:r>
      <w:r>
        <w:rPr>
          <w:rFonts w:hint="eastAsia" w:ascii="仿宋_GB2312" w:eastAsia="仿宋_GB2312"/>
          <w:sz w:val="28"/>
          <w:szCs w:val="28"/>
        </w:rPr>
        <w:fldChar w:fldCharType="separate"/>
      </w:r>
      <w:r>
        <w:rPr>
          <w:rFonts w:hint="eastAsia" w:ascii="仿宋_GB2312" w:eastAsia="仿宋_GB2312"/>
          <w:sz w:val="28"/>
          <w:szCs w:val="28"/>
        </w:rPr>
        <w:t>59</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"_Toc240990665" </w:instrText>
      </w:r>
      <w:r>
        <w:fldChar w:fldCharType="separate"/>
      </w:r>
      <w:r>
        <w:rPr>
          <w:rStyle w:val="28"/>
          <w:rFonts w:hint="eastAsia" w:ascii="仿宋_GB2312" w:hAnsi="Times New Roman" w:eastAsia="仿宋_GB2312"/>
          <w:bCs/>
          <w:sz w:val="28"/>
          <w:szCs w:val="28"/>
        </w:rPr>
        <w:t>第一节  投资测算</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_Toc240990665 \h </w:instrText>
      </w:r>
      <w:r>
        <w:rPr>
          <w:rFonts w:hint="eastAsia" w:ascii="仿宋_GB2312" w:eastAsia="仿宋_GB2312"/>
          <w:sz w:val="28"/>
          <w:szCs w:val="28"/>
        </w:rPr>
        <w:fldChar w:fldCharType="separate"/>
      </w:r>
      <w:r>
        <w:rPr>
          <w:rFonts w:hint="eastAsia" w:ascii="仿宋_GB2312" w:eastAsia="仿宋_GB2312"/>
          <w:sz w:val="28"/>
          <w:szCs w:val="28"/>
        </w:rPr>
        <w:t>59</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"_Toc240990666" </w:instrText>
      </w:r>
      <w:r>
        <w:fldChar w:fldCharType="separate"/>
      </w:r>
      <w:r>
        <w:rPr>
          <w:rStyle w:val="28"/>
          <w:rFonts w:hint="eastAsia" w:ascii="仿宋_GB2312" w:hAnsi="Times New Roman" w:eastAsia="仿宋_GB2312"/>
          <w:bCs/>
          <w:sz w:val="28"/>
          <w:szCs w:val="28"/>
        </w:rPr>
        <w:t>第二节  资金筹措</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_Toc240990666 \h </w:instrText>
      </w:r>
      <w:r>
        <w:rPr>
          <w:rFonts w:hint="eastAsia" w:ascii="仿宋_GB2312" w:eastAsia="仿宋_GB2312"/>
          <w:sz w:val="28"/>
          <w:szCs w:val="28"/>
        </w:rPr>
        <w:fldChar w:fldCharType="separate"/>
      </w:r>
      <w:r>
        <w:rPr>
          <w:rFonts w:hint="eastAsia" w:ascii="仿宋_GB2312" w:eastAsia="仿宋_GB2312"/>
          <w:sz w:val="28"/>
          <w:szCs w:val="28"/>
        </w:rPr>
        <w:t>59</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"_Toc240990667" </w:instrText>
      </w:r>
      <w:r>
        <w:fldChar w:fldCharType="separate"/>
      </w:r>
      <w:r>
        <w:rPr>
          <w:rStyle w:val="28"/>
          <w:rFonts w:hint="eastAsia" w:ascii="仿宋_GB2312" w:hAnsi="方正小标宋简体" w:eastAsia="仿宋_GB2312" w:cs="方正小标宋简体"/>
          <w:bCs/>
          <w:sz w:val="28"/>
          <w:szCs w:val="28"/>
        </w:rPr>
        <w:t>第九章  综合效益分析</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_Toc240990667 \h </w:instrText>
      </w:r>
      <w:r>
        <w:rPr>
          <w:rFonts w:hint="eastAsia" w:ascii="仿宋_GB2312" w:eastAsia="仿宋_GB2312"/>
          <w:sz w:val="28"/>
          <w:szCs w:val="28"/>
        </w:rPr>
        <w:fldChar w:fldCharType="separate"/>
      </w:r>
      <w:r>
        <w:rPr>
          <w:rFonts w:hint="eastAsia" w:ascii="仿宋_GB2312" w:eastAsia="仿宋_GB2312"/>
          <w:sz w:val="28"/>
          <w:szCs w:val="28"/>
        </w:rPr>
        <w:t>60</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"_Toc240990668" </w:instrText>
      </w:r>
      <w:r>
        <w:fldChar w:fldCharType="separate"/>
      </w:r>
      <w:r>
        <w:rPr>
          <w:rStyle w:val="28"/>
          <w:rFonts w:hint="eastAsia" w:ascii="仿宋_GB2312" w:hAnsi="Times New Roman" w:eastAsia="仿宋_GB2312"/>
          <w:bCs/>
          <w:sz w:val="28"/>
          <w:szCs w:val="28"/>
        </w:rPr>
        <w:t>第一节  生态效益</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_Toc240990668 \h </w:instrText>
      </w:r>
      <w:r>
        <w:rPr>
          <w:rFonts w:hint="eastAsia" w:ascii="仿宋_GB2312" w:eastAsia="仿宋_GB2312"/>
          <w:sz w:val="28"/>
          <w:szCs w:val="28"/>
        </w:rPr>
        <w:fldChar w:fldCharType="separate"/>
      </w:r>
      <w:r>
        <w:rPr>
          <w:rFonts w:hint="eastAsia" w:ascii="仿宋_GB2312" w:eastAsia="仿宋_GB2312"/>
          <w:sz w:val="28"/>
          <w:szCs w:val="28"/>
        </w:rPr>
        <w:t>60</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"_Toc240990669" </w:instrText>
      </w:r>
      <w:r>
        <w:fldChar w:fldCharType="separate"/>
      </w:r>
      <w:r>
        <w:rPr>
          <w:rStyle w:val="28"/>
          <w:rFonts w:hint="eastAsia" w:ascii="仿宋_GB2312" w:hAnsi="Times New Roman" w:eastAsia="仿宋_GB2312"/>
          <w:bCs/>
          <w:sz w:val="28"/>
          <w:szCs w:val="28"/>
        </w:rPr>
        <w:t>第二节  社会效益</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_Toc240990669 \h </w:instrText>
      </w:r>
      <w:r>
        <w:rPr>
          <w:rFonts w:hint="eastAsia" w:ascii="仿宋_GB2312" w:eastAsia="仿宋_GB2312"/>
          <w:sz w:val="28"/>
          <w:szCs w:val="28"/>
        </w:rPr>
        <w:fldChar w:fldCharType="separate"/>
      </w:r>
      <w:r>
        <w:rPr>
          <w:rFonts w:hint="eastAsia" w:ascii="仿宋_GB2312" w:eastAsia="仿宋_GB2312"/>
          <w:sz w:val="28"/>
          <w:szCs w:val="28"/>
        </w:rPr>
        <w:t>61</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"_Toc240990670" </w:instrText>
      </w:r>
      <w:r>
        <w:fldChar w:fldCharType="separate"/>
      </w:r>
      <w:r>
        <w:rPr>
          <w:rStyle w:val="28"/>
          <w:rFonts w:hint="eastAsia" w:ascii="仿宋_GB2312" w:hAnsi="Times New Roman" w:eastAsia="仿宋_GB2312"/>
          <w:bCs/>
          <w:sz w:val="28"/>
          <w:szCs w:val="28"/>
        </w:rPr>
        <w:t>第三节  经济效益</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_Toc240990670 \h </w:instrText>
      </w:r>
      <w:r>
        <w:rPr>
          <w:rFonts w:hint="eastAsia" w:ascii="仿宋_GB2312" w:eastAsia="仿宋_GB2312"/>
          <w:sz w:val="28"/>
          <w:szCs w:val="28"/>
        </w:rPr>
        <w:fldChar w:fldCharType="separate"/>
      </w:r>
      <w:r>
        <w:rPr>
          <w:rFonts w:hint="eastAsia" w:ascii="仿宋_GB2312" w:eastAsia="仿宋_GB2312"/>
          <w:sz w:val="28"/>
          <w:szCs w:val="28"/>
        </w:rPr>
        <w:t>61</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16"/>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"_Toc240990671" </w:instrText>
      </w:r>
      <w:r>
        <w:fldChar w:fldCharType="separate"/>
      </w:r>
      <w:r>
        <w:rPr>
          <w:rStyle w:val="28"/>
          <w:rFonts w:hint="eastAsia" w:ascii="仿宋_GB2312" w:hAnsi="方正小标宋简体" w:eastAsia="仿宋_GB2312" w:cs="方正小标宋简体"/>
          <w:bCs/>
          <w:sz w:val="28"/>
          <w:szCs w:val="28"/>
        </w:rPr>
        <w:t>第十章 规划实施保障</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_Toc240990671 \h </w:instrText>
      </w:r>
      <w:r>
        <w:rPr>
          <w:rFonts w:hint="eastAsia" w:ascii="仿宋_GB2312" w:eastAsia="仿宋_GB2312"/>
          <w:sz w:val="28"/>
          <w:szCs w:val="28"/>
        </w:rPr>
        <w:fldChar w:fldCharType="separate"/>
      </w:r>
      <w:r>
        <w:rPr>
          <w:rFonts w:hint="eastAsia" w:ascii="仿宋_GB2312" w:eastAsia="仿宋_GB2312"/>
          <w:sz w:val="28"/>
          <w:szCs w:val="28"/>
        </w:rPr>
        <w:t>63</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"_Toc240990672" </w:instrText>
      </w:r>
      <w:r>
        <w:fldChar w:fldCharType="separate"/>
      </w:r>
      <w:r>
        <w:rPr>
          <w:rStyle w:val="28"/>
          <w:rFonts w:hint="eastAsia" w:ascii="仿宋_GB2312" w:hAnsi="Times New Roman" w:eastAsia="仿宋_GB2312"/>
          <w:bCs/>
          <w:sz w:val="28"/>
          <w:szCs w:val="28"/>
        </w:rPr>
        <w:t>第一节 压实实施责任</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_Toc240990672 \h </w:instrText>
      </w:r>
      <w:r>
        <w:rPr>
          <w:rFonts w:hint="eastAsia" w:ascii="仿宋_GB2312" w:eastAsia="仿宋_GB2312"/>
          <w:sz w:val="28"/>
          <w:szCs w:val="28"/>
        </w:rPr>
        <w:fldChar w:fldCharType="separate"/>
      </w:r>
      <w:r>
        <w:rPr>
          <w:rFonts w:hint="eastAsia" w:ascii="仿宋_GB2312" w:eastAsia="仿宋_GB2312"/>
          <w:sz w:val="28"/>
          <w:szCs w:val="28"/>
        </w:rPr>
        <w:t>63</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"_Toc240990673" </w:instrText>
      </w:r>
      <w:r>
        <w:fldChar w:fldCharType="separate"/>
      </w:r>
      <w:r>
        <w:rPr>
          <w:rStyle w:val="28"/>
          <w:rFonts w:hint="eastAsia" w:ascii="仿宋_GB2312" w:hAnsi="Times New Roman" w:eastAsia="仿宋_GB2312"/>
          <w:bCs/>
          <w:sz w:val="28"/>
          <w:szCs w:val="28"/>
        </w:rPr>
        <w:t>第二节 强化政策资金支撑</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_Toc240990673 \h </w:instrText>
      </w:r>
      <w:r>
        <w:rPr>
          <w:rFonts w:hint="eastAsia" w:ascii="仿宋_GB2312" w:eastAsia="仿宋_GB2312"/>
          <w:sz w:val="28"/>
          <w:szCs w:val="28"/>
        </w:rPr>
        <w:fldChar w:fldCharType="separate"/>
      </w:r>
      <w:r>
        <w:rPr>
          <w:rFonts w:hint="eastAsia" w:ascii="仿宋_GB2312" w:eastAsia="仿宋_GB2312"/>
          <w:sz w:val="28"/>
          <w:szCs w:val="28"/>
        </w:rPr>
        <w:t>64</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"_Toc240990674" </w:instrText>
      </w:r>
      <w:r>
        <w:fldChar w:fldCharType="separate"/>
      </w:r>
      <w:r>
        <w:rPr>
          <w:rStyle w:val="28"/>
          <w:rFonts w:hint="eastAsia" w:ascii="仿宋_GB2312" w:hAnsi="Times New Roman" w:eastAsia="仿宋_GB2312"/>
          <w:bCs/>
          <w:sz w:val="28"/>
          <w:szCs w:val="28"/>
        </w:rPr>
        <w:t>第三节 增强科技数字赋能</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_Toc240990674 \h </w:instrText>
      </w:r>
      <w:r>
        <w:rPr>
          <w:rFonts w:hint="eastAsia" w:ascii="仿宋_GB2312" w:eastAsia="仿宋_GB2312"/>
          <w:sz w:val="28"/>
          <w:szCs w:val="28"/>
        </w:rPr>
        <w:fldChar w:fldCharType="separate"/>
      </w:r>
      <w:r>
        <w:rPr>
          <w:rFonts w:hint="eastAsia" w:ascii="仿宋_GB2312" w:eastAsia="仿宋_GB2312"/>
          <w:sz w:val="28"/>
          <w:szCs w:val="28"/>
        </w:rPr>
        <w:t>66</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仿宋_GB2312" w:eastAsia="仿宋_GB2312" w:hAnsiTheme="minorHAnsi" w:cstheme="minorBidi"/>
          <w:sz w:val="28"/>
          <w:szCs w:val="28"/>
          <w14:ligatures w14:val="standardContextual"/>
        </w:rPr>
      </w:pPr>
      <w:r>
        <w:fldChar w:fldCharType="begin"/>
      </w:r>
      <w:r>
        <w:instrText xml:space="preserve"> HYPERLINK \l "_Toc240990675" </w:instrText>
      </w:r>
      <w:r>
        <w:fldChar w:fldCharType="separate"/>
      </w:r>
      <w:r>
        <w:rPr>
          <w:rStyle w:val="28"/>
          <w:rFonts w:hint="eastAsia" w:ascii="仿宋_GB2312" w:hAnsi="Times New Roman" w:eastAsia="仿宋_GB2312"/>
          <w:bCs/>
          <w:sz w:val="28"/>
          <w:szCs w:val="28"/>
        </w:rPr>
        <w:t>第四节 健全评估监管机制</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_Toc240990675 \h </w:instrText>
      </w:r>
      <w:r>
        <w:rPr>
          <w:rFonts w:hint="eastAsia" w:ascii="仿宋_GB2312" w:eastAsia="仿宋_GB2312"/>
          <w:sz w:val="28"/>
          <w:szCs w:val="28"/>
        </w:rPr>
        <w:fldChar w:fldCharType="separate"/>
      </w:r>
      <w:r>
        <w:rPr>
          <w:rFonts w:hint="eastAsia" w:ascii="仿宋_GB2312" w:eastAsia="仿宋_GB2312"/>
          <w:sz w:val="28"/>
          <w:szCs w:val="28"/>
        </w:rPr>
        <w:t>67</w:t>
      </w:r>
      <w:r>
        <w:rPr>
          <w:rFonts w:hint="eastAsia" w:ascii="仿宋_GB2312" w:eastAsia="仿宋_GB2312"/>
          <w:sz w:val="28"/>
          <w:szCs w:val="28"/>
        </w:rPr>
        <w:fldChar w:fldCharType="end"/>
      </w:r>
      <w:r>
        <w:rPr>
          <w:rFonts w:hint="eastAsia" w:ascii="仿宋_GB2312" w:eastAsia="仿宋_GB2312"/>
          <w:sz w:val="28"/>
          <w:szCs w:val="28"/>
        </w:rPr>
        <w:fldChar w:fldCharType="end"/>
      </w:r>
    </w:p>
    <w:p>
      <w:pPr>
        <w:pStyle w:val="20"/>
        <w:tabs>
          <w:tab w:val="right" w:leader="dot" w:pos="8630"/>
        </w:tabs>
        <w:rPr>
          <w:rFonts w:hint="eastAsia" w:asciiTheme="minorHAnsi" w:hAnsiTheme="minorHAnsi" w:eastAsiaTheme="minorEastAsia" w:cstheme="minorBidi"/>
          <w:sz w:val="22"/>
          <w:szCs w:val="24"/>
          <w14:ligatures w14:val="standardContextual"/>
        </w:rPr>
      </w:pPr>
      <w:r>
        <w:fldChar w:fldCharType="begin"/>
      </w:r>
      <w:r>
        <w:instrText xml:space="preserve"> HYPERLINK \l "_Toc240990676" </w:instrText>
      </w:r>
      <w:r>
        <w:fldChar w:fldCharType="separate"/>
      </w:r>
      <w:r>
        <w:rPr>
          <w:rStyle w:val="28"/>
          <w:rFonts w:hint="eastAsia" w:ascii="仿宋_GB2312" w:hAnsi="Times New Roman" w:eastAsia="仿宋_GB2312"/>
          <w:bCs/>
          <w:sz w:val="28"/>
          <w:szCs w:val="28"/>
        </w:rPr>
        <w:t>第五节 扩大公众参与共治</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_Toc240990676 \h </w:instrText>
      </w:r>
      <w:r>
        <w:rPr>
          <w:rFonts w:hint="eastAsia" w:ascii="仿宋_GB2312" w:eastAsia="仿宋_GB2312"/>
          <w:sz w:val="28"/>
          <w:szCs w:val="28"/>
        </w:rPr>
        <w:fldChar w:fldCharType="separate"/>
      </w:r>
      <w:r>
        <w:rPr>
          <w:rFonts w:hint="eastAsia" w:ascii="仿宋_GB2312" w:eastAsia="仿宋_GB2312"/>
          <w:sz w:val="28"/>
          <w:szCs w:val="28"/>
        </w:rPr>
        <w:t>68</w:t>
      </w:r>
      <w:r>
        <w:rPr>
          <w:rFonts w:hint="eastAsia" w:ascii="仿宋_GB2312" w:eastAsia="仿宋_GB2312"/>
          <w:sz w:val="28"/>
          <w:szCs w:val="28"/>
        </w:rPr>
        <w:fldChar w:fldCharType="end"/>
      </w:r>
      <w:r>
        <w:rPr>
          <w:rFonts w:hint="eastAsia" w:ascii="仿宋_GB2312" w:eastAsia="仿宋_GB2312"/>
          <w:sz w:val="28"/>
          <w:szCs w:val="28"/>
        </w:rPr>
        <w:fldChar w:fldCharType="end"/>
      </w:r>
    </w:p>
    <w:p>
      <w:pPr>
        <w:widowControl w:val="0"/>
        <w:spacing w:line="360" w:lineRule="auto"/>
        <w:jc w:val="center"/>
        <w:rPr>
          <w:rFonts w:ascii="Times New Roman" w:hAnsi="Times New Roman" w:eastAsia="方正大标宋简体"/>
          <w:sz w:val="36"/>
          <w:szCs w:val="36"/>
        </w:rPr>
        <w:sectPr>
          <w:footerReference r:id="rId10" w:type="default"/>
          <w:pgSz w:w="12240" w:h="15840"/>
          <w:pgMar w:top="1440" w:right="1800" w:bottom="1440" w:left="1800" w:header="720" w:footer="720" w:gutter="0"/>
          <w:pgNumType w:fmt="upperRoman" w:start="1"/>
          <w:cols w:space="720" w:num="1"/>
          <w:docGrid w:type="lines" w:linePitch="312" w:charSpace="0"/>
        </w:sectPr>
      </w:pPr>
      <w:r>
        <w:rPr>
          <w:rFonts w:ascii="Times New Roman" w:hAnsi="Times New Roman" w:eastAsia="仿宋_GB2312"/>
          <w:szCs w:val="28"/>
        </w:rPr>
        <w:fldChar w:fldCharType="end"/>
      </w:r>
      <w:bookmarkStart w:id="107" w:name="_GoBack"/>
      <w:bookmarkEnd w:id="107"/>
    </w:p>
    <w:p>
      <w:pPr>
        <w:widowControl w:val="0"/>
        <w:spacing w:before="156" w:beforeLines="50" w:after="156" w:afterLines="50"/>
        <w:jc w:val="center"/>
        <w:outlineLvl w:val="0"/>
        <w:rPr>
          <w:rFonts w:hint="eastAsia" w:ascii="方正小标宋简体" w:hAnsi="方正小标宋简体" w:eastAsia="方正小标宋简体" w:cs="方正小标宋简体"/>
          <w:bCs/>
          <w:sz w:val="36"/>
          <w:szCs w:val="36"/>
        </w:rPr>
      </w:pPr>
      <w:bookmarkStart w:id="8" w:name="_Toc13191"/>
      <w:bookmarkStart w:id="9" w:name="_Toc27765"/>
      <w:bookmarkStart w:id="10" w:name="_Toc6687"/>
      <w:bookmarkStart w:id="11" w:name="_Toc10731"/>
      <w:bookmarkStart w:id="12" w:name="_Toc240990634"/>
      <w:r>
        <w:rPr>
          <w:rFonts w:hint="eastAsia" w:ascii="方正小标宋简体" w:hAnsi="方正小标宋简体" w:eastAsia="方正小标宋简体" w:cs="方正小标宋简体"/>
          <w:bCs/>
          <w:sz w:val="36"/>
          <w:szCs w:val="36"/>
        </w:rPr>
        <w:t>第一章  现状与</w:t>
      </w:r>
      <w:bookmarkEnd w:id="8"/>
      <w:bookmarkEnd w:id="9"/>
      <w:bookmarkEnd w:id="10"/>
      <w:bookmarkEnd w:id="11"/>
      <w:r>
        <w:rPr>
          <w:rFonts w:hint="eastAsia" w:ascii="方正小标宋简体" w:hAnsi="方正小标宋简体" w:eastAsia="方正小标宋简体" w:cs="方正小标宋简体"/>
          <w:bCs/>
          <w:sz w:val="36"/>
          <w:szCs w:val="36"/>
        </w:rPr>
        <w:t>形势</w:t>
      </w:r>
      <w:bookmarkEnd w:id="12"/>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13" w:name="_Toc107822606"/>
      <w:bookmarkStart w:id="14" w:name="_Toc86332811"/>
      <w:bookmarkStart w:id="15" w:name="_Toc240990635"/>
      <w:r>
        <w:rPr>
          <w:rFonts w:hint="eastAsia" w:ascii="Times New Roman" w:hAnsi="Times New Roman" w:eastAsia="黑体"/>
          <w:bCs/>
          <w:sz w:val="32"/>
          <w:szCs w:val="32"/>
        </w:rPr>
        <w:t xml:space="preserve">第一节  </w:t>
      </w:r>
      <w:bookmarkEnd w:id="13"/>
      <w:bookmarkEnd w:id="14"/>
      <w:r>
        <w:rPr>
          <w:rFonts w:hint="eastAsia" w:ascii="Times New Roman" w:hAnsi="Times New Roman" w:eastAsia="黑体"/>
          <w:bCs/>
          <w:sz w:val="32"/>
          <w:szCs w:val="32"/>
        </w:rPr>
        <w:t>总体概况</w:t>
      </w:r>
      <w:bookmarkEnd w:id="1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一、自然地理概况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（一）</w:t>
      </w:r>
      <w:r>
        <w:rPr>
          <w:rFonts w:ascii="Times New Roman" w:hAnsi="Times New Roman" w:eastAsia="华文楷体"/>
          <w:kern w:val="0"/>
          <w:sz w:val="32"/>
          <w:szCs w:val="32"/>
        </w:rPr>
        <w:t>地理</w:t>
      </w:r>
      <w:r>
        <w:rPr>
          <w:rFonts w:hint="eastAsia" w:ascii="Times New Roman" w:hAnsi="Times New Roman" w:eastAsia="华文楷体"/>
          <w:kern w:val="0"/>
          <w:sz w:val="32"/>
          <w:szCs w:val="32"/>
        </w:rPr>
        <w:t>区位</w:t>
      </w:r>
    </w:p>
    <w:p>
      <w:pPr>
        <w:pStyle w:val="50"/>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kern w:val="0"/>
        </w:rPr>
      </w:pPr>
      <w:r>
        <w:rPr>
          <w:rFonts w:ascii="Times New Roman" w:hAnsi="Times New Roman" w:eastAsia="仿宋_GB2312"/>
          <w:kern w:val="0"/>
        </w:rPr>
        <w:t>洛阳坐落于河南省西部，地跨黄河中游两岸，地理坐标为东经11</w:t>
      </w:r>
      <w:r>
        <w:rPr>
          <w:rFonts w:hint="eastAsia" w:ascii="Times New Roman" w:hAnsi="Times New Roman" w:eastAsia="仿宋_GB2312"/>
          <w:kern w:val="0"/>
        </w:rPr>
        <w:t>1</w:t>
      </w:r>
      <w:r>
        <w:rPr>
          <w:rFonts w:ascii="Times New Roman" w:hAnsi="Times New Roman" w:eastAsia="仿宋_GB2312"/>
          <w:kern w:val="0"/>
        </w:rPr>
        <w:t>°08′～112°59′，北纬33°39′～35°05′，素有“九州腹地”的区位定位，战略位置突出。市域东向、东南衔接郑州、平顶山两市；西侧及西南与三门峡毗邻；北部隔黄河相望济源、焦作；南部依托伏牛山系连通南阳。市域国土总面积1523</w:t>
      </w:r>
      <w:r>
        <w:rPr>
          <w:rFonts w:hint="eastAsia" w:ascii="Times New Roman" w:hAnsi="Times New Roman" w:eastAsia="仿宋_GB2312"/>
          <w:kern w:val="0"/>
        </w:rPr>
        <w:t>5.95</w:t>
      </w:r>
      <w:r>
        <w:rPr>
          <w:rFonts w:ascii="Times New Roman" w:hAnsi="Times New Roman" w:eastAsia="仿宋_GB2312"/>
          <w:kern w:val="0"/>
        </w:rPr>
        <w:t>平方千米，占河南省国土面积9.1%，东西跨度约254千米，南北跨度约234千米，是中原城市群副中心城市，也是连接豫西山地与中原平原的过渡枢纽地带。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（二）气候条件</w:t>
      </w:r>
    </w:p>
    <w:p>
      <w:pPr>
        <w:pStyle w:val="48"/>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kern w:val="0"/>
        </w:rPr>
      </w:pPr>
      <w:r>
        <w:rPr>
          <w:rFonts w:ascii="Times New Roman" w:hAnsi="Times New Roman" w:eastAsia="仿宋_GB2312"/>
          <w:kern w:val="0"/>
        </w:rPr>
        <w:t>洛阳市属暖温带大陆性半湿润半干旱季风气候，具有四季分明，冬季寒冷雨雪少，春季干旱风沙多，夏季炎热雨集中，秋季晴和日照长的特点。年平均气温14.7</w:t>
      </w:r>
      <w:r>
        <w:rPr>
          <w:rFonts w:hint="eastAsia" w:ascii="Times New Roman" w:hAnsi="Times New Roman" w:eastAsia="仿宋_GB2312"/>
          <w:kern w:val="0"/>
        </w:rPr>
        <w:t>℃</w:t>
      </w:r>
      <w:r>
        <w:rPr>
          <w:rFonts w:ascii="Times New Roman" w:hAnsi="Times New Roman" w:eastAsia="仿宋_GB2312"/>
          <w:kern w:val="0"/>
        </w:rPr>
        <w:t>，1月最冷，月平均气温0.3</w:t>
      </w:r>
      <w:r>
        <w:rPr>
          <w:rFonts w:hint="eastAsia" w:ascii="Times New Roman" w:hAnsi="Times New Roman" w:eastAsia="仿宋_GB2312"/>
          <w:kern w:val="0"/>
        </w:rPr>
        <w:t>℃</w:t>
      </w:r>
      <w:r>
        <w:rPr>
          <w:rFonts w:ascii="Times New Roman" w:hAnsi="Times New Roman" w:eastAsia="仿宋_GB2312"/>
          <w:kern w:val="0"/>
        </w:rPr>
        <w:t>，最低气温-18.2</w:t>
      </w:r>
      <w:r>
        <w:rPr>
          <w:rFonts w:hint="eastAsia" w:ascii="Times New Roman" w:hAnsi="Times New Roman" w:eastAsia="仿宋_GB2312"/>
          <w:kern w:val="0"/>
        </w:rPr>
        <w:t>℃</w:t>
      </w:r>
      <w:r>
        <w:rPr>
          <w:rFonts w:ascii="Times New Roman" w:hAnsi="Times New Roman" w:eastAsia="仿宋_GB2312"/>
          <w:kern w:val="0"/>
        </w:rPr>
        <w:t>（1969年2月1日），7月最热，月平均气温27.5</w:t>
      </w:r>
      <w:r>
        <w:rPr>
          <w:rFonts w:hint="eastAsia" w:ascii="Times New Roman" w:hAnsi="Times New Roman" w:eastAsia="仿宋_GB2312"/>
          <w:kern w:val="0"/>
        </w:rPr>
        <w:t>℃</w:t>
      </w:r>
      <w:r>
        <w:rPr>
          <w:rFonts w:ascii="Times New Roman" w:hAnsi="Times New Roman" w:eastAsia="仿宋_GB2312"/>
          <w:kern w:val="0"/>
        </w:rPr>
        <w:t>，最高气温44.2</w:t>
      </w:r>
      <w:r>
        <w:rPr>
          <w:rFonts w:hint="eastAsia" w:ascii="Times New Roman" w:hAnsi="Times New Roman" w:eastAsia="仿宋_GB2312"/>
          <w:kern w:val="0"/>
        </w:rPr>
        <w:t>℃</w:t>
      </w:r>
      <w:r>
        <w:rPr>
          <w:rFonts w:ascii="Times New Roman" w:hAnsi="Times New Roman" w:eastAsia="仿宋_GB2312"/>
          <w:kern w:val="0"/>
        </w:rPr>
        <w:t>（1966年6月20日），年平均降水量691.3毫米，降水主要集中在6、7、8、9四个月，降水量占全年降水量的62.4%。多年平均蒸发量为1829.1毫米。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（三）</w:t>
      </w:r>
      <w:r>
        <w:rPr>
          <w:rFonts w:ascii="Times New Roman" w:hAnsi="Times New Roman" w:eastAsia="华文楷体"/>
          <w:kern w:val="0"/>
          <w:sz w:val="32"/>
          <w:szCs w:val="32"/>
        </w:rPr>
        <w:t>地形地貌</w:t>
      </w:r>
    </w:p>
    <w:p>
      <w:pPr>
        <w:pStyle w:val="50"/>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kern w:val="0"/>
        </w:rPr>
      </w:pPr>
      <w:r>
        <w:rPr>
          <w:rFonts w:ascii="Times New Roman" w:hAnsi="Times New Roman" w:eastAsia="仿宋_GB2312"/>
          <w:kern w:val="0"/>
        </w:rPr>
        <w:t>洛阳处于我国第二、第三级地势阶梯过渡区域，整体地势西南高、东北低，民间总结地貌格局为</w:t>
      </w:r>
      <w:r>
        <w:rPr>
          <w:rFonts w:hint="eastAsia" w:ascii="Times New Roman" w:hAnsi="Times New Roman" w:eastAsia="仿宋_GB2312"/>
          <w:kern w:val="0"/>
        </w:rPr>
        <w:t>“</w:t>
      </w:r>
      <w:r>
        <w:rPr>
          <w:rFonts w:ascii="Times New Roman" w:hAnsi="Times New Roman" w:eastAsia="仿宋_GB2312"/>
          <w:kern w:val="0"/>
        </w:rPr>
        <w:t>五山四岭一分川</w:t>
      </w:r>
      <w:r>
        <w:rPr>
          <w:rFonts w:hint="eastAsia" w:ascii="Times New Roman" w:hAnsi="Times New Roman" w:eastAsia="仿宋_GB2312"/>
          <w:kern w:val="0"/>
        </w:rPr>
        <w:t>”</w:t>
      </w:r>
      <w:r>
        <w:rPr>
          <w:rFonts w:ascii="Times New Roman" w:hAnsi="Times New Roman" w:eastAsia="仿宋_GB2312"/>
          <w:kern w:val="0"/>
        </w:rPr>
        <w:t>。区域海拔落差悬殊，最低点位于偃师伊洛河河床，海拔102.3米；最高峰为嵩县玉皇顶，海拔2211.6米。秦岭山系向东延伸的诸多支脉构成市域山地骨架，自北向南排布崤山、熊耳山、外方山、伏牛山，涧河、洛河、伊河、汝河穿行于山地之间，塑造复杂多样地貌类型。</w:t>
      </w:r>
    </w:p>
    <w:p>
      <w:pPr>
        <w:pStyle w:val="50"/>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kern w:val="0"/>
        </w:rPr>
      </w:pPr>
      <w:r>
        <w:rPr>
          <w:rFonts w:ascii="Times New Roman" w:hAnsi="Times New Roman" w:eastAsia="仿宋_GB2312"/>
          <w:kern w:val="0"/>
        </w:rPr>
        <w:t>海拔空间分异明显，西南部集中分布1000</w:t>
      </w:r>
      <w:r>
        <w:rPr>
          <w:rFonts w:hint="eastAsia" w:ascii="仿宋_GB2312" w:hAnsi="Times New Roman" w:eastAsia="仿宋_GB2312"/>
        </w:rPr>
        <w:t>～</w:t>
      </w:r>
      <w:r>
        <w:rPr>
          <w:rFonts w:ascii="Times New Roman" w:hAnsi="Times New Roman" w:eastAsia="仿宋_GB2312"/>
          <w:kern w:val="0"/>
        </w:rPr>
        <w:t>2000米中高山峰；中部多500</w:t>
      </w:r>
      <w:r>
        <w:rPr>
          <w:rFonts w:hint="eastAsia" w:ascii="仿宋_GB2312" w:hAnsi="Times New Roman" w:eastAsia="仿宋_GB2312"/>
        </w:rPr>
        <w:t>～</w:t>
      </w:r>
      <w:r>
        <w:rPr>
          <w:rFonts w:ascii="Times New Roman" w:hAnsi="Times New Roman" w:eastAsia="仿宋_GB2312"/>
          <w:kern w:val="0"/>
        </w:rPr>
        <w:t>1000米低山；东北部及河谷地带海拔普遍低于300米，中心城区海拔区间150</w:t>
      </w:r>
      <w:r>
        <w:rPr>
          <w:rFonts w:hint="eastAsia" w:ascii="仿宋_GB2312" w:hAnsi="Times New Roman" w:eastAsia="仿宋_GB2312"/>
        </w:rPr>
        <w:t>～</w:t>
      </w:r>
      <w:r>
        <w:rPr>
          <w:rFonts w:ascii="Times New Roman" w:hAnsi="Times New Roman" w:eastAsia="仿宋_GB2312"/>
          <w:kern w:val="0"/>
        </w:rPr>
        <w:t>180米，地势自西向东平缓降低。全市地貌划分为山地、黄土丘陵、河谷平原三大类：山地集中分布栾川、嵩县、洛宁、新安、宜阳、汝阳，面积6920.7平方千米，占</w:t>
      </w:r>
      <w:r>
        <w:rPr>
          <w:rFonts w:hint="eastAsia" w:ascii="Times New Roman" w:hAnsi="Times New Roman" w:eastAsia="仿宋_GB2312"/>
          <w:kern w:val="0"/>
        </w:rPr>
        <w:t>全市总</w:t>
      </w:r>
      <w:r>
        <w:rPr>
          <w:rFonts w:ascii="Times New Roman" w:hAnsi="Times New Roman" w:eastAsia="仿宋_GB2312"/>
          <w:kern w:val="0"/>
        </w:rPr>
        <w:t>面积</w:t>
      </w:r>
      <w:r>
        <w:rPr>
          <w:rFonts w:hint="eastAsia" w:ascii="Times New Roman" w:hAnsi="Times New Roman" w:eastAsia="仿宋_GB2312"/>
          <w:kern w:val="0"/>
        </w:rPr>
        <w:t>的</w:t>
      </w:r>
      <w:r>
        <w:rPr>
          <w:rFonts w:ascii="Times New Roman" w:hAnsi="Times New Roman" w:eastAsia="仿宋_GB2312"/>
          <w:kern w:val="0"/>
        </w:rPr>
        <w:t>45.4%；黄土丘陵主要分布伊洛河中下游，面积6194.7平方千米，占全市总面积的40.6%；河谷平原沿伊河、洛河呈条带状展布，面积2124.21平方千米，占全市总面积的14.0%</w:t>
      </w:r>
      <w:r>
        <w:rPr>
          <w:rFonts w:hint="eastAsia" w:ascii="Times New Roman" w:hAnsi="Times New Roman" w:eastAsia="仿宋_GB2312"/>
          <w:kern w:val="0"/>
        </w:rPr>
        <w:t>。</w:t>
      </w:r>
      <w:r>
        <w:rPr>
          <w:rFonts w:ascii="Times New Roman" w:hAnsi="Times New Roman" w:eastAsia="仿宋_GB2312"/>
          <w:kern w:val="0"/>
        </w:rPr>
        <w:t>主要川地有宜（阳）洛（宁）川地、伊(川)嵩（县）川地和洛阳至偃师的伊洛平原等。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（四）社会经济</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kern w:val="0"/>
          <w:sz w:val="32"/>
          <w:szCs w:val="32"/>
        </w:rPr>
      </w:pPr>
      <w:r>
        <w:rPr>
          <w:rFonts w:ascii="Times New Roman" w:hAnsi="Times New Roman" w:eastAsia="仿宋_GB2312"/>
          <w:kern w:val="0"/>
          <w:sz w:val="32"/>
          <w:szCs w:val="32"/>
        </w:rPr>
        <w:t>洛阳市现行区划为7县</w:t>
      </w:r>
      <w:r>
        <w:rPr>
          <w:rFonts w:hint="eastAsia" w:ascii="Times New Roman" w:hAnsi="Times New Roman" w:eastAsia="仿宋_GB2312"/>
          <w:kern w:val="0"/>
          <w:sz w:val="32"/>
          <w:szCs w:val="32"/>
        </w:rPr>
        <w:t>（新安县、宜阳县、伊川县、汝阳县、嵩县、栾川县、洛宁县）</w:t>
      </w:r>
      <w:r>
        <w:rPr>
          <w:rFonts w:ascii="Times New Roman" w:hAnsi="Times New Roman" w:eastAsia="仿宋_GB2312"/>
          <w:kern w:val="0"/>
          <w:sz w:val="32"/>
          <w:szCs w:val="32"/>
        </w:rPr>
        <w:t>7区</w:t>
      </w:r>
      <w:r>
        <w:rPr>
          <w:rFonts w:hint="eastAsia" w:ascii="Times New Roman" w:hAnsi="Times New Roman" w:eastAsia="仿宋_GB2312"/>
          <w:kern w:val="0"/>
          <w:sz w:val="32"/>
          <w:szCs w:val="32"/>
        </w:rPr>
        <w:t>（涧西区、西工区、老城区、</w:t>
      </w:r>
      <w:r>
        <w:rPr>
          <w:rFonts w:hint="eastAsia" w:ascii="微软雅黑" w:hAnsi="微软雅黑" w:eastAsia="微软雅黑" w:cs="微软雅黑"/>
          <w:kern w:val="0"/>
          <w:sz w:val="32"/>
          <w:szCs w:val="32"/>
        </w:rPr>
        <w:t>瀍</w:t>
      </w:r>
      <w:r>
        <w:rPr>
          <w:rFonts w:hint="eastAsia" w:ascii="仿宋_GB2312" w:hAnsi="仿宋_GB2312" w:eastAsia="仿宋_GB2312" w:cs="仿宋_GB2312"/>
          <w:kern w:val="0"/>
          <w:sz w:val="32"/>
          <w:szCs w:val="32"/>
        </w:rPr>
        <w:t>河区、洛龙区、</w:t>
      </w:r>
      <w:r>
        <w:rPr>
          <w:rFonts w:hint="eastAsia" w:ascii="Times New Roman" w:hAnsi="Times New Roman" w:eastAsia="仿宋_GB2312"/>
          <w:kern w:val="0"/>
          <w:sz w:val="32"/>
          <w:szCs w:val="32"/>
        </w:rPr>
        <w:t>孟津区、偃师区）</w:t>
      </w:r>
      <w:r>
        <w:rPr>
          <w:rFonts w:ascii="Times New Roman" w:hAnsi="Times New Roman" w:eastAsia="仿宋_GB2312"/>
          <w:kern w:val="0"/>
          <w:sz w:val="32"/>
          <w:szCs w:val="32"/>
        </w:rPr>
        <w:t>，拥有2家国家级开发区、</w:t>
      </w:r>
      <w:r>
        <w:rPr>
          <w:rFonts w:hint="eastAsia" w:ascii="Times New Roman" w:hAnsi="Times New Roman" w:eastAsia="仿宋_GB2312"/>
          <w:kern w:val="0"/>
          <w:sz w:val="32"/>
          <w:szCs w:val="32"/>
        </w:rPr>
        <w:t>11个</w:t>
      </w:r>
      <w:r>
        <w:rPr>
          <w:rFonts w:ascii="Times New Roman" w:hAnsi="Times New Roman" w:eastAsia="仿宋_GB2312"/>
          <w:kern w:val="0"/>
          <w:sz w:val="32"/>
          <w:szCs w:val="32"/>
        </w:rPr>
        <w:t>省级开发区，是中原城市群副中心城市，制造业、文旅产业优势突出</w:t>
      </w:r>
      <w:r>
        <w:rPr>
          <w:rFonts w:hint="eastAsia" w:ascii="Times New Roman" w:hAnsi="Times New Roman" w:eastAsia="仿宋_GB2312"/>
          <w:kern w:val="0"/>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kern w:val="0"/>
          <w:sz w:val="32"/>
          <w:szCs w:val="32"/>
        </w:rPr>
      </w:pPr>
      <w:r>
        <w:rPr>
          <w:rFonts w:ascii="Times New Roman" w:hAnsi="Times New Roman" w:eastAsia="仿宋_GB2312"/>
          <w:kern w:val="0"/>
          <w:sz w:val="32"/>
          <w:szCs w:val="32"/>
        </w:rPr>
        <w:t>2025年（十四五收官）全市实现地区生产总值6164.52亿元，按可比价计算</w:t>
      </w:r>
      <w:r>
        <w:rPr>
          <w:rFonts w:hint="eastAsia" w:ascii="Times New Roman" w:hAnsi="Times New Roman" w:eastAsia="仿宋_GB2312"/>
          <w:kern w:val="0"/>
          <w:sz w:val="32"/>
          <w:szCs w:val="32"/>
        </w:rPr>
        <w:t>，比上年</w:t>
      </w:r>
      <w:r>
        <w:rPr>
          <w:rFonts w:ascii="Times New Roman" w:hAnsi="Times New Roman" w:eastAsia="仿宋_GB2312"/>
          <w:kern w:val="0"/>
          <w:sz w:val="32"/>
          <w:szCs w:val="32"/>
        </w:rPr>
        <w:t>增长6.0%；其中第一产业增加值230.71亿元，增长3.9%；第二产业增加值2470.63亿元，增长6.2%；第三产业增加值3463.18亿元，增长6.0%，三次产业结构调整为3.7</w:t>
      </w:r>
      <w:r>
        <w:rPr>
          <w:rFonts w:hint="eastAsia" w:ascii="Cambria Math" w:hAnsi="Cambria Math" w:eastAsia="仿宋_GB2312" w:cs="Cambria Math"/>
          <w:kern w:val="0"/>
          <w:sz w:val="32"/>
          <w:szCs w:val="32"/>
        </w:rPr>
        <w:t>：</w:t>
      </w:r>
      <w:r>
        <w:rPr>
          <w:rFonts w:ascii="Times New Roman" w:hAnsi="Times New Roman" w:eastAsia="仿宋_GB2312"/>
          <w:kern w:val="0"/>
          <w:sz w:val="32"/>
          <w:szCs w:val="32"/>
        </w:rPr>
        <w:t>40.1</w:t>
      </w:r>
      <w:r>
        <w:rPr>
          <w:rFonts w:hint="eastAsia" w:ascii="Cambria Math" w:hAnsi="Cambria Math" w:eastAsia="仿宋_GB2312" w:cs="Cambria Math"/>
          <w:kern w:val="0"/>
          <w:sz w:val="32"/>
          <w:szCs w:val="32"/>
        </w:rPr>
        <w:t>：</w:t>
      </w:r>
      <w:r>
        <w:rPr>
          <w:rFonts w:ascii="Times New Roman" w:hAnsi="Times New Roman" w:eastAsia="仿宋_GB2312"/>
          <w:kern w:val="0"/>
          <w:sz w:val="32"/>
          <w:szCs w:val="32"/>
        </w:rPr>
        <w:t>56.2</w:t>
      </w:r>
      <w:r>
        <w:rPr>
          <w:rFonts w:hint="eastAsia" w:ascii="Times New Roman" w:hAnsi="Times New Roman" w:eastAsia="仿宋_GB2312"/>
          <w:kern w:val="0"/>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kern w:val="0"/>
          <w:sz w:val="32"/>
          <w:szCs w:val="32"/>
        </w:rPr>
      </w:pPr>
      <w:r>
        <w:rPr>
          <w:rFonts w:ascii="Times New Roman" w:hAnsi="Times New Roman" w:eastAsia="仿宋_GB2312"/>
          <w:kern w:val="0"/>
          <w:sz w:val="32"/>
          <w:szCs w:val="32"/>
        </w:rPr>
        <w:t>农业生产总体稳定，全年全市粮食种植面积744.9万亩。其中，夏粮种植面积347.4万亩，秋粮种植面积397.5万亩。全年粮食产量247.3万吨。其中，夏粮产量119.6万吨</w:t>
      </w:r>
      <w:r>
        <w:rPr>
          <w:rFonts w:hint="eastAsia" w:ascii="Times New Roman" w:hAnsi="Times New Roman" w:eastAsia="仿宋_GB2312"/>
          <w:kern w:val="0"/>
          <w:sz w:val="32"/>
          <w:szCs w:val="32"/>
          <w:lang w:eastAsia="zh-CN"/>
        </w:rPr>
        <w:t>，</w:t>
      </w:r>
      <w:r>
        <w:rPr>
          <w:rFonts w:ascii="Times New Roman" w:hAnsi="Times New Roman" w:eastAsia="仿宋_GB2312"/>
          <w:kern w:val="0"/>
          <w:sz w:val="32"/>
          <w:szCs w:val="32"/>
        </w:rPr>
        <w:t>秋粮产量127.8万吨。</w:t>
      </w:r>
      <w:r>
        <w:rPr>
          <w:rFonts w:hint="eastAsia" w:ascii="Times New Roman" w:hAnsi="Times New Roman" w:eastAsia="仿宋_GB2312"/>
          <w:kern w:val="0"/>
          <w:sz w:val="32"/>
          <w:szCs w:val="32"/>
        </w:rPr>
        <w:t>猪牛羊禽肉产量17.6万吨，全年工业增加值1854.9亿元，全年居民人均可支配收入</w:t>
      </w:r>
      <w:r>
        <w:rPr>
          <w:rFonts w:ascii="Times New Roman" w:hAnsi="Times New Roman" w:eastAsia="仿宋_GB2312"/>
          <w:kern w:val="0"/>
          <w:sz w:val="32"/>
          <w:szCs w:val="32"/>
        </w:rPr>
        <w:t>37240</w:t>
      </w:r>
      <w:r>
        <w:rPr>
          <w:rFonts w:hint="eastAsia" w:ascii="Times New Roman" w:hAnsi="Times New Roman" w:eastAsia="仿宋_GB2312"/>
          <w:kern w:val="0"/>
          <w:sz w:val="32"/>
          <w:szCs w:val="32"/>
        </w:rPr>
        <w:t>元，城镇居民人均可支配收入</w:t>
      </w:r>
      <w:r>
        <w:rPr>
          <w:rFonts w:ascii="Times New Roman" w:hAnsi="Times New Roman" w:eastAsia="仿宋_GB2312"/>
          <w:kern w:val="0"/>
          <w:sz w:val="32"/>
          <w:szCs w:val="32"/>
        </w:rPr>
        <w:t>49887</w:t>
      </w:r>
      <w:r>
        <w:rPr>
          <w:rFonts w:hint="eastAsia" w:ascii="Times New Roman" w:hAnsi="Times New Roman" w:eastAsia="仿宋_GB2312"/>
          <w:kern w:val="0"/>
          <w:sz w:val="32"/>
          <w:szCs w:val="32"/>
        </w:rPr>
        <w:t>元，农村居民人均可支配收入</w:t>
      </w:r>
      <w:r>
        <w:rPr>
          <w:rFonts w:ascii="Times New Roman" w:hAnsi="Times New Roman" w:eastAsia="仿宋_GB2312"/>
          <w:kern w:val="0"/>
          <w:sz w:val="32"/>
          <w:szCs w:val="32"/>
        </w:rPr>
        <w:t>22340</w:t>
      </w:r>
      <w:r>
        <w:rPr>
          <w:rFonts w:hint="eastAsia" w:ascii="Times New Roman" w:hAnsi="Times New Roman" w:eastAsia="仿宋_GB2312"/>
          <w:kern w:val="0"/>
          <w:sz w:val="32"/>
          <w:szCs w:val="32"/>
        </w:rPr>
        <w:t>元。</w:t>
      </w:r>
    </w:p>
    <w:p>
      <w:pPr>
        <w:spacing w:line="360" w:lineRule="auto"/>
        <w:ind w:firstLine="640" w:firstLineChars="200"/>
        <w:rPr>
          <w:rFonts w:ascii="Times New Roman" w:hAnsi="Times New Roman" w:eastAsia="仿宋_GB2312"/>
          <w:kern w:val="0"/>
          <w:sz w:val="32"/>
          <w:szCs w:val="32"/>
        </w:rPr>
      </w:pPr>
    </w:p>
    <w:p>
      <w:pPr>
        <w:spacing w:line="360" w:lineRule="auto"/>
        <w:rPr>
          <w:rFonts w:ascii="Times New Roman" w:hAnsi="Times New Roman" w:eastAsia="仿宋_GB2312"/>
          <w:kern w:val="0"/>
          <w:sz w:val="32"/>
          <w:szCs w:val="32"/>
        </w:rPr>
      </w:pPr>
      <w:r>
        <w:rPr>
          <w:rFonts w:ascii="Times New Roman" w:hAnsi="Times New Roman" w:eastAsia="仿宋_GB2312"/>
          <w:kern w:val="0"/>
          <w:sz w:val="32"/>
          <w:szCs w:val="32"/>
        </w:rPr>
        <w:drawing>
          <wp:inline distT="0" distB="0" distL="0" distR="0">
            <wp:extent cx="5486400" cy="3200400"/>
            <wp:effectExtent l="0" t="0" r="0" b="0"/>
            <wp:docPr id="112005944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360" w:lineRule="auto"/>
        <w:rPr>
          <w:rFonts w:ascii="Times New Roman" w:hAnsi="Times New Roman" w:eastAsia="仿宋_GB2312"/>
          <w:kern w:val="0"/>
          <w:sz w:val="32"/>
          <w:szCs w:val="32"/>
        </w:rPr>
      </w:pPr>
    </w:p>
    <w:p>
      <w:pPr>
        <w:spacing w:line="360" w:lineRule="auto"/>
        <w:rPr>
          <w:rFonts w:ascii="Times New Roman" w:hAnsi="Times New Roman" w:eastAsia="仿宋_GB2312"/>
          <w:kern w:val="0"/>
          <w:sz w:val="32"/>
          <w:szCs w:val="32"/>
        </w:rPr>
      </w:pPr>
    </w:p>
    <w:p>
      <w:pPr>
        <w:spacing w:line="360" w:lineRule="auto"/>
        <w:rPr>
          <w:rFonts w:ascii="Times New Roman" w:hAnsi="Times New Roman" w:eastAsia="仿宋_GB2312"/>
          <w:kern w:val="0"/>
          <w:sz w:val="32"/>
          <w:szCs w:val="32"/>
        </w:rPr>
      </w:pPr>
      <w:r>
        <w:rPr>
          <w:rFonts w:ascii="Times New Roman" w:hAnsi="Times New Roman" w:eastAsia="仿宋_GB2312"/>
          <w:kern w:val="0"/>
          <w:sz w:val="32"/>
          <w:szCs w:val="32"/>
        </w:rPr>
        <w:drawing>
          <wp:inline distT="0" distB="0" distL="0" distR="0">
            <wp:extent cx="5486400" cy="3200400"/>
            <wp:effectExtent l="0" t="0" r="0" b="0"/>
            <wp:docPr id="18467943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rPr>
          <w:rFonts w:ascii="Times New Roman" w:hAnsi="Times New Roman" w:eastAsia="仿宋_GB2312"/>
          <w:kern w:val="0"/>
        </w:rPr>
      </w:pP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二、自然资源概况</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（一）</w:t>
      </w:r>
      <w:r>
        <w:rPr>
          <w:rFonts w:ascii="Times New Roman" w:hAnsi="Times New Roman" w:eastAsia="华文楷体"/>
          <w:kern w:val="0"/>
          <w:sz w:val="32"/>
          <w:szCs w:val="32"/>
        </w:rPr>
        <w:t>水文</w:t>
      </w:r>
      <w:r>
        <w:rPr>
          <w:rFonts w:hint="eastAsia" w:ascii="Times New Roman" w:hAnsi="Times New Roman" w:eastAsia="华文楷体"/>
          <w:kern w:val="0"/>
          <w:sz w:val="32"/>
          <w:szCs w:val="32"/>
        </w:rPr>
        <w:t>特征</w:t>
      </w:r>
    </w:p>
    <w:p>
      <w:pPr>
        <w:pStyle w:val="48"/>
        <w:keepNext w:val="0"/>
        <w:keepLines w:val="0"/>
        <w:pageBreakBefore w:val="0"/>
        <w:kinsoku/>
        <w:wordWrap/>
        <w:autoSpaceDE/>
        <w:autoSpaceDN/>
        <w:bidi w:val="0"/>
        <w:adjustRightInd/>
        <w:snapToGrid/>
        <w:spacing w:line="600" w:lineRule="exact"/>
        <w:textAlignment w:val="auto"/>
        <w:rPr>
          <w:rFonts w:ascii="Times New Roman" w:hAnsi="Times New Roman" w:eastAsia="仿宋_GB2312"/>
          <w:kern w:val="0"/>
        </w:rPr>
      </w:pPr>
      <w:r>
        <w:rPr>
          <w:rFonts w:ascii="Times New Roman" w:hAnsi="Times New Roman" w:eastAsia="仿宋_GB2312"/>
          <w:kern w:val="0"/>
        </w:rPr>
        <w:t>洛阳市境内干、支河流及较大沟、涧、溪约2.7万多条，常年有水的约7500条，流域面积100平方千米以上的河流34条，河流分属黄河、淮河、长江三大流域，包括伊洛河、沙颖河、丹江和唐白河五个水系，其中伊河、洛河及以北地区的河流直接汇入黄河，有12646.1平方千米面积属于黄河流域，占总面积的83%；淮河流域2055.9平方千米，占总面积的13.5%，主要为北汝河，为沙颍河水系；长江流域527平方千米，占总面积的3.5%，包括位于最南部边缘地带的</w:t>
      </w:r>
      <w:r>
        <w:rPr>
          <w:rFonts w:hint="eastAsia" w:ascii="微软雅黑" w:hAnsi="微软雅黑" w:eastAsia="微软雅黑" w:cs="微软雅黑"/>
          <w:kern w:val="0"/>
        </w:rPr>
        <w:t>淯</w:t>
      </w:r>
      <w:r>
        <w:rPr>
          <w:rFonts w:hint="eastAsia" w:ascii="仿宋_GB2312" w:hAnsi="仿宋_GB2312" w:eastAsia="仿宋_GB2312" w:cs="仿宋_GB2312"/>
          <w:kern w:val="0"/>
        </w:rPr>
        <w:t>河与白河，分别属于丹江水系和唐白河水系。全市多年平均地表水资源量</w:t>
      </w:r>
      <w:r>
        <w:rPr>
          <w:rFonts w:ascii="Times New Roman" w:hAnsi="Times New Roman" w:eastAsia="仿宋_GB2312"/>
          <w:kern w:val="0"/>
        </w:rPr>
        <w:t>26.53亿立方米，多年平均地下水资源量为17.76亿立方米，扣除重复计算量16.14亿立方米，洛阳市多年平均水资源量为</w:t>
      </w:r>
      <w:r>
        <w:rPr>
          <w:rFonts w:hint="eastAsia" w:ascii="Times New Roman" w:hAnsi="Times New Roman" w:eastAsia="仿宋_GB2312"/>
          <w:kern w:val="0"/>
        </w:rPr>
        <w:t>27.4756</w:t>
      </w:r>
      <w:r>
        <w:rPr>
          <w:rFonts w:ascii="Times New Roman" w:hAnsi="Times New Roman" w:eastAsia="仿宋_GB2312"/>
          <w:kern w:val="0"/>
        </w:rPr>
        <w:t>亿立方米，多年平均入境水量为11.17亿立方米，多年平均出境水量为34.85亿立方米。</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（二）</w:t>
      </w:r>
      <w:r>
        <w:rPr>
          <w:rFonts w:ascii="Times New Roman" w:hAnsi="Times New Roman" w:eastAsia="华文楷体"/>
          <w:kern w:val="0"/>
          <w:sz w:val="32"/>
          <w:szCs w:val="32"/>
        </w:rPr>
        <w:t>植物</w:t>
      </w:r>
    </w:p>
    <w:p>
      <w:pPr>
        <w:pStyle w:val="48"/>
        <w:keepNext w:val="0"/>
        <w:keepLines w:val="0"/>
        <w:pageBreakBefore w:val="0"/>
        <w:kinsoku/>
        <w:wordWrap/>
        <w:autoSpaceDE/>
        <w:autoSpaceDN/>
        <w:bidi w:val="0"/>
        <w:adjustRightInd/>
        <w:snapToGrid/>
        <w:spacing w:line="600" w:lineRule="exact"/>
        <w:textAlignment w:val="auto"/>
        <w:rPr>
          <w:rFonts w:ascii="Times New Roman" w:hAnsi="Times New Roman" w:eastAsia="仿宋_GB2312"/>
          <w:kern w:val="0"/>
        </w:rPr>
      </w:pPr>
      <w:r>
        <w:rPr>
          <w:rFonts w:ascii="Times New Roman" w:hAnsi="Times New Roman" w:eastAsia="仿宋_GB2312"/>
          <w:kern w:val="0"/>
        </w:rPr>
        <w:t>洛阳位于暖温带向北亚热带过渡地带，气候、土壤具有南北过渡的性质，属于暖温带植物区系。植物种类丰富，有不少稀有珍贵的植物种类。植物区系以暖温带植被区系成分为主，但是亚热带西部高山、西北黄土丘陵等区系成分也混生杂居于此。境内有维管束植物2308种，其中蕨类植物146种，裸子植物33种，被子植物2129种。乔木285种，灌木446种，藤木88种，竹类5种。全市有各级重点保护植物62种，属于国家一级重点保护的有3种，分别是红豆杉、银杏、水杉；国家二级重点保护的有16种，分别是香果树、连香树、大果青扦、秤锤树、水青树、秦岭冷杉、麦吊云杉、野大豆、楠木、厚朴、大果木莲、水曲柳、黄檗、红椿、紫椴、榉木；省级重点保护的有43种。</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（三）</w:t>
      </w:r>
      <w:r>
        <w:rPr>
          <w:rFonts w:ascii="Times New Roman" w:hAnsi="Times New Roman" w:eastAsia="华文楷体"/>
          <w:kern w:val="0"/>
          <w:sz w:val="32"/>
          <w:szCs w:val="32"/>
        </w:rPr>
        <w:t>动物</w:t>
      </w:r>
    </w:p>
    <w:p>
      <w:pPr>
        <w:pStyle w:val="48"/>
        <w:keepNext w:val="0"/>
        <w:keepLines w:val="0"/>
        <w:pageBreakBefore w:val="0"/>
        <w:kinsoku/>
        <w:wordWrap/>
        <w:autoSpaceDE/>
        <w:autoSpaceDN/>
        <w:bidi w:val="0"/>
        <w:adjustRightInd/>
        <w:snapToGrid/>
        <w:spacing w:line="600" w:lineRule="exact"/>
        <w:textAlignment w:val="auto"/>
        <w:rPr>
          <w:rFonts w:ascii="Times New Roman" w:hAnsi="Times New Roman" w:eastAsia="仿宋_GB2312"/>
          <w:kern w:val="0"/>
        </w:rPr>
      </w:pPr>
      <w:r>
        <w:rPr>
          <w:rFonts w:ascii="Times New Roman" w:hAnsi="Times New Roman" w:eastAsia="仿宋_GB2312"/>
          <w:kern w:val="0"/>
        </w:rPr>
        <w:t>动物种数及生物多样性在河南省有着重要地位，是众多保护物种的重要栖息地。全市有野生陆栖脊椎动物367种（另9亚种），隶属于28目、80科、209属，占全国陆栖脊椎动物总种数的15.32％，占河南省总种数的82.39％。其中兽类63种、鸟类262种、爬行类33种和两栖类9种。另外有昆虫1969种、鱼类100种。国家一级保护动物12种，其中哺乳类有2种：金钱豹、梅花鹿；鸟类有10种：黑</w:t>
      </w:r>
      <w:r>
        <w:rPr>
          <w:rFonts w:hint="eastAsia" w:ascii="微软雅黑" w:hAnsi="微软雅黑" w:eastAsia="微软雅黑" w:cs="微软雅黑"/>
          <w:kern w:val="0"/>
        </w:rPr>
        <w:t>鸛</w:t>
      </w:r>
      <w:r>
        <w:rPr>
          <w:rFonts w:hint="eastAsia" w:ascii="仿宋_GB2312" w:hAnsi="仿宋_GB2312" w:eastAsia="仿宋_GB2312" w:cs="仿宋_GB2312"/>
          <w:kern w:val="0"/>
        </w:rPr>
        <w:t>、金雕、玉带海雕、丹顶鹤、白鹤、大鸨、白尾海雕、白肩雕、朱</w:t>
      </w:r>
      <w:r>
        <w:rPr>
          <w:rFonts w:hint="eastAsia" w:ascii="微软雅黑" w:hAnsi="微软雅黑" w:eastAsia="微软雅黑" w:cs="微软雅黑"/>
          <w:kern w:val="0"/>
        </w:rPr>
        <w:t>鹮</w:t>
      </w:r>
      <w:r>
        <w:rPr>
          <w:rFonts w:hint="eastAsia" w:ascii="仿宋_GB2312" w:hAnsi="仿宋_GB2312" w:eastAsia="仿宋_GB2312" w:cs="仿宋_GB2312"/>
          <w:kern w:val="0"/>
        </w:rPr>
        <w:t>、东方白</w:t>
      </w:r>
      <w:r>
        <w:rPr>
          <w:rFonts w:hint="eastAsia" w:ascii="微软雅黑" w:hAnsi="微软雅黑" w:eastAsia="微软雅黑" w:cs="微软雅黑"/>
          <w:kern w:val="0"/>
        </w:rPr>
        <w:t>鸛</w:t>
      </w:r>
      <w:r>
        <w:rPr>
          <w:rFonts w:hint="eastAsia" w:ascii="仿宋_GB2312" w:hAnsi="仿宋_GB2312" w:eastAsia="仿宋_GB2312" w:cs="仿宋_GB2312"/>
          <w:kern w:val="0"/>
        </w:rPr>
        <w:t>。国家二级保护动物</w:t>
      </w:r>
      <w:r>
        <w:rPr>
          <w:rFonts w:ascii="Times New Roman" w:hAnsi="Times New Roman" w:eastAsia="仿宋_GB2312"/>
          <w:kern w:val="0"/>
        </w:rPr>
        <w:t>58种，其中两栖类1种：大鲵；昆虫类2种：中华虎凤蝶和拉步甲；兽类11种：穿山甲、水獭、原麝、林麝、獐、豺、黄喉貂、金猫、斑羚、鬣羚和大灵猫；鸟类 44种：灰鹤、蓑羽鹤、白额雁、大天鹅、小天鹅、鸳鸯、红腹锦鸡、勺鸡、黄嘴白鹭、白琵鹭、小青脚鹬、斑嘴鹈鹕、鸢、雀鹰、松雀鹰、苍鹰、赤腹鹰、鹊鹞、普通</w:t>
      </w:r>
      <w:r>
        <w:rPr>
          <w:rFonts w:hint="eastAsia" w:ascii="微软雅黑" w:hAnsi="微软雅黑" w:eastAsia="微软雅黑" w:cs="微软雅黑"/>
          <w:kern w:val="0"/>
        </w:rPr>
        <w:t>鵟</w:t>
      </w:r>
      <w:r>
        <w:rPr>
          <w:rFonts w:hint="eastAsia" w:ascii="仿宋_GB2312" w:hAnsi="仿宋_GB2312" w:eastAsia="仿宋_GB2312" w:cs="仿宋_GB2312"/>
          <w:kern w:val="0"/>
        </w:rPr>
        <w:t>、大</w:t>
      </w:r>
      <w:r>
        <w:rPr>
          <w:rFonts w:hint="eastAsia" w:ascii="微软雅黑" w:hAnsi="微软雅黑" w:eastAsia="微软雅黑" w:cs="微软雅黑"/>
          <w:kern w:val="0"/>
        </w:rPr>
        <w:t>鵟</w:t>
      </w:r>
      <w:r>
        <w:rPr>
          <w:rFonts w:hint="eastAsia" w:ascii="仿宋_GB2312" w:hAnsi="仿宋_GB2312" w:eastAsia="仿宋_GB2312" w:cs="仿宋_GB2312"/>
          <w:kern w:val="0"/>
        </w:rPr>
        <w:t>、白尾鹞、白头鹞、燕隼、灰背隼、黄爪隼、红脚隼、红隼、游隼、猎隼、秃鹫、草原雕、乌雕、黄嘴角</w:t>
      </w:r>
      <w:r>
        <w:rPr>
          <w:rFonts w:hint="eastAsia" w:ascii="微软雅黑" w:hAnsi="微软雅黑" w:eastAsia="微软雅黑" w:cs="微软雅黑"/>
          <w:kern w:val="0"/>
        </w:rPr>
        <w:t>鸮</w:t>
      </w:r>
      <w:r>
        <w:rPr>
          <w:rFonts w:hint="eastAsia" w:ascii="仿宋_GB2312" w:hAnsi="仿宋_GB2312" w:eastAsia="仿宋_GB2312" w:cs="仿宋_GB2312"/>
          <w:kern w:val="0"/>
        </w:rPr>
        <w:t>、红角</w:t>
      </w:r>
      <w:r>
        <w:rPr>
          <w:rFonts w:hint="eastAsia" w:ascii="微软雅黑" w:hAnsi="微软雅黑" w:eastAsia="微软雅黑" w:cs="微软雅黑"/>
          <w:kern w:val="0"/>
        </w:rPr>
        <w:t>鸮</w:t>
      </w:r>
      <w:r>
        <w:rPr>
          <w:rFonts w:hint="eastAsia" w:ascii="仿宋_GB2312" w:hAnsi="仿宋_GB2312" w:eastAsia="仿宋_GB2312" w:cs="仿宋_GB2312"/>
          <w:kern w:val="0"/>
        </w:rPr>
        <w:t>、毛脚鱼</w:t>
      </w:r>
      <w:r>
        <w:rPr>
          <w:rFonts w:hint="eastAsia" w:ascii="微软雅黑" w:hAnsi="微软雅黑" w:eastAsia="微软雅黑" w:cs="微软雅黑"/>
          <w:kern w:val="0"/>
        </w:rPr>
        <w:t>鸮</w:t>
      </w:r>
      <w:r>
        <w:rPr>
          <w:rFonts w:hint="eastAsia" w:ascii="仿宋_GB2312" w:hAnsi="仿宋_GB2312" w:eastAsia="仿宋_GB2312" w:cs="仿宋_GB2312"/>
          <w:kern w:val="0"/>
        </w:rPr>
        <w:t>、雕</w:t>
      </w:r>
      <w:r>
        <w:rPr>
          <w:rFonts w:hint="eastAsia" w:ascii="微软雅黑" w:hAnsi="微软雅黑" w:eastAsia="微软雅黑" w:cs="微软雅黑"/>
          <w:kern w:val="0"/>
        </w:rPr>
        <w:t>鸮</w:t>
      </w:r>
      <w:r>
        <w:rPr>
          <w:rFonts w:hint="eastAsia" w:ascii="仿宋_GB2312" w:hAnsi="仿宋_GB2312" w:eastAsia="仿宋_GB2312" w:cs="仿宋_GB2312"/>
          <w:kern w:val="0"/>
        </w:rPr>
        <w:t>、普通角</w:t>
      </w:r>
      <w:r>
        <w:rPr>
          <w:rFonts w:hint="eastAsia" w:ascii="微软雅黑" w:hAnsi="微软雅黑" w:eastAsia="微软雅黑" w:cs="微软雅黑"/>
          <w:kern w:val="0"/>
        </w:rPr>
        <w:t>鸮</w:t>
      </w:r>
      <w:r>
        <w:rPr>
          <w:rFonts w:hint="eastAsia" w:ascii="仿宋_GB2312" w:hAnsi="仿宋_GB2312" w:eastAsia="仿宋_GB2312" w:cs="仿宋_GB2312"/>
          <w:kern w:val="0"/>
        </w:rPr>
        <w:t>、领角</w:t>
      </w:r>
      <w:r>
        <w:rPr>
          <w:rFonts w:hint="eastAsia" w:ascii="微软雅黑" w:hAnsi="微软雅黑" w:eastAsia="微软雅黑" w:cs="微软雅黑"/>
          <w:kern w:val="0"/>
        </w:rPr>
        <w:t>鸮</w:t>
      </w:r>
      <w:r>
        <w:rPr>
          <w:rFonts w:hint="eastAsia" w:ascii="仿宋_GB2312" w:hAnsi="仿宋_GB2312" w:eastAsia="仿宋_GB2312" w:cs="仿宋_GB2312"/>
          <w:kern w:val="0"/>
        </w:rPr>
        <w:t>、鹰</w:t>
      </w:r>
      <w:r>
        <w:rPr>
          <w:rFonts w:hint="eastAsia" w:ascii="微软雅黑" w:hAnsi="微软雅黑" w:eastAsia="微软雅黑" w:cs="微软雅黑"/>
          <w:kern w:val="0"/>
        </w:rPr>
        <w:t>鸮</w:t>
      </w:r>
      <w:r>
        <w:rPr>
          <w:rFonts w:hint="eastAsia" w:ascii="仿宋_GB2312" w:hAnsi="仿宋_GB2312" w:eastAsia="仿宋_GB2312" w:cs="仿宋_GB2312"/>
          <w:kern w:val="0"/>
        </w:rPr>
        <w:t>、长耳</w:t>
      </w:r>
      <w:r>
        <w:rPr>
          <w:rFonts w:hint="eastAsia" w:ascii="微软雅黑" w:hAnsi="微软雅黑" w:eastAsia="微软雅黑" w:cs="微软雅黑"/>
          <w:kern w:val="0"/>
        </w:rPr>
        <w:t>鸮</w:t>
      </w:r>
      <w:r>
        <w:rPr>
          <w:rFonts w:hint="eastAsia" w:ascii="仿宋_GB2312" w:hAnsi="仿宋_GB2312" w:eastAsia="仿宋_GB2312" w:cs="仿宋_GB2312"/>
          <w:kern w:val="0"/>
        </w:rPr>
        <w:t>、短耳</w:t>
      </w:r>
      <w:r>
        <w:rPr>
          <w:rFonts w:hint="eastAsia" w:ascii="微软雅黑" w:hAnsi="微软雅黑" w:eastAsia="微软雅黑" w:cs="微软雅黑"/>
          <w:kern w:val="0"/>
        </w:rPr>
        <w:t>鸮</w:t>
      </w:r>
      <w:r>
        <w:rPr>
          <w:rFonts w:hint="eastAsia" w:ascii="仿宋_GB2312" w:hAnsi="仿宋_GB2312" w:eastAsia="仿宋_GB2312" w:cs="仿宋_GB2312"/>
          <w:kern w:val="0"/>
        </w:rPr>
        <w:t>、</w:t>
      </w:r>
      <w:r>
        <w:rPr>
          <w:rFonts w:ascii="Times New Roman" w:hAnsi="Times New Roman" w:eastAsia="仿宋_GB2312"/>
          <w:kern w:val="0"/>
        </w:rPr>
        <w:t>纵纹腹小</w:t>
      </w:r>
      <w:r>
        <w:rPr>
          <w:rFonts w:hint="eastAsia" w:ascii="微软雅黑" w:hAnsi="微软雅黑" w:eastAsia="微软雅黑" w:cs="微软雅黑"/>
          <w:kern w:val="0"/>
        </w:rPr>
        <w:t>鸮</w:t>
      </w:r>
      <w:r>
        <w:rPr>
          <w:rFonts w:hint="eastAsia" w:ascii="仿宋_GB2312" w:hAnsi="仿宋_GB2312" w:eastAsia="仿宋_GB2312" w:cs="仿宋_GB2312"/>
          <w:kern w:val="0"/>
        </w:rPr>
        <w:t>、领鸺</w:t>
      </w:r>
      <w:r>
        <w:rPr>
          <w:rFonts w:hint="eastAsia" w:ascii="微软雅黑" w:hAnsi="微软雅黑" w:eastAsia="微软雅黑" w:cs="微软雅黑"/>
          <w:kern w:val="0"/>
        </w:rPr>
        <w:t>鹠</w:t>
      </w:r>
      <w:r>
        <w:rPr>
          <w:rFonts w:hint="eastAsia" w:ascii="仿宋_GB2312" w:hAnsi="仿宋_GB2312" w:eastAsia="仿宋_GB2312" w:cs="仿宋_GB2312"/>
          <w:kern w:val="0"/>
        </w:rPr>
        <w:t>和斑头鸺</w:t>
      </w:r>
      <w:r>
        <w:rPr>
          <w:rFonts w:hint="eastAsia" w:ascii="微软雅黑" w:hAnsi="微软雅黑" w:eastAsia="微软雅黑" w:cs="微软雅黑"/>
          <w:kern w:val="0"/>
        </w:rPr>
        <w:t>鹠</w:t>
      </w:r>
      <w:r>
        <w:rPr>
          <w:rFonts w:hint="eastAsia" w:ascii="仿宋_GB2312" w:hAnsi="仿宋_GB2312" w:eastAsia="仿宋_GB2312" w:cs="仿宋_GB2312"/>
          <w:kern w:val="0"/>
        </w:rPr>
        <w:t>。省级重点保护的有</w:t>
      </w:r>
      <w:r>
        <w:rPr>
          <w:rFonts w:ascii="Times New Roman" w:hAnsi="Times New Roman" w:eastAsia="仿宋_GB2312"/>
          <w:kern w:val="0"/>
        </w:rPr>
        <w:t>30种。珍惜濒危野生动物为大鲵，主要集中在嵩县、栾川县的伊河内。全市受威胁物种252种，受威胁植物157种，其中极危植物5种，濒危植物28种，易危植物53种，近危植物71种；受威胁动物94种，其中极危动物4种，濒危动物13种，易危动物37种，近危动物40种。受威胁物种最多的县市也是生物物种最多的县市，伏牛山区的嵩县和栾川最多，在200种以上。</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（四）</w:t>
      </w:r>
      <w:r>
        <w:rPr>
          <w:rFonts w:ascii="Times New Roman" w:hAnsi="Times New Roman" w:eastAsia="华文楷体"/>
          <w:kern w:val="0"/>
          <w:sz w:val="32"/>
          <w:szCs w:val="32"/>
        </w:rPr>
        <w:t>土壤</w:t>
      </w:r>
    </w:p>
    <w:p>
      <w:pPr>
        <w:pStyle w:val="48"/>
        <w:keepNext w:val="0"/>
        <w:keepLines w:val="0"/>
        <w:pageBreakBefore w:val="0"/>
        <w:kinsoku/>
        <w:wordWrap/>
        <w:autoSpaceDE/>
        <w:autoSpaceDN/>
        <w:bidi w:val="0"/>
        <w:adjustRightInd/>
        <w:snapToGrid/>
        <w:spacing w:line="600" w:lineRule="exact"/>
        <w:textAlignment w:val="auto"/>
        <w:rPr>
          <w:rFonts w:ascii="Times New Roman" w:hAnsi="Times New Roman" w:eastAsia="仿宋_GB2312"/>
          <w:kern w:val="0"/>
        </w:rPr>
      </w:pPr>
      <w:r>
        <w:rPr>
          <w:rFonts w:ascii="Times New Roman" w:hAnsi="Times New Roman" w:eastAsia="仿宋_GB2312"/>
          <w:kern w:val="0"/>
        </w:rPr>
        <w:t>棕壤、褐土、红粘土、潮土四类土壤在全市广泛分布，其它土壤仅零星分布。按地域分布，全市土壤资源可划分为以棕壤为主的西南部中山区，包括栾川、嵩县大部分地区，汝阳、洛宁、新安、宜阳部分地区，占土壤总面积的22.8%；以褐土为主的西南部低山区，占总土壤面积的39.6%，多分布在洛宁、嵩县、栾川、新安、宜阳、汝阳等县；以红粘土为主的北部黄土丘陵区，占土壤总面积的12.17%，遍及1市八县六区；以潮土为主的伊洛河平原区，占土壤总面积的3.82%，主要分布在黄河、洛河、伊河、汝河、涧河等河流下游滩地和两岸的一、二级阶地。</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（五）</w:t>
      </w:r>
      <w:r>
        <w:rPr>
          <w:rFonts w:ascii="Times New Roman" w:hAnsi="Times New Roman" w:eastAsia="华文楷体"/>
          <w:kern w:val="0"/>
          <w:sz w:val="32"/>
          <w:szCs w:val="32"/>
        </w:rPr>
        <w:t>水资源</w:t>
      </w:r>
    </w:p>
    <w:p>
      <w:pPr>
        <w:keepNext w:val="0"/>
        <w:keepLines w:val="0"/>
        <w:pageBreakBefore w:val="0"/>
        <w:kinsoku/>
        <w:wordWrap/>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kern w:val="0"/>
          <w:sz w:val="32"/>
          <w:szCs w:val="32"/>
        </w:rPr>
        <w:t>洛阳市总面积1.52万平方公里，</w:t>
      </w:r>
      <w:r>
        <w:rPr>
          <w:rFonts w:hint="eastAsia" w:ascii="Times New Roman" w:hAnsi="Times New Roman" w:eastAsia="仿宋_GB2312"/>
          <w:kern w:val="0"/>
          <w:sz w:val="32"/>
          <w:szCs w:val="32"/>
        </w:rPr>
        <w:t>大部处于</w:t>
      </w:r>
      <w:r>
        <w:rPr>
          <w:rFonts w:ascii="Times New Roman" w:hAnsi="Times New Roman" w:eastAsia="仿宋_GB2312"/>
          <w:kern w:val="0"/>
          <w:sz w:val="32"/>
          <w:szCs w:val="32"/>
        </w:rPr>
        <w:t>黄河流域</w:t>
      </w:r>
      <w:r>
        <w:rPr>
          <w:rFonts w:hint="eastAsia" w:ascii="Times New Roman" w:hAnsi="Times New Roman" w:eastAsia="仿宋_GB2312"/>
          <w:kern w:val="0"/>
          <w:sz w:val="32"/>
          <w:szCs w:val="32"/>
        </w:rPr>
        <w:t>，占比</w:t>
      </w:r>
      <w:r>
        <w:rPr>
          <w:rFonts w:ascii="Times New Roman" w:hAnsi="Times New Roman" w:eastAsia="仿宋_GB2312"/>
          <w:kern w:val="0"/>
          <w:sz w:val="32"/>
          <w:szCs w:val="32"/>
        </w:rPr>
        <w:t>81.8%；南部嵩县、汝阳、栾</w:t>
      </w:r>
      <w:r>
        <w:rPr>
          <w:rFonts w:ascii="Times New Roman" w:hAnsi="Times New Roman" w:eastAsia="仿宋_GB2312"/>
          <w:sz w:val="32"/>
          <w:szCs w:val="32"/>
        </w:rPr>
        <w:t>川等县部分区域处于淮河和长江流域，</w:t>
      </w:r>
      <w:r>
        <w:rPr>
          <w:rFonts w:hint="eastAsia" w:ascii="Times New Roman" w:hAnsi="Times New Roman" w:eastAsia="仿宋_GB2312"/>
          <w:sz w:val="32"/>
          <w:szCs w:val="32"/>
        </w:rPr>
        <w:t>分别占比</w:t>
      </w:r>
      <w:r>
        <w:rPr>
          <w:rFonts w:ascii="Times New Roman" w:hAnsi="Times New Roman" w:eastAsia="仿宋_GB2312"/>
          <w:sz w:val="32"/>
          <w:szCs w:val="32"/>
        </w:rPr>
        <w:t>13.8%</w:t>
      </w:r>
      <w:r>
        <w:rPr>
          <w:rFonts w:hint="eastAsia" w:ascii="Times New Roman" w:hAnsi="Times New Roman" w:eastAsia="仿宋_GB2312"/>
          <w:sz w:val="32"/>
          <w:szCs w:val="32"/>
        </w:rPr>
        <w:t>和</w:t>
      </w:r>
      <w:r>
        <w:rPr>
          <w:rFonts w:ascii="Times New Roman" w:hAnsi="Times New Roman" w:eastAsia="仿宋_GB2312"/>
          <w:sz w:val="32"/>
          <w:szCs w:val="32"/>
        </w:rPr>
        <w:t>4.4%。</w:t>
      </w:r>
      <w:r>
        <w:rPr>
          <w:rFonts w:hint="eastAsia" w:ascii="Times New Roman" w:hAnsi="Times New Roman" w:eastAsia="仿宋_GB2312"/>
          <w:sz w:val="32"/>
          <w:szCs w:val="32"/>
        </w:rPr>
        <w:t>境内</w:t>
      </w:r>
      <w:r>
        <w:rPr>
          <w:rFonts w:ascii="Times New Roman" w:hAnsi="Times New Roman" w:eastAsia="仿宋_GB2312"/>
          <w:sz w:val="32"/>
          <w:szCs w:val="32"/>
        </w:rPr>
        <w:t>流域面积在50平方公里以上的河流有100条，较大的河流有黄河、洛河、伊河、瀍河、涧河，以及淮河流域的北汝河、长江流域的老灌河、白河等。</w:t>
      </w:r>
    </w:p>
    <w:p>
      <w:pPr>
        <w:keepNext w:val="0"/>
        <w:keepLines w:val="0"/>
        <w:pageBreakBefore w:val="0"/>
        <w:kinsoku/>
        <w:wordWrap/>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全市多年平均水资源量27.4756亿立方米，人均占有量不足400立方米。2024年洛阳市地表水资源量为20.86亿m³, 地下水资源量为14.37亿m³</w:t>
      </w:r>
      <w:r>
        <w:rPr>
          <w:rFonts w:hint="eastAsia" w:ascii="Times New Roman" w:hAnsi="Times New Roman" w:eastAsia="仿宋_GB2312"/>
          <w:sz w:val="32"/>
          <w:szCs w:val="32"/>
        </w:rPr>
        <w:t>，</w:t>
      </w:r>
      <w:r>
        <w:rPr>
          <w:rFonts w:ascii="Times New Roman" w:hAnsi="Times New Roman" w:eastAsia="仿宋_GB2312"/>
          <w:sz w:val="32"/>
          <w:szCs w:val="32"/>
        </w:rPr>
        <w:t>扣除地表水和地下水之间的重复量12.34亿m³</w:t>
      </w:r>
      <w:r>
        <w:rPr>
          <w:rFonts w:hint="eastAsia" w:ascii="Times New Roman" w:hAnsi="Times New Roman" w:eastAsia="仿宋_GB2312"/>
          <w:sz w:val="32"/>
          <w:szCs w:val="32"/>
        </w:rPr>
        <w:t>，</w:t>
      </w:r>
      <w:r>
        <w:rPr>
          <w:rFonts w:ascii="Times New Roman" w:hAnsi="Times New Roman" w:eastAsia="仿宋_GB2312"/>
          <w:sz w:val="32"/>
          <w:szCs w:val="32"/>
        </w:rPr>
        <w:t>水资源总量为22.89亿m³，比多年平均值27.48亿m³减少了16.7%。</w:t>
      </w:r>
    </w:p>
    <w:p>
      <w:pPr>
        <w:keepNext w:val="0"/>
        <w:keepLines w:val="0"/>
        <w:pageBreakBefore w:val="0"/>
        <w:kinsoku/>
        <w:wordWrap/>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2024年全市实际总供用水量约11.5666亿立方米（其中地表水6.1271亿立方米、地下水4.6623亿立方米、非常规水利用量0.7772亿立方米），低于省控目标值16.768亿立方米31.0%；2024年全市万元GDP用水量为19.9立方米，低于省定目标值25.3立方米21.3%；2024年全市万元工业增加值用水量为9.8立方米，低于省定目标值22.9立方米57.2%。</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（六）</w:t>
      </w:r>
      <w:r>
        <w:rPr>
          <w:rFonts w:ascii="Times New Roman" w:hAnsi="Times New Roman" w:eastAsia="华文楷体"/>
          <w:kern w:val="0"/>
          <w:sz w:val="32"/>
          <w:szCs w:val="32"/>
        </w:rPr>
        <w:t>矿产资源</w:t>
      </w:r>
    </w:p>
    <w:p>
      <w:pPr>
        <w:keepNext w:val="0"/>
        <w:keepLines w:val="0"/>
        <w:pageBreakBefore w:val="0"/>
        <w:kinsoku/>
        <w:wordWrap/>
        <w:autoSpaceDE/>
        <w:autoSpaceDN/>
        <w:bidi w:val="0"/>
        <w:adjustRightInd/>
        <w:snapToGrid/>
        <w:spacing w:line="600" w:lineRule="exact"/>
        <w:ind w:firstLine="640"/>
        <w:textAlignment w:val="auto"/>
        <w:rPr>
          <w:rFonts w:ascii="Times New Roman" w:hAnsi="Times New Roman" w:eastAsia="仿宋_GB2312"/>
          <w:sz w:val="32"/>
          <w:szCs w:val="32"/>
        </w:rPr>
      </w:pPr>
      <w:r>
        <w:rPr>
          <w:rFonts w:ascii="Times New Roman" w:hAnsi="Times New Roman" w:eastAsia="仿宋_GB2312"/>
          <w:sz w:val="32"/>
          <w:szCs w:val="32"/>
        </w:rPr>
        <w:t>洛阳市地处华北陆块南缘，属华北陆块南缘金银多金属成矿带，是河南省乃至华北陆块最重要的矿集区，矿产资源比较丰富。全市已发现各类矿产106种（含亚矿种），探明储量的有41种，其中金属矿产21种、非金属矿产20种、能源矿产3种。</w:t>
      </w:r>
      <w:r>
        <w:rPr>
          <w:rFonts w:hint="eastAsia" w:ascii="Times New Roman" w:hAnsi="Times New Roman" w:eastAsia="仿宋_GB2312"/>
          <w:sz w:val="32"/>
          <w:szCs w:val="32"/>
        </w:rPr>
        <w:t>钼、金、煤、铝土、铅、锌、萤石为主要优势矿产，牡丹石、伊源玉、梅花玉为地方特色矿产。</w:t>
      </w:r>
    </w:p>
    <w:p>
      <w:pPr>
        <w:keepNext w:val="0"/>
        <w:keepLines w:val="0"/>
        <w:pageBreakBefore w:val="0"/>
        <w:kinsoku/>
        <w:wordWrap/>
        <w:autoSpaceDE/>
        <w:autoSpaceDN/>
        <w:bidi w:val="0"/>
        <w:adjustRightInd/>
        <w:snapToGrid/>
        <w:spacing w:line="600" w:lineRule="exact"/>
        <w:ind w:firstLine="640"/>
        <w:textAlignment w:val="auto"/>
        <w:rPr>
          <w:rFonts w:ascii="Times New Roman" w:hAnsi="Times New Roman" w:eastAsia="仿宋_GB2312"/>
          <w:sz w:val="32"/>
          <w:szCs w:val="32"/>
        </w:rPr>
      </w:pPr>
      <w:r>
        <w:rPr>
          <w:rFonts w:hint="eastAsia" w:ascii="Times New Roman" w:hAnsi="Times New Roman" w:eastAsia="仿宋_GB2312"/>
          <w:sz w:val="32"/>
          <w:szCs w:val="32"/>
        </w:rPr>
        <w:t>截止2024年年底，我市钼矿保有资源量566.14万吨，居全国第一，主要分布在栾川县、嵩县和汝阳县；金矿保有资源量389302.8千克，居全省第一，主要分布在嵩县、洛宁县；铅矿保有资源量416.89万吨，居全省第一，主要分布在栾川县、嵩县、洛宁和汝阳县；锌矿保有资源量309.58万吨，居全省第一，主要分布在栾川县、嵩县、洛宁和汝阳县；萤石保有资源量1568.3万吨，居全省第一，主要分布在栾川县、嵩县；铝土矿保有资源量32105.6万吨，居全省第二，主要分布在新安县和偃师区；煤矿保有资源量372100万吨，居全省第五，主要分布在偃师区、新安县、伊川县、宜阳县。</w:t>
      </w:r>
    </w:p>
    <w:p>
      <w:pPr>
        <w:keepNext w:val="0"/>
        <w:keepLines w:val="0"/>
        <w:pageBreakBefore w:val="0"/>
        <w:kinsoku/>
        <w:wordWrap/>
        <w:autoSpaceDE/>
        <w:autoSpaceDN/>
        <w:bidi w:val="0"/>
        <w:adjustRightInd/>
        <w:snapToGrid/>
        <w:spacing w:line="600" w:lineRule="exact"/>
        <w:ind w:firstLine="640"/>
        <w:textAlignment w:val="auto"/>
        <w:rPr>
          <w:rFonts w:ascii="Times New Roman" w:hAnsi="Times New Roman" w:eastAsia="仿宋_GB2312"/>
          <w:sz w:val="32"/>
          <w:szCs w:val="32"/>
        </w:rPr>
      </w:pPr>
      <w:r>
        <w:rPr>
          <w:rFonts w:hint="eastAsia" w:ascii="Times New Roman" w:hAnsi="Times New Roman" w:eastAsia="仿宋_GB2312"/>
          <w:sz w:val="32"/>
          <w:szCs w:val="32"/>
        </w:rPr>
        <w:t>矿产资源储量丰富，共伴生矿产多，适合开展综合利用。钼矿共伴生有钨矿、硫铁矿、铁矿等，铅锌矿共伴生有钼、金银等，铝土矿共伴生耐火黏土以及锂镓矿、稀土矿等均适合开展综合利用。</w:t>
      </w:r>
    </w:p>
    <w:p>
      <w:pPr>
        <w:keepNext w:val="0"/>
        <w:keepLines w:val="0"/>
        <w:pageBreakBefore w:val="0"/>
        <w:widowControl w:val="0"/>
        <w:kinsoku/>
        <w:wordWrap/>
        <w:autoSpaceDE/>
        <w:autoSpaceDN/>
        <w:bidi w:val="0"/>
        <w:adjustRightInd/>
        <w:snapToGrid/>
        <w:spacing w:line="600" w:lineRule="exact"/>
        <w:jc w:val="center"/>
        <w:textAlignment w:val="auto"/>
        <w:outlineLvl w:val="1"/>
        <w:rPr>
          <w:rFonts w:hint="eastAsia" w:ascii="Times New Roman" w:hAnsi="黑体" w:eastAsia="黑体"/>
          <w:bCs/>
          <w:sz w:val="32"/>
          <w:szCs w:val="32"/>
        </w:rPr>
      </w:pPr>
      <w:bookmarkStart w:id="16" w:name="_Toc7655"/>
      <w:bookmarkStart w:id="17" w:name="_Toc240990636"/>
      <w:bookmarkStart w:id="18" w:name="_Toc3704"/>
      <w:bookmarkStart w:id="19" w:name="_Toc6633"/>
      <w:bookmarkStart w:id="20" w:name="_Toc1146"/>
      <w:bookmarkStart w:id="21" w:name="_Toc11933"/>
      <w:bookmarkStart w:id="22" w:name="_Toc5233"/>
      <w:bookmarkStart w:id="23" w:name="_Toc8793"/>
      <w:r>
        <w:rPr>
          <w:rFonts w:hint="eastAsia" w:ascii="Times New Roman" w:hAnsi="Times New Roman" w:eastAsia="黑体"/>
          <w:bCs/>
          <w:sz w:val="32"/>
          <w:szCs w:val="32"/>
        </w:rPr>
        <w:t xml:space="preserve">第二节  </w:t>
      </w:r>
      <w:bookmarkEnd w:id="16"/>
      <w:r>
        <w:rPr>
          <w:rFonts w:ascii="Times New Roman" w:hAnsi="Times New Roman" w:eastAsia="黑体"/>
          <w:bCs/>
          <w:sz w:val="32"/>
          <w:szCs w:val="32"/>
        </w:rPr>
        <w:t>生态修复工作及成效</w:t>
      </w:r>
      <w:bookmarkEnd w:id="17"/>
    </w:p>
    <w:p>
      <w:pPr>
        <w:keepNext w:val="0"/>
        <w:keepLines w:val="0"/>
        <w:pageBreakBefore w:val="0"/>
        <w:kinsoku/>
        <w:wordWrap/>
        <w:autoSpaceDE/>
        <w:autoSpaceDN/>
        <w:bidi w:val="0"/>
        <w:adjustRightInd/>
        <w:snapToGrid/>
        <w:spacing w:line="600" w:lineRule="exact"/>
        <w:ind w:firstLine="640"/>
        <w:textAlignment w:val="auto"/>
        <w:rPr>
          <w:rFonts w:ascii="Times New Roman" w:hAnsi="Times New Roman" w:eastAsia="仿宋_GB2312"/>
          <w:kern w:val="0"/>
          <w:sz w:val="32"/>
          <w:szCs w:val="32"/>
        </w:rPr>
      </w:pPr>
      <w:r>
        <w:rPr>
          <w:rFonts w:ascii="Times New Roman" w:hAnsi="Times New Roman" w:eastAsia="仿宋_GB2312"/>
          <w:sz w:val="32"/>
          <w:szCs w:val="32"/>
        </w:rPr>
        <w:t>“十四五”时期，全市坚持以习近平生态文明思想为指引，全面贯彻党中央、国务院关于生态文明建设和国土空间生态修复的决策部署，统筹经济发展与生态保护，一体推进治山、治水、治林、治田、治矿，生态环境质量稳步改善，生态保护修复取得阶段性重大成果，为“十五五”时期纵深推进积累了经验、夯实了基础。</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一、生态系统质量稳步提升</w:t>
      </w:r>
    </w:p>
    <w:p>
      <w:pPr>
        <w:keepNext w:val="0"/>
        <w:keepLines w:val="0"/>
        <w:pageBreakBefore w:val="0"/>
        <w:widowControl w:val="0"/>
        <w:kinsoku/>
        <w:wordWrap/>
        <w:autoSpaceDE/>
        <w:autoSpaceDN/>
        <w:bidi w:val="0"/>
        <w:adjustRightInd/>
        <w:snapToGrid/>
        <w:spacing w:line="600" w:lineRule="exact"/>
        <w:ind w:firstLine="640" w:firstLineChars="200"/>
        <w:textAlignment w:val="auto"/>
        <w:rPr>
          <w:rFonts w:ascii="Times New Roman" w:hAnsi="Times New Roman" w:eastAsia="仿宋_GB2312"/>
          <w:kern w:val="0"/>
          <w:sz w:val="32"/>
          <w:szCs w:val="32"/>
        </w:rPr>
      </w:pPr>
      <w:r>
        <w:rPr>
          <w:rFonts w:ascii="Times New Roman" w:hAnsi="Times New Roman" w:eastAsia="仿宋_GB2312"/>
          <w:kern w:val="0"/>
          <w:sz w:val="32"/>
          <w:szCs w:val="32"/>
        </w:rPr>
        <w:t>全市科学划定生态保护红线，按照</w:t>
      </w:r>
      <w:r>
        <w:rPr>
          <w:rFonts w:hint="eastAsia" w:ascii="Times New Roman" w:hAnsi="Times New Roman" w:eastAsia="仿宋_GB2312"/>
          <w:kern w:val="0"/>
          <w:sz w:val="32"/>
          <w:szCs w:val="32"/>
        </w:rPr>
        <w:t>“</w:t>
      </w:r>
      <w:r>
        <w:rPr>
          <w:rFonts w:ascii="Times New Roman" w:hAnsi="Times New Roman" w:eastAsia="仿宋_GB2312"/>
          <w:kern w:val="0"/>
          <w:sz w:val="32"/>
          <w:szCs w:val="32"/>
        </w:rPr>
        <w:t>应划尽划、应保尽保</w:t>
      </w:r>
      <w:r>
        <w:rPr>
          <w:rFonts w:hint="eastAsia" w:ascii="Times New Roman" w:hAnsi="Times New Roman" w:eastAsia="仿宋_GB2312"/>
          <w:kern w:val="0"/>
          <w:sz w:val="32"/>
          <w:szCs w:val="32"/>
        </w:rPr>
        <w:t>”</w:t>
      </w:r>
      <w:r>
        <w:rPr>
          <w:rFonts w:ascii="Times New Roman" w:hAnsi="Times New Roman" w:eastAsia="仿宋_GB2312"/>
          <w:kern w:val="0"/>
          <w:sz w:val="32"/>
          <w:szCs w:val="32"/>
        </w:rPr>
        <w:t>要求，将生态功能极重要、生态极脆弱区域优先纳入生态保护红线严格管控，精准锚定重要生态空间保护边界，为筑牢生态安全屏障、实现生态空间严格管控夯实根基。</w:t>
      </w:r>
      <w:r>
        <w:rPr>
          <w:rFonts w:hint="eastAsia" w:ascii="Times New Roman" w:hAnsi="Times New Roman" w:eastAsia="仿宋_GB2312"/>
          <w:kern w:val="0"/>
          <w:sz w:val="32"/>
          <w:szCs w:val="32"/>
        </w:rPr>
        <w:t>全市划定生态保护红线1771.69平方公里，</w:t>
      </w:r>
      <w:r>
        <w:rPr>
          <w:rFonts w:ascii="Times New Roman" w:hAnsi="Times New Roman" w:eastAsia="仿宋_GB2312"/>
          <w:sz w:val="32"/>
        </w:rPr>
        <w:t>约占市域总面积的</w:t>
      </w:r>
      <w:r>
        <w:rPr>
          <w:rFonts w:hint="eastAsia" w:ascii="Times New Roman" w:hAnsi="Times New Roman" w:eastAsia="仿宋_GB2312"/>
          <w:kern w:val="0"/>
          <w:sz w:val="32"/>
          <w:szCs w:val="32"/>
        </w:rPr>
        <w:t>11.63%，</w:t>
      </w:r>
      <w:r>
        <w:rPr>
          <w:rFonts w:ascii="Times New Roman" w:hAnsi="Times New Roman" w:eastAsia="仿宋_GB2312"/>
          <w:kern w:val="0"/>
          <w:sz w:val="32"/>
          <w:szCs w:val="32"/>
        </w:rPr>
        <w:t>重要生态空间得到严格管控。全市林地、草地及全口径湿地资源总量稳步增长，森林覆盖率与森林蓄积量持续提升，</w:t>
      </w:r>
      <w:r>
        <w:rPr>
          <w:rFonts w:hint="eastAsia" w:ascii="Times New Roman" w:hAnsi="Times New Roman" w:eastAsia="仿宋_GB2312"/>
          <w:kern w:val="0"/>
          <w:sz w:val="32"/>
          <w:szCs w:val="32"/>
        </w:rPr>
        <w:t>全市林地面积1198.57万亩、森林覆盖率45.5%、森林蓄积量超</w:t>
      </w:r>
      <w:r>
        <w:rPr>
          <w:rFonts w:ascii="Times New Roman" w:hAnsi="Times New Roman" w:eastAsia="仿宋_GB2312"/>
          <w:kern w:val="0"/>
          <w:sz w:val="32"/>
          <w:szCs w:val="32"/>
        </w:rPr>
        <w:t>4590万</w:t>
      </w:r>
      <w:r>
        <w:rPr>
          <w:rFonts w:hint="eastAsia" w:ascii="Times New Roman" w:hAnsi="Times New Roman" w:eastAsia="仿宋_GB2312"/>
          <w:kern w:val="0"/>
          <w:sz w:val="32"/>
          <w:szCs w:val="32"/>
        </w:rPr>
        <w:t>立方米，草地面积47.28万亩，</w:t>
      </w:r>
      <w:r>
        <w:rPr>
          <w:rFonts w:ascii="Times New Roman" w:hAnsi="Times New Roman" w:eastAsia="仿宋_GB2312"/>
          <w:kern w:val="0"/>
          <w:sz w:val="32"/>
          <w:szCs w:val="32"/>
        </w:rPr>
        <w:t>生态承载力显著增强。</w:t>
      </w:r>
      <w:r>
        <w:rPr>
          <w:rFonts w:hint="eastAsia" w:ascii="Times New Roman" w:hAnsi="Times New Roman" w:eastAsia="仿宋_GB2312"/>
          <w:kern w:val="0"/>
          <w:sz w:val="32"/>
          <w:szCs w:val="32"/>
        </w:rPr>
        <w:t>全市现共</w:t>
      </w:r>
      <w:r>
        <w:rPr>
          <w:rFonts w:ascii="Times New Roman" w:hAnsi="Times New Roman" w:eastAsia="仿宋_GB2312"/>
          <w:kern w:val="0"/>
          <w:sz w:val="32"/>
          <w:szCs w:val="32"/>
        </w:rPr>
        <w:t>建成国家级、省级自然保护区、风景名胜区、地质公园、森林公园</w:t>
      </w:r>
      <w:r>
        <w:rPr>
          <w:rFonts w:hint="eastAsia" w:ascii="Times New Roman" w:hAnsi="Times New Roman" w:eastAsia="仿宋_GB2312"/>
          <w:kern w:val="0"/>
          <w:sz w:val="32"/>
          <w:szCs w:val="32"/>
        </w:rPr>
        <w:t>、</w:t>
      </w:r>
      <w:r>
        <w:rPr>
          <w:rFonts w:ascii="Times New Roman" w:hAnsi="Times New Roman" w:eastAsia="仿宋_GB2312"/>
          <w:kern w:val="0"/>
          <w:sz w:val="32"/>
          <w:szCs w:val="32"/>
        </w:rPr>
        <w:t>湿地公园等自然保护地</w:t>
      </w:r>
      <w:r>
        <w:rPr>
          <w:rFonts w:hint="eastAsia" w:ascii="Times New Roman" w:hAnsi="Times New Roman" w:eastAsia="仿宋_GB2312"/>
          <w:kern w:val="0"/>
          <w:sz w:val="32"/>
          <w:szCs w:val="32"/>
        </w:rPr>
        <w:t>共</w:t>
      </w:r>
      <w:r>
        <w:rPr>
          <w:rFonts w:ascii="Times New Roman" w:hAnsi="Times New Roman" w:eastAsia="仿宋_GB2312"/>
          <w:kern w:val="0"/>
          <w:sz w:val="32"/>
          <w:szCs w:val="32"/>
        </w:rPr>
        <w:t>42处，总面积约</w:t>
      </w:r>
      <w:r>
        <w:rPr>
          <w:rFonts w:hint="eastAsia" w:ascii="Times New Roman" w:hAnsi="Times New Roman" w:eastAsia="仿宋_GB2312"/>
          <w:kern w:val="0"/>
          <w:sz w:val="32"/>
          <w:szCs w:val="32"/>
        </w:rPr>
        <w:t>19.45</w:t>
      </w:r>
      <w:r>
        <w:rPr>
          <w:rFonts w:ascii="Times New Roman" w:hAnsi="Times New Roman" w:eastAsia="仿宋_GB2312"/>
          <w:kern w:val="0"/>
          <w:sz w:val="32"/>
          <w:szCs w:val="32"/>
        </w:rPr>
        <w:t>万公顷</w:t>
      </w:r>
      <w:r>
        <w:rPr>
          <w:rFonts w:hint="eastAsia" w:ascii="Times New Roman" w:hAnsi="Times New Roman" w:eastAsia="仿宋_GB2312"/>
          <w:kern w:val="0"/>
          <w:sz w:val="32"/>
          <w:szCs w:val="32"/>
        </w:rPr>
        <w:t>，</w:t>
      </w:r>
      <w:r>
        <w:rPr>
          <w:rFonts w:ascii="Times New Roman" w:hAnsi="Times New Roman" w:eastAsia="仿宋_GB2312"/>
          <w:kern w:val="0"/>
          <w:sz w:val="32"/>
          <w:szCs w:val="32"/>
        </w:rPr>
        <w:t>自然保护地面积占比</w:t>
      </w:r>
      <w:r>
        <w:rPr>
          <w:rFonts w:hint="eastAsia" w:ascii="Times New Roman" w:hAnsi="Times New Roman" w:eastAsia="仿宋_GB2312"/>
          <w:kern w:val="0"/>
          <w:sz w:val="32"/>
          <w:szCs w:val="32"/>
        </w:rPr>
        <w:t>达到12.77%</w:t>
      </w:r>
      <w:r>
        <w:rPr>
          <w:rFonts w:ascii="Times New Roman" w:hAnsi="Times New Roman" w:eastAsia="仿宋_GB2312"/>
          <w:kern w:val="0"/>
          <w:sz w:val="32"/>
          <w:szCs w:val="32"/>
        </w:rPr>
        <w:t>，涵盖伏牛山、熊耳山、黄河湿地等关键生态区位</w:t>
      </w:r>
      <w:r>
        <w:rPr>
          <w:rFonts w:hint="eastAsia" w:ascii="Times New Roman" w:hAnsi="Times New Roman" w:eastAsia="仿宋_GB2312"/>
          <w:kern w:val="0"/>
          <w:sz w:val="32"/>
          <w:szCs w:val="32"/>
        </w:rPr>
        <w:t>，</w:t>
      </w:r>
      <w:r>
        <w:rPr>
          <w:rFonts w:ascii="Times New Roman" w:hAnsi="Times New Roman" w:eastAsia="仿宋_GB2312"/>
          <w:kern w:val="0"/>
          <w:sz w:val="32"/>
          <w:szCs w:val="32"/>
        </w:rPr>
        <w:t>全方位守护生态系统完整性</w:t>
      </w:r>
      <w:r>
        <w:rPr>
          <w:rFonts w:hint="eastAsia" w:ascii="Times New Roman" w:hAnsi="Times New Roman" w:eastAsia="仿宋_GB2312"/>
          <w:kern w:val="0"/>
          <w:sz w:val="32"/>
          <w:szCs w:val="32"/>
        </w:rPr>
        <w:t>。</w:t>
      </w:r>
      <w:r>
        <w:rPr>
          <w:rFonts w:hint="eastAsia" w:ascii="仿宋_GB2312" w:hAnsi="仿宋_GB2312" w:eastAsia="仿宋_GB2312" w:cs="仿宋_GB2312"/>
          <w:sz w:val="32"/>
          <w:szCs w:val="32"/>
        </w:rPr>
        <w:t>全市拥有野生陆栖脊椎动物565种，其中国家一级25种、国家二级96种，占河南省的91.87%。全市有高等植物共3018种及变种，列入《国家重点保护野生植物名录》的有62种，其中国家一级重点保护野生植物9种，国家二级重点保护野生植物53种，全市</w:t>
      </w:r>
      <w:r>
        <w:rPr>
          <w:rFonts w:ascii="Times New Roman" w:hAnsi="Times New Roman" w:eastAsia="仿宋_GB2312"/>
          <w:kern w:val="0"/>
          <w:sz w:val="32"/>
          <w:szCs w:val="32"/>
        </w:rPr>
        <w:t>生物多样性保护水平不断跃升，生态系统稳定性与韧性持续巩固。</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二、林草湿地生态质量持续向优</w:t>
      </w:r>
    </w:p>
    <w:p>
      <w:pPr>
        <w:keepNext w:val="0"/>
        <w:keepLines w:val="0"/>
        <w:pageBreakBefore w:val="0"/>
        <w:widowControl w:val="0"/>
        <w:kinsoku/>
        <w:wordWrap/>
        <w:autoSpaceDE/>
        <w:autoSpaceDN/>
        <w:bidi w:val="0"/>
        <w:adjustRightInd/>
        <w:snapToGrid/>
        <w:spacing w:line="600" w:lineRule="exact"/>
        <w:ind w:firstLine="684" w:firstLineChars="200"/>
        <w:textAlignment w:val="auto"/>
        <w:rPr>
          <w:rFonts w:ascii="Times New Roman" w:hAnsi="Times New Roman" w:eastAsia="仿宋_GB2312"/>
          <w:sz w:val="32"/>
          <w:szCs w:val="32"/>
        </w:rPr>
      </w:pPr>
      <w:r>
        <w:rPr>
          <w:rFonts w:hint="eastAsia" w:ascii="仿宋_GB2312" w:hAnsi="仿宋_GB2312" w:eastAsia="仿宋_GB2312" w:cs="仿宋_GB2312"/>
          <w:spacing w:val="11"/>
          <w:sz w:val="32"/>
        </w:rPr>
        <w:t>“十四五”期间，我市坚持“规划见绿、见缝插绿、提质优绿、协力植绿”的总原则和“扩绿量、调结构、提质量、增效益”的总基调，以沿黄绿化、荒山困难地造林、森林乡村建设、森林质量提升等工程为抓手，统筹推进国土绿化行动，完成人工造林、封山育林、飞播造林、低效林改造77.8万亩</w:t>
      </w:r>
      <w:r>
        <w:rPr>
          <w:rFonts w:hint="eastAsia" w:ascii="Times New Roman" w:hAnsi="Times New Roman" w:eastAsia="仿宋_GB2312"/>
          <w:sz w:val="32"/>
          <w:szCs w:val="32"/>
        </w:rPr>
        <w:t>，</w:t>
      </w:r>
      <w:r>
        <w:rPr>
          <w:rFonts w:hint="eastAsia" w:ascii="仿宋_GB2312" w:hAnsi="仿宋_GB2312" w:eastAsia="仿宋_GB2312" w:cs="仿宋_GB2312"/>
          <w:spacing w:val="11"/>
          <w:sz w:val="32"/>
        </w:rPr>
        <w:t>实施中幼林抚育57万亩。为黄河流域生态保护和高质量发展厚植了生态底色。</w:t>
      </w:r>
      <w:r>
        <w:rPr>
          <w:rFonts w:ascii="Times New Roman" w:hAnsi="Times New Roman" w:eastAsia="仿宋_GB2312"/>
          <w:sz w:val="32"/>
          <w:szCs w:val="32"/>
        </w:rPr>
        <w:t>梯次推进森林特色小镇</w:t>
      </w:r>
      <w:r>
        <w:rPr>
          <w:rFonts w:hint="eastAsia" w:ascii="Times New Roman" w:hAnsi="Times New Roman" w:eastAsia="仿宋_GB2312"/>
          <w:sz w:val="32"/>
          <w:szCs w:val="32"/>
        </w:rPr>
        <w:t>、</w:t>
      </w:r>
      <w:r>
        <w:rPr>
          <w:rFonts w:ascii="Times New Roman" w:hAnsi="Times New Roman" w:eastAsia="仿宋_GB2312"/>
          <w:sz w:val="32"/>
          <w:szCs w:val="32"/>
        </w:rPr>
        <w:t>森林乡村创建，</w:t>
      </w:r>
      <w:r>
        <w:rPr>
          <w:rFonts w:hint="eastAsia" w:ascii="Times New Roman" w:hAnsi="Times New Roman" w:eastAsia="仿宋_GB2312"/>
          <w:sz w:val="32"/>
          <w:szCs w:val="32"/>
        </w:rPr>
        <w:t>全市共</w:t>
      </w:r>
      <w:r>
        <w:rPr>
          <w:rFonts w:hint="eastAsia" w:ascii="仿宋_GB2312" w:hAnsi="仿宋_GB2312" w:eastAsia="仿宋_GB2312" w:cs="仿宋_GB2312"/>
          <w:spacing w:val="11"/>
          <w:sz w:val="32"/>
        </w:rPr>
        <w:t>建成森林特色小镇36个、森林乡村435个，实施村庄绿化美化677个，</w:t>
      </w:r>
      <w:r>
        <w:rPr>
          <w:rFonts w:ascii="Times New Roman" w:hAnsi="Times New Roman" w:eastAsia="仿宋_GB2312"/>
          <w:sz w:val="32"/>
          <w:szCs w:val="32"/>
        </w:rPr>
        <w:t>森林城市建设成效显著</w:t>
      </w:r>
      <w:r>
        <w:rPr>
          <w:rFonts w:hint="eastAsia" w:ascii="Times New Roman" w:hAnsi="Times New Roman" w:eastAsia="仿宋_GB2312"/>
          <w:sz w:val="32"/>
          <w:szCs w:val="32"/>
        </w:rPr>
        <w:t>。</w:t>
      </w:r>
    </w:p>
    <w:p>
      <w:pPr>
        <w:keepNext w:val="0"/>
        <w:keepLines w:val="0"/>
        <w:pageBreakBefore w:val="0"/>
        <w:widowControl w:val="0"/>
        <w:kinsoku/>
        <w:wordWrap/>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同时我市</w:t>
      </w:r>
      <w:r>
        <w:rPr>
          <w:rFonts w:ascii="仿宋_GB2312" w:hAnsi="仿宋_GB2312" w:eastAsia="仿宋_GB2312" w:cs="仿宋_GB2312"/>
          <w:sz w:val="32"/>
          <w:szCs w:val="32"/>
        </w:rPr>
        <w:t>扎实开展湿地保护工作。</w:t>
      </w:r>
      <w:r>
        <w:rPr>
          <w:rFonts w:hint="eastAsia" w:ascii="仿宋_GB2312" w:hAnsi="仿宋_GB2312" w:eastAsia="仿宋_GB2312" w:cs="仿宋_GB2312"/>
          <w:sz w:val="32"/>
          <w:szCs w:val="32"/>
        </w:rPr>
        <w:t>“十四五”以来，先后实施河南黄河湿地国家级自然保护区孟津段生态修复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嵩县陆浑湖国家湿地公园、洛宁西子湖省级湿地公园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秦岭东段</w:t>
      </w:r>
      <w:r>
        <w:rPr>
          <w:rFonts w:hint="eastAsia" w:ascii="仿宋_GB2312" w:hAnsi="仿宋_GB2312" w:eastAsia="仿宋_GB2312" w:cs="仿宋_GB2312"/>
          <w:sz w:val="32"/>
          <w:szCs w:val="32"/>
          <w:lang w:eastAsia="zh-CN"/>
        </w:rPr>
        <w:t>洛河流域</w:t>
      </w:r>
      <w:r>
        <w:rPr>
          <w:rFonts w:hint="eastAsia" w:ascii="仿宋_GB2312" w:hAnsi="仿宋_GB2312" w:eastAsia="仿宋_GB2312" w:cs="仿宋_GB2312"/>
          <w:sz w:val="32"/>
          <w:szCs w:val="32"/>
        </w:rPr>
        <w:t>山水林田湖草沙</w:t>
      </w:r>
      <w:r>
        <w:rPr>
          <w:rFonts w:hint="eastAsia" w:ascii="仿宋_GB2312" w:hAnsi="仿宋_GB2312" w:eastAsia="仿宋_GB2312" w:cs="仿宋_GB2312"/>
          <w:sz w:val="32"/>
          <w:szCs w:val="32"/>
          <w:lang w:eastAsia="zh-CN"/>
        </w:rPr>
        <w:t>一体化保护和</w:t>
      </w:r>
      <w:r>
        <w:rPr>
          <w:rFonts w:hint="eastAsia" w:ascii="仿宋_GB2312" w:hAnsi="仿宋_GB2312" w:eastAsia="仿宋_GB2312" w:cs="仿宋_GB2312"/>
          <w:sz w:val="32"/>
          <w:szCs w:val="32"/>
        </w:rPr>
        <w:t>修复</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项目，栾川伊河、新安青河等积极开展省级湿地公园试点建设，宜阳洛河省级湿地公园</w:t>
      </w:r>
      <w:r>
        <w:rPr>
          <w:rFonts w:hint="eastAsia" w:ascii="仿宋_GB2312" w:hAnsi="仿宋_GB2312" w:eastAsia="仿宋_GB2312" w:cs="仿宋_GB2312"/>
          <w:sz w:val="32"/>
          <w:szCs w:val="32"/>
          <w:lang w:eastAsia="zh-CN"/>
        </w:rPr>
        <w:t>完成</w:t>
      </w:r>
      <w:r>
        <w:rPr>
          <w:rFonts w:hint="eastAsia" w:ascii="仿宋_GB2312" w:hAnsi="仿宋_GB2312" w:eastAsia="仿宋_GB2312" w:cs="仿宋_GB2312"/>
          <w:sz w:val="32"/>
          <w:szCs w:val="32"/>
        </w:rPr>
        <w:t>试点建设。通过实施湿地保护区、湿地公园湿地保护项目，我市湿地生物多样性得到维护，湿地生态功能得到提高。</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仿宋_GB2312" w:hAnsi="仿宋_GB2312" w:eastAsia="仿宋_GB2312" w:cs="仿宋_GB2312"/>
          <w:sz w:val="32"/>
          <w:szCs w:val="32"/>
        </w:rPr>
      </w:pPr>
      <w:r>
        <w:rPr>
          <w:rFonts w:hint="eastAsia" w:ascii="楷体" w:hAnsi="楷体" w:eastAsia="楷体"/>
          <w:bCs/>
          <w:sz w:val="32"/>
          <w:szCs w:val="32"/>
        </w:rPr>
        <w:t>三、水生态高质量发展奋步向前</w:t>
      </w:r>
    </w:p>
    <w:p>
      <w:pPr>
        <w:keepNext w:val="0"/>
        <w:keepLines w:val="0"/>
        <w:pageBreakBefore w:val="0"/>
        <w:widowControl w:val="0"/>
        <w:kinsoku/>
        <w:wordWrap/>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“十四五”期间，</w:t>
      </w:r>
      <w:r>
        <w:rPr>
          <w:rFonts w:hint="eastAsia" w:ascii="仿宋_GB2312" w:hAnsi="仿宋_GB2312" w:eastAsia="仿宋_GB2312" w:cs="仿宋_GB2312"/>
          <w:sz w:val="32"/>
          <w:szCs w:val="32"/>
        </w:rPr>
        <w:t>我</w:t>
      </w:r>
      <w:r>
        <w:rPr>
          <w:rFonts w:ascii="仿宋_GB2312" w:hAnsi="仿宋_GB2312" w:eastAsia="仿宋_GB2312" w:cs="仿宋_GB2312"/>
          <w:sz w:val="32"/>
          <w:szCs w:val="32"/>
        </w:rPr>
        <w:t>市深入贯彻黄河流域生态保护和高质量发展战略，践行“节水优先、空间均衡、系统治理、两手发力”治水思路，</w:t>
      </w:r>
      <w:r>
        <w:rPr>
          <w:rFonts w:hint="eastAsia" w:ascii="仿宋_GB2312" w:hAnsi="仿宋_GB2312" w:eastAsia="仿宋_GB2312" w:cs="仿宋_GB2312"/>
          <w:sz w:val="32"/>
          <w:szCs w:val="32"/>
        </w:rPr>
        <w:t>严格落实</w:t>
      </w:r>
      <w:r>
        <w:rPr>
          <w:rFonts w:ascii="仿宋_GB2312" w:hAnsi="仿宋_GB2312" w:eastAsia="仿宋_GB2312" w:cs="仿宋_GB2312"/>
          <w:sz w:val="32"/>
          <w:szCs w:val="32"/>
        </w:rPr>
        <w:t>“持久水安全、优质水资源、宜居水环境、健康水生态、先进水文化、科学水管理”标准</w:t>
      </w:r>
      <w:r>
        <w:rPr>
          <w:rFonts w:hint="eastAsia" w:ascii="仿宋_GB2312" w:hAnsi="仿宋_GB2312" w:eastAsia="仿宋_GB2312" w:cs="仿宋_GB2312"/>
          <w:sz w:val="32"/>
          <w:szCs w:val="32"/>
        </w:rPr>
        <w:t>，系统推进</w:t>
      </w:r>
      <w:r>
        <w:rPr>
          <w:rFonts w:ascii="仿宋_GB2312" w:hAnsi="仿宋_GB2312" w:eastAsia="仿宋_GB2312" w:cs="仿宋_GB2312"/>
          <w:sz w:val="32"/>
          <w:szCs w:val="32"/>
        </w:rPr>
        <w:t>水生态保护修复</w:t>
      </w:r>
      <w:r>
        <w:rPr>
          <w:rFonts w:hint="eastAsia" w:ascii="仿宋_GB2312" w:hAnsi="仿宋_GB2312" w:eastAsia="仿宋_GB2312" w:cs="仿宋_GB2312"/>
          <w:sz w:val="32"/>
          <w:szCs w:val="32"/>
        </w:rPr>
        <w:t>工作。我市</w:t>
      </w:r>
      <w:r>
        <w:rPr>
          <w:rFonts w:ascii="仿宋_GB2312" w:hAnsi="仿宋_GB2312" w:eastAsia="仿宋_GB2312" w:cs="仿宋_GB2312"/>
          <w:sz w:val="32"/>
          <w:szCs w:val="32"/>
        </w:rPr>
        <w:t>以自然河流水系为脉络</w:t>
      </w:r>
      <w:r>
        <w:rPr>
          <w:rFonts w:hint="eastAsia" w:ascii="仿宋_GB2312" w:hAnsi="仿宋_GB2312" w:eastAsia="仿宋_GB2312" w:cs="仿宋_GB2312"/>
          <w:sz w:val="32"/>
          <w:szCs w:val="32"/>
        </w:rPr>
        <w:t>，结合</w:t>
      </w:r>
      <w:r>
        <w:rPr>
          <w:rFonts w:ascii="仿宋_GB2312" w:hAnsi="仿宋_GB2312" w:eastAsia="仿宋_GB2312" w:cs="仿宋_GB2312"/>
          <w:sz w:val="32"/>
          <w:szCs w:val="32"/>
        </w:rPr>
        <w:t>小浪底南岸灌区、栾川明白河水库等一批重点工程全力构建现代水网体系，</w:t>
      </w:r>
      <w:r>
        <w:rPr>
          <w:rFonts w:hint="eastAsia" w:ascii="仿宋_GB2312" w:hAnsi="仿宋_GB2312" w:eastAsia="仿宋_GB2312" w:cs="仿宋_GB2312"/>
          <w:sz w:val="32"/>
          <w:szCs w:val="32"/>
        </w:rPr>
        <w:t>增强</w:t>
      </w:r>
      <w:r>
        <w:rPr>
          <w:rFonts w:ascii="仿宋_GB2312" w:hAnsi="仿宋_GB2312" w:eastAsia="仿宋_GB2312" w:cs="仿宋_GB2312"/>
          <w:sz w:val="32"/>
          <w:szCs w:val="32"/>
        </w:rPr>
        <w:t>水资源统筹调配能力</w:t>
      </w:r>
      <w:r>
        <w:rPr>
          <w:rFonts w:hint="eastAsia" w:ascii="仿宋_GB2312" w:hAnsi="仿宋_GB2312" w:eastAsia="仿宋_GB2312" w:cs="仿宋_GB2312"/>
          <w:sz w:val="32"/>
          <w:szCs w:val="32"/>
        </w:rPr>
        <w:t>。同时</w:t>
      </w:r>
      <w:r>
        <w:rPr>
          <w:rFonts w:ascii="仿宋_GB2312" w:hAnsi="仿宋_GB2312" w:eastAsia="仿宋_GB2312" w:cs="仿宋_GB2312"/>
          <w:sz w:val="32"/>
          <w:szCs w:val="32"/>
        </w:rPr>
        <w:t>压实河湖长制责任，</w:t>
      </w:r>
      <w:r>
        <w:rPr>
          <w:rFonts w:hint="eastAsia" w:ascii="仿宋_GB2312" w:hAnsi="仿宋_GB2312" w:eastAsia="仿宋_GB2312" w:cs="仿宋_GB2312"/>
          <w:sz w:val="32"/>
          <w:szCs w:val="32"/>
        </w:rPr>
        <w:t>推进</w:t>
      </w:r>
      <w:r>
        <w:rPr>
          <w:rFonts w:ascii="仿宋_GB2312" w:hAnsi="仿宋_GB2312" w:eastAsia="仿宋_GB2312" w:cs="仿宋_GB2312"/>
          <w:sz w:val="32"/>
          <w:szCs w:val="32"/>
        </w:rPr>
        <w:t>深化河湖</w:t>
      </w:r>
      <w:r>
        <w:rPr>
          <w:rFonts w:hint="eastAsia" w:ascii="仿宋_GB2312" w:hAnsi="仿宋_GB2312" w:eastAsia="仿宋_GB2312" w:cs="仿宋_GB2312"/>
          <w:sz w:val="32"/>
          <w:szCs w:val="32"/>
        </w:rPr>
        <w:t>库</w:t>
      </w:r>
      <w:r>
        <w:rPr>
          <w:rFonts w:ascii="仿宋_GB2312" w:hAnsi="仿宋_GB2312" w:eastAsia="仿宋_GB2312" w:cs="仿宋_GB2312"/>
          <w:sz w:val="32"/>
          <w:szCs w:val="32"/>
        </w:rPr>
        <w:t>“清四乱”行动常态化、规范化，</w:t>
      </w:r>
      <w:r>
        <w:rPr>
          <w:rFonts w:hint="eastAsia" w:ascii="仿宋_GB2312" w:hAnsi="仿宋_GB2312" w:eastAsia="仿宋_GB2312" w:cs="仿宋_GB2312"/>
          <w:sz w:val="32"/>
          <w:szCs w:val="32"/>
        </w:rPr>
        <w:t>解决突出问题3000余个，</w:t>
      </w:r>
      <w:r>
        <w:rPr>
          <w:rFonts w:ascii="仿宋_GB2312" w:hAnsi="仿宋_GB2312" w:eastAsia="仿宋_GB2312" w:cs="仿宋_GB2312"/>
          <w:sz w:val="32"/>
          <w:szCs w:val="32"/>
        </w:rPr>
        <w:t>科学推进水土流失综合防治，新增水土流失防治面积1135.67平方公里。统筹推进流域综合治理，全面推进幸福河湖建设，累计提升改造河段800.2公里、新增达标堤防395.2公里、新建人工湿地水质净化工程16个、新增河湖岸带植被92.1平方公里、新建滨水慢行道355.6公里，目前已建成1条国家级、1条流域级、5条省级、10条市级幸福河湖</w:t>
      </w:r>
      <w:r>
        <w:rPr>
          <w:rFonts w:hint="eastAsia" w:ascii="仿宋_GB2312" w:hAnsi="仿宋_GB2312" w:eastAsia="仿宋_GB2312" w:cs="仿宋_GB2312"/>
          <w:sz w:val="32"/>
          <w:szCs w:val="32"/>
        </w:rPr>
        <w:t>。</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四、水土流失治理</w:t>
      </w:r>
      <w:r>
        <w:rPr>
          <w:rFonts w:ascii="楷体" w:hAnsi="楷体" w:eastAsia="楷体"/>
          <w:bCs/>
          <w:sz w:val="32"/>
          <w:szCs w:val="32"/>
        </w:rPr>
        <w:t>量质齐升</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rPr>
          <w:rFonts w:ascii="Times New Roman" w:hAnsi="Times New Roman" w:eastAsia="仿宋_GB2312"/>
          <w:kern w:val="0"/>
          <w:sz w:val="32"/>
          <w:szCs w:val="32"/>
        </w:rPr>
      </w:pPr>
      <w:r>
        <w:rPr>
          <w:rFonts w:ascii="Times New Roman" w:hAnsi="Times New Roman" w:eastAsia="仿宋_GB2312"/>
          <w:kern w:val="0"/>
          <w:sz w:val="32"/>
          <w:szCs w:val="32"/>
        </w:rPr>
        <w:t>洛阳市地处豫西山区丘陵区，山区丘陵面积占全市国土面积的86.2%，水土流失分布广、防治任务重。我市坚持以小流域为单元、系统治理、综合施策，把水土保持作为筑牢生态安全屏障的重要抓手，</w:t>
      </w:r>
      <w:r>
        <w:rPr>
          <w:rFonts w:hint="eastAsia" w:ascii="Times New Roman" w:hAnsi="Times New Roman" w:eastAsia="仿宋_GB2312"/>
          <w:kern w:val="0"/>
          <w:sz w:val="32"/>
          <w:szCs w:val="32"/>
        </w:rPr>
        <w:t>“</w:t>
      </w:r>
      <w:r>
        <w:rPr>
          <w:rFonts w:ascii="Times New Roman" w:hAnsi="Times New Roman" w:eastAsia="仿宋_GB2312"/>
          <w:kern w:val="0"/>
          <w:sz w:val="32"/>
          <w:szCs w:val="32"/>
        </w:rPr>
        <w:t>十四五</w:t>
      </w:r>
      <w:r>
        <w:rPr>
          <w:rFonts w:hint="eastAsia" w:ascii="Times New Roman" w:hAnsi="Times New Roman" w:eastAsia="仿宋_GB2312"/>
          <w:kern w:val="0"/>
          <w:sz w:val="32"/>
          <w:szCs w:val="32"/>
        </w:rPr>
        <w:t>”</w:t>
      </w:r>
      <w:r>
        <w:rPr>
          <w:rFonts w:ascii="Times New Roman" w:hAnsi="Times New Roman" w:eastAsia="仿宋_GB2312"/>
          <w:kern w:val="0"/>
          <w:sz w:val="32"/>
          <w:szCs w:val="32"/>
        </w:rPr>
        <w:t>以来累计落实省级以上水土保持资金</w:t>
      </w:r>
      <w:r>
        <w:rPr>
          <w:rFonts w:hint="eastAsia" w:ascii="Times New Roman" w:hAnsi="Times New Roman" w:eastAsia="仿宋_GB2312"/>
          <w:kern w:val="0"/>
          <w:sz w:val="32"/>
          <w:szCs w:val="32"/>
        </w:rPr>
        <w:t>5.29</w:t>
      </w:r>
      <w:r>
        <w:rPr>
          <w:rFonts w:ascii="Times New Roman" w:hAnsi="Times New Roman" w:eastAsia="仿宋_GB2312"/>
          <w:kern w:val="0"/>
          <w:sz w:val="32"/>
          <w:szCs w:val="32"/>
        </w:rPr>
        <w:t>亿元，</w:t>
      </w:r>
      <w:r>
        <w:rPr>
          <w:rFonts w:hint="eastAsia" w:ascii="Times New Roman" w:hAnsi="Times New Roman" w:eastAsia="仿宋_GB2312"/>
          <w:kern w:val="0"/>
          <w:sz w:val="32"/>
          <w:szCs w:val="32"/>
        </w:rPr>
        <w:t>完成</w:t>
      </w:r>
      <w:r>
        <w:rPr>
          <w:rFonts w:ascii="Times New Roman" w:hAnsi="Times New Roman" w:eastAsia="仿宋_GB2312"/>
          <w:kern w:val="0"/>
          <w:sz w:val="32"/>
          <w:szCs w:val="32"/>
        </w:rPr>
        <w:t>新增水土流失治理面积</w:t>
      </w:r>
      <w:r>
        <w:rPr>
          <w:rFonts w:hint="eastAsia" w:ascii="Times New Roman" w:hAnsi="Times New Roman" w:eastAsia="仿宋_GB2312"/>
          <w:kern w:val="0"/>
          <w:sz w:val="32"/>
          <w:szCs w:val="32"/>
        </w:rPr>
        <w:t>466.80</w:t>
      </w:r>
      <w:r>
        <w:rPr>
          <w:rFonts w:ascii="Times New Roman" w:hAnsi="Times New Roman" w:eastAsia="仿宋_GB2312"/>
          <w:kern w:val="0"/>
          <w:sz w:val="32"/>
          <w:szCs w:val="32"/>
        </w:rPr>
        <w:t>平方公里，实施小流域水土流失综合治理</w:t>
      </w:r>
      <w:r>
        <w:rPr>
          <w:rFonts w:hint="eastAsia" w:ascii="Times New Roman" w:hAnsi="Times New Roman" w:eastAsia="仿宋_GB2312"/>
          <w:kern w:val="0"/>
          <w:sz w:val="32"/>
          <w:szCs w:val="32"/>
        </w:rPr>
        <w:t>365.60</w:t>
      </w:r>
      <w:r>
        <w:rPr>
          <w:rFonts w:ascii="Times New Roman" w:hAnsi="Times New Roman" w:eastAsia="仿宋_GB2312"/>
          <w:kern w:val="0"/>
          <w:sz w:val="32"/>
          <w:szCs w:val="32"/>
        </w:rPr>
        <w:t>平方公里、坡耕地</w:t>
      </w:r>
      <w:r>
        <w:rPr>
          <w:rFonts w:hint="eastAsia" w:ascii="Times New Roman" w:hAnsi="Times New Roman" w:eastAsia="仿宋_GB2312"/>
          <w:kern w:val="0"/>
          <w:sz w:val="32"/>
          <w:szCs w:val="32"/>
        </w:rPr>
        <w:t>水土流失</w:t>
      </w:r>
      <w:r>
        <w:rPr>
          <w:rFonts w:ascii="Times New Roman" w:hAnsi="Times New Roman" w:eastAsia="仿宋_GB2312"/>
          <w:kern w:val="0"/>
          <w:sz w:val="32"/>
          <w:szCs w:val="32"/>
        </w:rPr>
        <w:t>综合治理</w:t>
      </w:r>
      <w:r>
        <w:rPr>
          <w:rFonts w:hint="eastAsia" w:ascii="Times New Roman" w:hAnsi="Times New Roman" w:eastAsia="仿宋_GB2312"/>
          <w:kern w:val="0"/>
          <w:sz w:val="32"/>
          <w:szCs w:val="32"/>
        </w:rPr>
        <w:t>15.18</w:t>
      </w:r>
      <w:r>
        <w:rPr>
          <w:rFonts w:ascii="Times New Roman" w:hAnsi="Times New Roman" w:eastAsia="仿宋_GB2312"/>
          <w:kern w:val="0"/>
          <w:sz w:val="32"/>
          <w:szCs w:val="32"/>
        </w:rPr>
        <w:t>万亩</w:t>
      </w:r>
      <w:r>
        <w:rPr>
          <w:rFonts w:hint="eastAsia" w:ascii="Times New Roman" w:hAnsi="Times New Roman" w:eastAsia="仿宋_GB2312"/>
          <w:kern w:val="0"/>
          <w:sz w:val="32"/>
          <w:szCs w:val="32"/>
        </w:rPr>
        <w:t>。</w:t>
      </w:r>
      <w:r>
        <w:rPr>
          <w:rFonts w:ascii="Times New Roman" w:hAnsi="Times New Roman" w:eastAsia="仿宋_GB2312"/>
          <w:kern w:val="0"/>
          <w:sz w:val="32"/>
          <w:szCs w:val="32"/>
        </w:rPr>
        <w:t>全市水土流失面积和强度实现</w:t>
      </w:r>
      <w:r>
        <w:rPr>
          <w:rFonts w:hint="eastAsia" w:ascii="Times New Roman" w:hAnsi="Times New Roman" w:eastAsia="仿宋_GB2312"/>
          <w:kern w:val="0"/>
          <w:sz w:val="32"/>
          <w:szCs w:val="32"/>
        </w:rPr>
        <w:t>“</w:t>
      </w:r>
      <w:r>
        <w:rPr>
          <w:rFonts w:ascii="Times New Roman" w:hAnsi="Times New Roman" w:eastAsia="仿宋_GB2312"/>
          <w:kern w:val="0"/>
          <w:sz w:val="32"/>
          <w:szCs w:val="32"/>
        </w:rPr>
        <w:t>双下降</w:t>
      </w:r>
      <w:r>
        <w:rPr>
          <w:rFonts w:hint="eastAsia" w:ascii="Times New Roman" w:hAnsi="Times New Roman" w:eastAsia="仿宋_GB2312"/>
          <w:kern w:val="0"/>
          <w:sz w:val="32"/>
          <w:szCs w:val="32"/>
        </w:rPr>
        <w:t>”</w:t>
      </w:r>
      <w:r>
        <w:rPr>
          <w:rFonts w:ascii="Times New Roman" w:hAnsi="Times New Roman" w:eastAsia="仿宋_GB2312"/>
          <w:kern w:val="0"/>
          <w:sz w:val="32"/>
          <w:szCs w:val="32"/>
        </w:rPr>
        <w:t>，</w:t>
      </w:r>
      <w:r>
        <w:rPr>
          <w:rFonts w:hint="eastAsia" w:ascii="Times New Roman" w:hAnsi="Times New Roman" w:eastAsia="仿宋_GB2312"/>
          <w:kern w:val="0"/>
          <w:sz w:val="32"/>
          <w:szCs w:val="32"/>
        </w:rPr>
        <w:t>水土流失面积减少至4464平方千米，水土保持率上升至71.19%</w:t>
      </w:r>
      <w:r>
        <w:rPr>
          <w:rFonts w:ascii="Times New Roman" w:hAnsi="Times New Roman" w:eastAsia="仿宋_GB2312"/>
          <w:kern w:val="0"/>
          <w:sz w:val="32"/>
          <w:szCs w:val="32"/>
        </w:rPr>
        <w:t>，成功创建全国首个</w:t>
      </w:r>
      <w:r>
        <w:rPr>
          <w:rFonts w:hint="eastAsia" w:ascii="Times New Roman" w:hAnsi="Times New Roman" w:eastAsia="仿宋_GB2312"/>
          <w:kern w:val="0"/>
          <w:sz w:val="32"/>
          <w:szCs w:val="32"/>
        </w:rPr>
        <w:t>“</w:t>
      </w:r>
      <w:r>
        <w:rPr>
          <w:rFonts w:ascii="Times New Roman" w:hAnsi="Times New Roman" w:eastAsia="仿宋_GB2312"/>
          <w:kern w:val="0"/>
          <w:sz w:val="32"/>
          <w:szCs w:val="32"/>
        </w:rPr>
        <w:t>国家水土保持生态文明城市</w:t>
      </w:r>
      <w:r>
        <w:rPr>
          <w:rFonts w:hint="eastAsia" w:ascii="Times New Roman" w:hAnsi="Times New Roman" w:eastAsia="仿宋_GB2312"/>
          <w:kern w:val="0"/>
          <w:sz w:val="32"/>
          <w:szCs w:val="32"/>
        </w:rPr>
        <w:t>”。</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五、矿山生态修复综合治理成效斐然</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rPr>
          <w:rFonts w:ascii="Times New Roman" w:hAnsi="Times New Roman" w:eastAsia="仿宋_GB2312"/>
          <w:sz w:val="32"/>
          <w:szCs w:val="32"/>
        </w:rPr>
      </w:pPr>
      <w:r>
        <w:rPr>
          <w:rFonts w:ascii="Times New Roman" w:hAnsi="Times New Roman" w:eastAsia="仿宋_GB2312"/>
          <w:sz w:val="32"/>
          <w:szCs w:val="32"/>
        </w:rPr>
        <w:t>洛阳市是全省矿产资源大市，钼、金、煤、铝等矿产富集，矿山生态保护修复任务繁重。我市坚持</w:t>
      </w:r>
      <w:r>
        <w:rPr>
          <w:rFonts w:hint="eastAsia" w:ascii="Times New Roman" w:hAnsi="Times New Roman" w:eastAsia="仿宋_GB2312"/>
          <w:sz w:val="32"/>
          <w:szCs w:val="32"/>
        </w:rPr>
        <w:t>“</w:t>
      </w:r>
      <w:r>
        <w:rPr>
          <w:rFonts w:ascii="Times New Roman" w:hAnsi="Times New Roman" w:eastAsia="仿宋_GB2312"/>
          <w:sz w:val="32"/>
          <w:szCs w:val="32"/>
        </w:rPr>
        <w:t>边开采、边治理、边修复</w:t>
      </w:r>
      <w:r>
        <w:rPr>
          <w:rFonts w:hint="eastAsia" w:ascii="Times New Roman" w:hAnsi="Times New Roman" w:eastAsia="仿宋_GB2312"/>
          <w:sz w:val="32"/>
          <w:szCs w:val="32"/>
        </w:rPr>
        <w:t>”</w:t>
      </w:r>
      <w:r>
        <w:rPr>
          <w:rFonts w:ascii="Times New Roman" w:hAnsi="Times New Roman" w:eastAsia="仿宋_GB2312"/>
          <w:sz w:val="32"/>
          <w:szCs w:val="32"/>
        </w:rPr>
        <w:t>，统筹推进历史遗留矿山治理、在产矿山监管和绿色矿山建设，矿区生态环境持续改善。深入开展历史遗留矿山排查整治，</w:t>
      </w:r>
      <w:r>
        <w:rPr>
          <w:rFonts w:hint="eastAsia" w:ascii="Times New Roman" w:hAnsi="Times New Roman" w:eastAsia="仿宋_GB2312"/>
          <w:sz w:val="32"/>
          <w:szCs w:val="32"/>
        </w:rPr>
        <w:t>完成669座历史遗留矿山生态破坏与污染状况调查评价，</w:t>
      </w:r>
      <w:r>
        <w:rPr>
          <w:rFonts w:ascii="Times New Roman" w:hAnsi="Times New Roman" w:eastAsia="仿宋_GB2312"/>
          <w:sz w:val="32"/>
          <w:szCs w:val="32"/>
        </w:rPr>
        <w:t>接续实施露天矿山三年整治、</w:t>
      </w:r>
      <w:r>
        <w:rPr>
          <w:rFonts w:hint="eastAsia" w:ascii="Times New Roman" w:hAnsi="Times New Roman" w:eastAsia="仿宋_GB2312"/>
          <w:sz w:val="32"/>
          <w:szCs w:val="32"/>
        </w:rPr>
        <w:t>“</w:t>
      </w:r>
      <w:r>
        <w:rPr>
          <w:rFonts w:ascii="Times New Roman" w:hAnsi="Times New Roman" w:eastAsia="仿宋_GB2312"/>
          <w:sz w:val="32"/>
          <w:szCs w:val="32"/>
        </w:rPr>
        <w:t>三山</w:t>
      </w:r>
      <w:r>
        <w:rPr>
          <w:rFonts w:hint="eastAsia" w:ascii="Times New Roman" w:hAnsi="Times New Roman" w:eastAsia="仿宋_GB2312"/>
          <w:sz w:val="32"/>
          <w:szCs w:val="32"/>
        </w:rPr>
        <w:t>”</w:t>
      </w:r>
      <w:r>
        <w:rPr>
          <w:rFonts w:ascii="Times New Roman" w:hAnsi="Times New Roman" w:eastAsia="仿宋_GB2312"/>
          <w:sz w:val="32"/>
          <w:szCs w:val="32"/>
        </w:rPr>
        <w:t>整治攻坚行动等专项行动，累计完成历史遗留矿山生态修复</w:t>
      </w:r>
      <w:r>
        <w:rPr>
          <w:rFonts w:hint="eastAsia" w:ascii="Times New Roman" w:hAnsi="Times New Roman" w:eastAsia="仿宋_GB2312"/>
          <w:sz w:val="32"/>
          <w:szCs w:val="32"/>
        </w:rPr>
        <w:t>2.85万</w:t>
      </w:r>
      <w:r>
        <w:rPr>
          <w:rFonts w:ascii="Times New Roman" w:hAnsi="Times New Roman" w:eastAsia="仿宋_GB2312"/>
          <w:sz w:val="32"/>
          <w:szCs w:val="32"/>
        </w:rPr>
        <w:t>亩，</w:t>
      </w:r>
      <w:r>
        <w:rPr>
          <w:rFonts w:hint="eastAsia" w:ascii="Times New Roman" w:hAnsi="Times New Roman" w:eastAsia="仿宋_GB2312"/>
          <w:sz w:val="32"/>
          <w:szCs w:val="32"/>
        </w:rPr>
        <w:t>圆满</w:t>
      </w:r>
      <w:r>
        <w:rPr>
          <w:rFonts w:ascii="Times New Roman" w:hAnsi="Times New Roman" w:eastAsia="仿宋_GB2312"/>
          <w:sz w:val="32"/>
          <w:szCs w:val="32"/>
        </w:rPr>
        <w:t>完成</w:t>
      </w:r>
      <w:r>
        <w:rPr>
          <w:rFonts w:hint="eastAsia" w:ascii="Times New Roman" w:hAnsi="Times New Roman" w:eastAsia="仿宋_GB2312"/>
          <w:sz w:val="32"/>
          <w:szCs w:val="32"/>
        </w:rPr>
        <w:t>省</w:t>
      </w:r>
      <w:r>
        <w:rPr>
          <w:rFonts w:hint="eastAsia" w:ascii="Times New Roman" w:hAnsi="Times New Roman" w:eastAsia="仿宋_GB2312"/>
          <w:sz w:val="32"/>
          <w:szCs w:val="32"/>
          <w:lang w:eastAsia="zh-CN"/>
        </w:rPr>
        <w:t>自然资源</w:t>
      </w:r>
      <w:r>
        <w:rPr>
          <w:rFonts w:hint="eastAsia" w:ascii="Times New Roman" w:hAnsi="Times New Roman" w:eastAsia="仿宋_GB2312"/>
          <w:sz w:val="32"/>
          <w:szCs w:val="32"/>
        </w:rPr>
        <w:t>厅</w:t>
      </w:r>
      <w:r>
        <w:rPr>
          <w:rFonts w:ascii="Times New Roman" w:hAnsi="Times New Roman" w:eastAsia="仿宋_GB2312"/>
          <w:sz w:val="32"/>
          <w:szCs w:val="32"/>
        </w:rPr>
        <w:t>下达的</w:t>
      </w:r>
      <w:r>
        <w:rPr>
          <w:rFonts w:hint="eastAsia" w:ascii="Times New Roman" w:hAnsi="Times New Roman" w:eastAsia="仿宋_GB2312"/>
          <w:sz w:val="32"/>
          <w:szCs w:val="32"/>
        </w:rPr>
        <w:t>“</w:t>
      </w:r>
      <w:r>
        <w:rPr>
          <w:rFonts w:ascii="Times New Roman" w:hAnsi="Times New Roman" w:eastAsia="仿宋_GB2312"/>
          <w:sz w:val="32"/>
          <w:szCs w:val="32"/>
        </w:rPr>
        <w:t>十四五</w:t>
      </w:r>
      <w:r>
        <w:rPr>
          <w:rFonts w:hint="eastAsia" w:ascii="Times New Roman" w:hAnsi="Times New Roman" w:eastAsia="仿宋_GB2312"/>
          <w:sz w:val="32"/>
          <w:szCs w:val="32"/>
        </w:rPr>
        <w:t>”</w:t>
      </w:r>
      <w:r>
        <w:rPr>
          <w:rFonts w:ascii="Times New Roman" w:hAnsi="Times New Roman" w:eastAsia="仿宋_GB2312"/>
          <w:sz w:val="32"/>
          <w:szCs w:val="32"/>
        </w:rPr>
        <w:t>历史遗留废弃矿山</w:t>
      </w:r>
      <w:r>
        <w:rPr>
          <w:rFonts w:hint="eastAsia" w:ascii="Times New Roman" w:hAnsi="Times New Roman" w:eastAsia="仿宋_GB2312"/>
          <w:sz w:val="32"/>
          <w:szCs w:val="32"/>
        </w:rPr>
        <w:t>1.34万亩治理任务。</w:t>
      </w:r>
      <w:r>
        <w:rPr>
          <w:rFonts w:ascii="Times New Roman" w:hAnsi="Times New Roman" w:eastAsia="仿宋_GB2312"/>
          <w:sz w:val="32"/>
          <w:szCs w:val="32"/>
        </w:rPr>
        <w:t>强化在产矿山日常监管，实行常态化巡查和动态监测，</w:t>
      </w:r>
      <w:r>
        <w:rPr>
          <w:rFonts w:hint="eastAsia" w:ascii="Times New Roman" w:hAnsi="Times New Roman" w:eastAsia="仿宋_GB2312"/>
          <w:sz w:val="32"/>
          <w:szCs w:val="32"/>
          <w:lang w:eastAsia="zh-CN"/>
        </w:rPr>
        <w:t>深入开展</w:t>
      </w:r>
      <w:r>
        <w:rPr>
          <w:rFonts w:ascii="Times New Roman" w:hAnsi="Times New Roman" w:eastAsia="仿宋_GB2312"/>
          <w:sz w:val="32"/>
          <w:szCs w:val="32"/>
        </w:rPr>
        <w:t>有主矿山生态修复排查</w:t>
      </w:r>
      <w:r>
        <w:rPr>
          <w:rFonts w:hint="eastAsia" w:ascii="Times New Roman" w:hAnsi="Times New Roman" w:eastAsia="仿宋_GB2312"/>
          <w:sz w:val="32"/>
          <w:szCs w:val="32"/>
          <w:lang w:eastAsia="zh-CN"/>
        </w:rPr>
        <w:t>整治</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压实矿山企业生态修复主体责任</w:t>
      </w:r>
      <w:r>
        <w:rPr>
          <w:rFonts w:ascii="Times New Roman" w:hAnsi="Times New Roman" w:eastAsia="仿宋_GB2312"/>
          <w:sz w:val="32"/>
          <w:szCs w:val="32"/>
        </w:rPr>
        <w:t>。加快推进绿色矿山建设，坚持新建、扩建矿山按绿色矿山标准建设，全市</w:t>
      </w:r>
      <w:r>
        <w:rPr>
          <w:rFonts w:hint="eastAsia" w:ascii="Times New Roman" w:hAnsi="Times New Roman" w:eastAsia="仿宋_GB2312"/>
          <w:sz w:val="32"/>
          <w:szCs w:val="32"/>
        </w:rPr>
        <w:t>共建成</w:t>
      </w:r>
      <w:r>
        <w:rPr>
          <w:rFonts w:ascii="Times New Roman" w:hAnsi="Times New Roman" w:eastAsia="仿宋_GB2312"/>
          <w:sz w:val="32"/>
          <w:szCs w:val="32"/>
        </w:rPr>
        <w:t>省级</w:t>
      </w:r>
      <w:r>
        <w:rPr>
          <w:rFonts w:hint="eastAsia" w:ascii="Times New Roman" w:hAnsi="Times New Roman" w:eastAsia="仿宋_GB2312"/>
          <w:sz w:val="32"/>
          <w:szCs w:val="32"/>
        </w:rPr>
        <w:t>及以上</w:t>
      </w:r>
      <w:r>
        <w:rPr>
          <w:rFonts w:ascii="Times New Roman" w:hAnsi="Times New Roman" w:eastAsia="仿宋_GB2312"/>
          <w:sz w:val="32"/>
          <w:szCs w:val="32"/>
        </w:rPr>
        <w:t>绿色矿山</w:t>
      </w:r>
      <w:r>
        <w:rPr>
          <w:rFonts w:hint="eastAsia" w:ascii="Times New Roman" w:hAnsi="Times New Roman" w:eastAsia="仿宋_GB2312"/>
          <w:sz w:val="32"/>
          <w:szCs w:val="32"/>
        </w:rPr>
        <w:t>49</w:t>
      </w:r>
      <w:r>
        <w:rPr>
          <w:rFonts w:ascii="Times New Roman" w:hAnsi="Times New Roman" w:eastAsia="仿宋_GB2312"/>
          <w:sz w:val="32"/>
          <w:szCs w:val="32"/>
        </w:rPr>
        <w:t>家、数量稳居全省</w:t>
      </w:r>
      <w:r>
        <w:rPr>
          <w:rFonts w:hint="eastAsia" w:ascii="Times New Roman" w:hAnsi="Times New Roman" w:eastAsia="仿宋_GB2312"/>
          <w:sz w:val="32"/>
          <w:szCs w:val="32"/>
        </w:rPr>
        <w:t>前列。</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六、城乡人居环境品质提升</w:t>
      </w:r>
    </w:p>
    <w:p>
      <w:pPr>
        <w:keepNext w:val="0"/>
        <w:keepLines w:val="0"/>
        <w:pageBreakBefore w:val="0"/>
        <w:kinsoku/>
        <w:wordWrap/>
        <w:autoSpaceDE/>
        <w:autoSpaceDN/>
        <w:bidi w:val="0"/>
        <w:adjustRightInd/>
        <w:snapToGrid/>
        <w:spacing w:line="600" w:lineRule="exact"/>
        <w:ind w:firstLine="640" w:firstLineChars="200"/>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rPr>
        <w:t>洛阳市坚持人民城市理念，统筹推进城市提质与乡村建设，城乡人居环境品质持续提升。深入实施城市园林绿化提升行动，坚持“规划建绿、见缝插绿、提质优绿、协力植绿”，构建“300米见绿、500米见园”的城市游园体系，“十四五”以来建成</w:t>
      </w:r>
      <w:r>
        <w:rPr>
          <w:rFonts w:ascii="Times New Roman" w:hAnsi="Times New Roman" w:eastAsia="仿宋_GB2312"/>
          <w:kern w:val="0"/>
          <w:sz w:val="32"/>
          <w:szCs w:val="32"/>
        </w:rPr>
        <w:t>城市区综合公园26个、专类公园17个，</w:t>
      </w:r>
      <w:r>
        <w:rPr>
          <w:rFonts w:hint="eastAsia" w:ascii="Times New Roman" w:hAnsi="Times New Roman" w:eastAsia="仿宋_GB2312"/>
          <w:kern w:val="0"/>
          <w:sz w:val="32"/>
          <w:szCs w:val="32"/>
        </w:rPr>
        <w:t>小游园388处、城市乐道750公顷，截止</w:t>
      </w:r>
      <w:r>
        <w:rPr>
          <w:rFonts w:ascii="Times New Roman" w:hAnsi="Times New Roman" w:eastAsia="仿宋_GB2312"/>
          <w:kern w:val="0"/>
          <w:sz w:val="32"/>
          <w:szCs w:val="32"/>
        </w:rPr>
        <w:t>目前建成区绿地面积达11717公顷，人均公园绿地面积达</w:t>
      </w:r>
      <w:r>
        <w:rPr>
          <w:rFonts w:hint="eastAsia" w:ascii="Times New Roman" w:hAnsi="Times New Roman" w:eastAsia="仿宋_GB2312"/>
          <w:kern w:val="0"/>
          <w:sz w:val="32"/>
          <w:szCs w:val="32"/>
        </w:rPr>
        <w:t>17.44</w:t>
      </w:r>
      <w:r>
        <w:rPr>
          <w:rFonts w:ascii="Times New Roman" w:hAnsi="Times New Roman" w:eastAsia="仿宋_GB2312"/>
          <w:kern w:val="0"/>
          <w:sz w:val="32"/>
          <w:szCs w:val="32"/>
        </w:rPr>
        <w:t>平方米，绿地率达39.35%，绿化覆盖率达44.99%，绿化道路普及率达95%</w:t>
      </w:r>
      <w:r>
        <w:rPr>
          <w:rFonts w:hint="eastAsia" w:ascii="Times New Roman" w:hAnsi="Times New Roman" w:eastAsia="仿宋_GB2312"/>
          <w:kern w:val="0"/>
          <w:sz w:val="32"/>
          <w:szCs w:val="32"/>
        </w:rPr>
        <w:t>，连续荣膺国家园林城市称号，“北国花城”特色日益彰显。扎实推进城市水环境治理，统筹实施“四河五渠”综合治理，坚持“控源截污、内源治理、疏浚活水、生态修复、长效管理”，截污治污、水系连通、黑臭水体治理等工程全域实施，城市区黑臭水体实现动态清零，常态化监管机制不断健全，河畅水清、岸绿景美的城市水环境加快形成。学习运用“千万工程”经验，分类推进宜居宜业和美乡村建设，按照“五大振兴”标准统筹乡村发展，常态化开展“治理六乱、开展六清”行动，建成和美村94个、富美村123个，农村生活污水处理率居全省前列，乡村面貌焕然一新。</w:t>
      </w:r>
    </w:p>
    <w:p>
      <w:pPr>
        <w:keepNext w:val="0"/>
        <w:keepLines w:val="0"/>
        <w:pageBreakBefore w:val="0"/>
        <w:widowControl w:val="0"/>
        <w:kinsoku/>
        <w:wordWrap/>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24" w:name="_Toc240990637"/>
      <w:r>
        <w:rPr>
          <w:rFonts w:hint="eastAsia" w:ascii="Times New Roman" w:hAnsi="Times New Roman" w:eastAsia="黑体"/>
          <w:bCs/>
          <w:sz w:val="32"/>
          <w:szCs w:val="32"/>
        </w:rPr>
        <w:t>第三节  机遇与挑战</w:t>
      </w:r>
      <w:bookmarkEnd w:id="24"/>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十五五</w:t>
      </w:r>
      <w:r>
        <w:rPr>
          <w:rFonts w:hint="eastAsia" w:ascii="Times New Roman" w:hAnsi="Times New Roman" w:eastAsia="仿宋_GB2312"/>
          <w:sz w:val="32"/>
          <w:szCs w:val="32"/>
        </w:rPr>
        <w:t>”</w:t>
      </w:r>
      <w:r>
        <w:rPr>
          <w:rFonts w:ascii="Times New Roman" w:hAnsi="Times New Roman" w:eastAsia="仿宋_GB2312"/>
          <w:sz w:val="32"/>
          <w:szCs w:val="32"/>
        </w:rPr>
        <w:t>时期是基本实现社会主义现代化夯基垒台、积厚成势的关键时期，也是洛阳建强中原城市群副中心城市、加快现代化洛阳建设的重要窗口期，</w:t>
      </w:r>
      <w:r>
        <w:rPr>
          <w:rFonts w:hint="eastAsia" w:ascii="Times New Roman" w:hAnsi="Times New Roman" w:eastAsia="仿宋_GB2312"/>
          <w:sz w:val="32"/>
          <w:szCs w:val="32"/>
          <w:lang w:eastAsia="zh-CN"/>
        </w:rPr>
        <w:t>这</w:t>
      </w:r>
      <w:r>
        <w:rPr>
          <w:rFonts w:ascii="Times New Roman" w:hAnsi="Times New Roman" w:eastAsia="仿宋_GB2312"/>
          <w:sz w:val="32"/>
          <w:szCs w:val="32"/>
        </w:rPr>
        <w:t>对全市国土空间生态修复工作提出了更高要求。</w:t>
      </w:r>
      <w:r>
        <w:rPr>
          <w:rFonts w:hint="eastAsia" w:ascii="Times New Roman" w:hAnsi="Times New Roman" w:eastAsia="仿宋_GB2312"/>
          <w:sz w:val="32"/>
          <w:szCs w:val="32"/>
          <w:lang w:eastAsia="zh-CN"/>
        </w:rPr>
        <w:t>为</w:t>
      </w:r>
      <w:r>
        <w:rPr>
          <w:rFonts w:ascii="Times New Roman" w:hAnsi="Times New Roman" w:eastAsia="仿宋_GB2312"/>
          <w:sz w:val="32"/>
          <w:szCs w:val="32"/>
        </w:rPr>
        <w:t>深入贯彻习近平总书记视察河南提出的</w:t>
      </w:r>
      <w:r>
        <w:rPr>
          <w:rFonts w:hint="eastAsia" w:ascii="Times New Roman" w:hAnsi="Times New Roman" w:eastAsia="仿宋_GB2312"/>
          <w:sz w:val="32"/>
          <w:szCs w:val="32"/>
        </w:rPr>
        <w:t>“</w:t>
      </w:r>
      <w:r>
        <w:rPr>
          <w:rFonts w:ascii="Times New Roman" w:hAnsi="Times New Roman" w:eastAsia="仿宋_GB2312"/>
          <w:sz w:val="32"/>
          <w:szCs w:val="32"/>
        </w:rPr>
        <w:t>两高四着力</w:t>
      </w:r>
      <w:r>
        <w:rPr>
          <w:rFonts w:hint="eastAsia" w:ascii="Times New Roman" w:hAnsi="Times New Roman" w:eastAsia="仿宋_GB2312"/>
          <w:sz w:val="32"/>
          <w:szCs w:val="32"/>
        </w:rPr>
        <w:t>”</w:t>
      </w:r>
      <w:r>
        <w:rPr>
          <w:rFonts w:ascii="Times New Roman" w:hAnsi="Times New Roman" w:eastAsia="仿宋_GB2312"/>
          <w:sz w:val="32"/>
          <w:szCs w:val="32"/>
        </w:rPr>
        <w:t>重大要求，全面落实省委省政府决策部署，</w:t>
      </w:r>
      <w:r>
        <w:rPr>
          <w:rFonts w:hint="eastAsia" w:ascii="Times New Roman" w:hAnsi="Times New Roman" w:eastAsia="仿宋_GB2312"/>
          <w:sz w:val="32"/>
          <w:szCs w:val="32"/>
        </w:rPr>
        <w:t>“</w:t>
      </w:r>
      <w:r>
        <w:rPr>
          <w:rFonts w:ascii="Times New Roman" w:hAnsi="Times New Roman" w:eastAsia="仿宋_GB2312"/>
          <w:sz w:val="32"/>
          <w:szCs w:val="32"/>
        </w:rPr>
        <w:t>十五五</w:t>
      </w:r>
      <w:r>
        <w:rPr>
          <w:rFonts w:hint="eastAsia" w:ascii="Times New Roman" w:hAnsi="Times New Roman" w:eastAsia="仿宋_GB2312"/>
          <w:sz w:val="32"/>
          <w:szCs w:val="32"/>
        </w:rPr>
        <w:t>”</w:t>
      </w:r>
      <w:r>
        <w:rPr>
          <w:rFonts w:ascii="Times New Roman" w:hAnsi="Times New Roman" w:eastAsia="仿宋_GB2312"/>
          <w:sz w:val="32"/>
          <w:szCs w:val="32"/>
        </w:rPr>
        <w:t>时期我市国土空间生态修复要立足黄河流域重要节点城市、中原城市群副中心城市定位，坚持山水林田湖草沙一体化保护和系统治理，统筹实施重点区域生态保护修复工程，构建安全、协调、可持续的国土空间生态安全格局，为黄河流域生态保护和高质量发展、中部地区加快崛起提供坚实生态保障，在服务全国全省发展大局中彰显洛阳担当。</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一、新时代生态文明建设</w:t>
      </w:r>
      <w:r>
        <w:rPr>
          <w:rFonts w:ascii="楷体" w:hAnsi="楷体" w:eastAsia="楷体"/>
          <w:bCs/>
          <w:sz w:val="32"/>
          <w:szCs w:val="32"/>
        </w:rPr>
        <w:t>赋予生态修复新的使命</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rPr>
          <w:rFonts w:ascii="Times New Roman" w:hAnsi="Times New Roman" w:eastAsia="仿宋_GB2312"/>
          <w:kern w:val="0"/>
          <w:sz w:val="32"/>
          <w:szCs w:val="32"/>
        </w:rPr>
      </w:pPr>
      <w:r>
        <w:rPr>
          <w:rFonts w:ascii="Times New Roman" w:hAnsi="Times New Roman" w:eastAsia="仿宋_GB2312"/>
          <w:kern w:val="0"/>
          <w:sz w:val="32"/>
          <w:szCs w:val="32"/>
        </w:rPr>
        <w:t>党的二十大对推进美丽中国建设作出战略部署，强调牢固树立和践行</w:t>
      </w:r>
      <w:r>
        <w:rPr>
          <w:rFonts w:hint="eastAsia" w:ascii="Times New Roman" w:hAnsi="Times New Roman" w:eastAsia="仿宋_GB2312"/>
          <w:kern w:val="0"/>
          <w:sz w:val="32"/>
          <w:szCs w:val="32"/>
          <w:lang w:eastAsia="zh-CN"/>
        </w:rPr>
        <w:t>“</w:t>
      </w:r>
      <w:r>
        <w:rPr>
          <w:rFonts w:ascii="Times New Roman" w:hAnsi="Times New Roman" w:eastAsia="仿宋_GB2312"/>
          <w:kern w:val="0"/>
          <w:sz w:val="32"/>
          <w:szCs w:val="32"/>
        </w:rPr>
        <w:t>绿水青山就是金山银山</w:t>
      </w:r>
      <w:r>
        <w:rPr>
          <w:rFonts w:hint="eastAsia" w:ascii="Times New Roman" w:hAnsi="Times New Roman" w:eastAsia="仿宋_GB2312"/>
          <w:kern w:val="0"/>
          <w:sz w:val="32"/>
          <w:szCs w:val="32"/>
          <w:lang w:eastAsia="zh-CN"/>
        </w:rPr>
        <w:t>”</w:t>
      </w:r>
      <w:r>
        <w:rPr>
          <w:rFonts w:ascii="Times New Roman" w:hAnsi="Times New Roman" w:eastAsia="仿宋_GB2312"/>
          <w:kern w:val="0"/>
          <w:sz w:val="32"/>
          <w:szCs w:val="32"/>
        </w:rPr>
        <w:t>理念，站在人与自然和谐共生的高度谋划发展。党的二十届四中全会进一步明确加快经济社会发展全面绿色转型、建设美丽中国的目标要求。2025年</w:t>
      </w:r>
      <w:r>
        <w:rPr>
          <w:rFonts w:hint="eastAsia" w:ascii="Times New Roman" w:hAnsi="Times New Roman" w:eastAsia="仿宋_GB2312"/>
          <w:kern w:val="0"/>
          <w:sz w:val="32"/>
          <w:szCs w:val="32"/>
        </w:rPr>
        <w:t>5</w:t>
      </w:r>
      <w:r>
        <w:rPr>
          <w:rFonts w:ascii="Times New Roman" w:hAnsi="Times New Roman" w:eastAsia="仿宋_GB2312"/>
          <w:kern w:val="0"/>
          <w:sz w:val="32"/>
          <w:szCs w:val="32"/>
        </w:rPr>
        <w:t>月，习近平总书记在河南考察时，明确要求着力加强生态环境保护。这一系列重大部署和重要指示，深刻阐明了新时代生态保护修复的方位和路径，为我市做好生态修复工作提供了根本遵循。抓实抓好国土空间生态修复，既是落实党中央决策部署的应有之义，也是厚植洛阳高质量发展绿色底色、建设美丽洛阳的基础工程和关键环节。</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bookmarkStart w:id="25" w:name="_Toc4976"/>
      <w:bookmarkStart w:id="26" w:name="_Toc7774"/>
      <w:bookmarkStart w:id="27" w:name="_Toc18423"/>
      <w:bookmarkStart w:id="28" w:name="_Toc11624"/>
      <w:r>
        <w:rPr>
          <w:rFonts w:hint="eastAsia" w:ascii="楷体" w:hAnsi="楷体" w:eastAsia="楷体"/>
          <w:bCs/>
          <w:sz w:val="32"/>
          <w:szCs w:val="32"/>
        </w:rPr>
        <w:t>二、</w:t>
      </w:r>
      <w:r>
        <w:rPr>
          <w:rFonts w:ascii="楷体" w:hAnsi="楷体" w:eastAsia="楷体"/>
          <w:bCs/>
          <w:sz w:val="32"/>
          <w:szCs w:val="32"/>
        </w:rPr>
        <w:t>黄河国家战略机遇推动生态修复提质增效</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rPr>
          <w:rFonts w:ascii="Times New Roman" w:hAnsi="Times New Roman" w:eastAsia="仿宋_GB2312"/>
          <w:sz w:val="32"/>
          <w:szCs w:val="32"/>
        </w:rPr>
      </w:pPr>
      <w:r>
        <w:rPr>
          <w:rFonts w:ascii="Times New Roman" w:hAnsi="Times New Roman" w:eastAsia="仿宋_GB2312"/>
          <w:sz w:val="32"/>
          <w:szCs w:val="32"/>
        </w:rPr>
        <w:t>洛阳市地处黄河中游、南依伏牛山，黄河干流自西向东流经市域北部，是黄河流域生态保护和高质量发展重大国家战略的重要节点城市。我市深入落实《黄河流域生态保护和高质量发展规划纲要》，统筹推进黄河洛阳段保护治理和沿黄生态廊道建设，接续实施山水林田湖草沙一体化保护和修复等重大工程，不断提升流域生态质量和人居环境品质。坚持山水林田湖草沙一体化保护和系统治理，以自然恢复为主、自然恢复与人工修复相结合，统筹推进黄河湿地、伊洛河流域等重要生态系统保护修复，加快形成上下游联动、干支流统筹、左右岸协调的生态保护格局，在黄河流域生态保护和高质量发展中展现更大担当、作出更多贡献。</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三、洛阳生态定位推动生态修复提质增效</w:t>
      </w:r>
    </w:p>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习近平总书记在河南考察时明确要求，持续强化重点流域生态保护治理，深入打好污染防治攻坚战，切实筑牢生态安全屏障，为洛阳推进美丽洛阳建设提供了科学指引和行动纲领。省委十一届十次全会进一步部署，以</w:t>
      </w:r>
      <w:r>
        <w:rPr>
          <w:rFonts w:hint="eastAsia" w:ascii="Times New Roman" w:hAnsi="Times New Roman" w:eastAsia="仿宋_GB2312"/>
          <w:sz w:val="32"/>
          <w:szCs w:val="32"/>
        </w:rPr>
        <w:t>“</w:t>
      </w:r>
      <w:r>
        <w:rPr>
          <w:rFonts w:ascii="Times New Roman" w:hAnsi="Times New Roman" w:eastAsia="仿宋_GB2312"/>
          <w:sz w:val="32"/>
          <w:szCs w:val="32"/>
        </w:rPr>
        <w:t>双碳</w:t>
      </w:r>
      <w:r>
        <w:rPr>
          <w:rFonts w:hint="eastAsia" w:ascii="Times New Roman" w:hAnsi="Times New Roman" w:eastAsia="仿宋_GB2312"/>
          <w:sz w:val="32"/>
          <w:szCs w:val="32"/>
        </w:rPr>
        <w:t>”</w:t>
      </w:r>
      <w:r>
        <w:rPr>
          <w:rFonts w:ascii="Times New Roman" w:hAnsi="Times New Roman" w:eastAsia="仿宋_GB2312"/>
          <w:sz w:val="32"/>
          <w:szCs w:val="32"/>
        </w:rPr>
        <w:t>目标为牵引推动全面绿色转型，加快推进美丽河南建设。洛阳地处黄河中下游交界地带，横跨黄河、淮河、长江三大水系，是黄河流域重要节点城市和豫西生态安全屏障的核心区域，生态功能地位十分突出。贯彻中央和省委决策部署，洛阳需要立足</w:t>
      </w:r>
      <w:r>
        <w:rPr>
          <w:rFonts w:hint="eastAsia" w:ascii="Times New Roman" w:hAnsi="Times New Roman" w:eastAsia="仿宋_GB2312"/>
          <w:sz w:val="32"/>
          <w:szCs w:val="32"/>
        </w:rPr>
        <w:t>“</w:t>
      </w:r>
      <w:r>
        <w:rPr>
          <w:rFonts w:ascii="Times New Roman" w:hAnsi="Times New Roman" w:eastAsia="仿宋_GB2312"/>
          <w:sz w:val="32"/>
          <w:szCs w:val="32"/>
        </w:rPr>
        <w:t>四区、四廊、一带、多</w:t>
      </w:r>
      <w:r>
        <w:rPr>
          <w:rFonts w:hint="eastAsia" w:ascii="Times New Roman" w:hAnsi="Times New Roman" w:eastAsia="仿宋_GB2312"/>
          <w:sz w:val="32"/>
          <w:szCs w:val="32"/>
        </w:rPr>
        <w:t>斑块</w:t>
      </w:r>
      <w:r>
        <w:rPr>
          <w:rFonts w:ascii="Times New Roman" w:hAnsi="Times New Roman" w:eastAsia="仿宋_GB2312"/>
          <w:sz w:val="32"/>
          <w:szCs w:val="32"/>
        </w:rPr>
        <w:t>、多网络</w:t>
      </w:r>
      <w:r>
        <w:rPr>
          <w:rFonts w:hint="eastAsia" w:ascii="Times New Roman" w:hAnsi="Times New Roman" w:eastAsia="仿宋_GB2312"/>
          <w:sz w:val="32"/>
          <w:szCs w:val="32"/>
        </w:rPr>
        <w:t>”</w:t>
      </w:r>
      <w:r>
        <w:rPr>
          <w:rFonts w:ascii="Times New Roman" w:hAnsi="Times New Roman" w:eastAsia="仿宋_GB2312"/>
          <w:sz w:val="32"/>
          <w:szCs w:val="32"/>
        </w:rPr>
        <w:t>的国土空间生态修复总体格局，统筹推进黄河阶地平原区、伊洛河谷平原区、黄土丘陵浅山区和南部山地涵养区的差异化保护与修复；着力抓好历史遗留矿山综合治理，持续推进黄土丘陵区水土流失防治，巩固拓展伊洛河百公里生态廊道建设成效，深入实施</w:t>
      </w:r>
      <w:r>
        <w:rPr>
          <w:rFonts w:hint="eastAsia" w:ascii="Times New Roman" w:hAnsi="Times New Roman" w:eastAsia="仿宋_GB2312"/>
          <w:sz w:val="32"/>
          <w:szCs w:val="32"/>
        </w:rPr>
        <w:t>“</w:t>
      </w:r>
      <w:r>
        <w:rPr>
          <w:rFonts w:ascii="Times New Roman" w:hAnsi="Times New Roman" w:eastAsia="仿宋_GB2312"/>
          <w:sz w:val="32"/>
          <w:szCs w:val="32"/>
        </w:rPr>
        <w:t>净水入黄河</w:t>
      </w:r>
      <w:r>
        <w:rPr>
          <w:rFonts w:hint="eastAsia" w:ascii="Times New Roman" w:hAnsi="Times New Roman" w:eastAsia="仿宋_GB2312"/>
          <w:sz w:val="32"/>
          <w:szCs w:val="32"/>
        </w:rPr>
        <w:t>”</w:t>
      </w:r>
      <w:r>
        <w:rPr>
          <w:rFonts w:ascii="Times New Roman" w:hAnsi="Times New Roman" w:eastAsia="仿宋_GB2312"/>
          <w:sz w:val="32"/>
          <w:szCs w:val="32"/>
        </w:rPr>
        <w:t>工程，扎实推进黄河滩区综合治理与湿地保护修复，加强伏牛山、熊耳山等重点区域生态治理和生物多样性保护监管；积极探索林业碳汇等生态产品价值实现路径，推动生态优势向发展优势转化，努力把河洛大地的生态底色擦得更亮，把绿色发展的根基夯得更实，为谱写人与自然和谐共生的现代化河南篇章贡献洛阳力量。</w:t>
      </w:r>
    </w:p>
    <w:p>
      <w:pPr>
        <w:keepNext w:val="0"/>
        <w:keepLines w:val="0"/>
        <w:pageBreakBefore w:val="0"/>
        <w:widowControl w:val="0"/>
        <w:kinsoku/>
        <w:wordWrap/>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四、</w:t>
      </w:r>
      <w:r>
        <w:rPr>
          <w:rFonts w:ascii="楷体" w:hAnsi="楷体" w:eastAsia="楷体"/>
          <w:bCs/>
          <w:sz w:val="32"/>
          <w:szCs w:val="32"/>
        </w:rPr>
        <w:t>双碳战略催生生态修复新机遇</w:t>
      </w:r>
    </w:p>
    <w:p>
      <w:pPr>
        <w:keepNext w:val="0"/>
        <w:keepLines w:val="0"/>
        <w:pageBreakBefore w:val="0"/>
        <w:widowControl w:val="0"/>
        <w:kinsoku/>
        <w:wordWrap/>
        <w:autoSpaceDE/>
        <w:autoSpaceDN/>
        <w:bidi w:val="0"/>
        <w:adjustRightInd/>
        <w:snapToGrid/>
        <w:spacing w:line="600" w:lineRule="exact"/>
        <w:ind w:firstLine="640" w:firstLineChars="200"/>
        <w:contextualSpacing/>
        <w:textAlignment w:val="auto"/>
        <w:rPr>
          <w:rFonts w:ascii="Times New Roman" w:hAnsi="Times New Roman" w:eastAsia="仿宋_GB2312"/>
          <w:sz w:val="32"/>
          <w:szCs w:val="32"/>
        </w:rPr>
      </w:pPr>
      <w:r>
        <w:rPr>
          <w:rFonts w:ascii="Times New Roman" w:hAnsi="Times New Roman" w:eastAsia="仿宋_GB2312"/>
          <w:sz w:val="32"/>
          <w:szCs w:val="32"/>
        </w:rPr>
        <w:t>实现碳达峰碳中和，是党中央作出的重大战略决策，也为洛阳生态修复工作提供了重要牵引。我市坚持高位统筹、规划引领，抢抓国家减污降碳协同创新试点城市建设机遇，加快构建以国家公园为主体的自然保护地体系，科学实施山水林田湖草沙一体化保护修复，统筹推进历史遗留矿山生态修复、水土流失综合治理和国土绿化行动，加强生态廊道建设和生物多样性保护，不断增强森林、湿地等生态系统碳汇功能，提升固碳增汇能力。通过</w:t>
      </w:r>
      <w:r>
        <w:rPr>
          <w:rFonts w:hint="eastAsia" w:ascii="Times New Roman" w:hAnsi="Times New Roman" w:eastAsia="仿宋_GB2312"/>
          <w:sz w:val="32"/>
          <w:szCs w:val="32"/>
        </w:rPr>
        <w:t>“</w:t>
      </w:r>
      <w:r>
        <w:rPr>
          <w:rFonts w:ascii="Times New Roman" w:hAnsi="Times New Roman" w:eastAsia="仿宋_GB2312"/>
          <w:sz w:val="32"/>
          <w:szCs w:val="32"/>
        </w:rPr>
        <w:t>增汇、减排、协同、创新</w:t>
      </w:r>
      <w:r>
        <w:rPr>
          <w:rFonts w:hint="eastAsia" w:ascii="Times New Roman" w:hAnsi="Times New Roman" w:eastAsia="仿宋_GB2312"/>
          <w:sz w:val="32"/>
          <w:szCs w:val="32"/>
        </w:rPr>
        <w:t>”</w:t>
      </w:r>
      <w:r>
        <w:rPr>
          <w:rFonts w:ascii="Times New Roman" w:hAnsi="Times New Roman" w:eastAsia="仿宋_GB2312"/>
          <w:sz w:val="32"/>
          <w:szCs w:val="32"/>
        </w:rPr>
        <w:t>路径协同发力，为全市国土空间生态修复注入新动能，促进生态效益与经济社会效益互促共进、相得益彰。</w:t>
      </w:r>
    </w:p>
    <w:bookmarkEnd w:id="18"/>
    <w:bookmarkEnd w:id="19"/>
    <w:bookmarkEnd w:id="20"/>
    <w:bookmarkEnd w:id="21"/>
    <w:bookmarkEnd w:id="25"/>
    <w:bookmarkEnd w:id="26"/>
    <w:bookmarkEnd w:id="27"/>
    <w:bookmarkEnd w:id="28"/>
    <w:p>
      <w:pPr>
        <w:pageBreakBefore/>
        <w:widowControl w:val="0"/>
        <w:spacing w:before="156" w:beforeLines="50" w:after="156" w:afterLines="50"/>
        <w:jc w:val="center"/>
        <w:outlineLvl w:val="0"/>
        <w:rPr>
          <w:rFonts w:hint="eastAsia" w:ascii="方正小标宋简体" w:hAnsi="方正小标宋简体" w:eastAsia="方正小标宋简体" w:cs="方正小标宋简体"/>
          <w:bCs/>
          <w:sz w:val="36"/>
          <w:szCs w:val="36"/>
        </w:rPr>
      </w:pPr>
      <w:bookmarkStart w:id="29" w:name="_Toc240990638"/>
      <w:bookmarkStart w:id="30" w:name="_Toc31668"/>
      <w:r>
        <w:rPr>
          <w:rFonts w:hint="eastAsia" w:ascii="方正小标宋简体" w:hAnsi="方正小标宋简体" w:eastAsia="方正小标宋简体" w:cs="方正小标宋简体"/>
          <w:bCs/>
          <w:sz w:val="36"/>
          <w:szCs w:val="36"/>
        </w:rPr>
        <w:t>第二章  问题与评价</w:t>
      </w:r>
      <w:bookmarkEnd w:id="29"/>
    </w:p>
    <w:p>
      <w:pPr>
        <w:keepNext w:val="0"/>
        <w:keepLines w:val="0"/>
        <w:pageBreakBefore w:val="0"/>
        <w:kinsoku/>
        <w:wordWrap/>
        <w:overflowPunct/>
        <w:topLinePunct w:val="0"/>
        <w:autoSpaceDE/>
        <w:autoSpaceDN/>
        <w:bidi w:val="0"/>
        <w:spacing w:line="600" w:lineRule="exact"/>
        <w:ind w:firstLine="640" w:firstLineChars="200"/>
        <w:textAlignment w:val="auto"/>
        <w:rPr>
          <w:rFonts w:ascii="Times New Roman" w:hAnsi="Times New Roman" w:eastAsia="仿宋_GB2312"/>
          <w:kern w:val="0"/>
          <w:sz w:val="32"/>
          <w:szCs w:val="32"/>
        </w:rPr>
      </w:pPr>
      <w:r>
        <w:rPr>
          <w:rFonts w:ascii="Times New Roman" w:hAnsi="Times New Roman" w:eastAsia="仿宋_GB2312"/>
          <w:kern w:val="0"/>
          <w:sz w:val="32"/>
          <w:szCs w:val="32"/>
        </w:rPr>
        <w:t>经过</w:t>
      </w:r>
      <w:r>
        <w:rPr>
          <w:rFonts w:hint="eastAsia" w:ascii="Times New Roman" w:hAnsi="Times New Roman" w:eastAsia="仿宋_GB2312"/>
          <w:kern w:val="0"/>
          <w:sz w:val="32"/>
          <w:szCs w:val="32"/>
        </w:rPr>
        <w:t>“</w:t>
      </w:r>
      <w:r>
        <w:rPr>
          <w:rFonts w:ascii="Times New Roman" w:hAnsi="Times New Roman" w:eastAsia="仿宋_GB2312"/>
          <w:kern w:val="0"/>
          <w:sz w:val="32"/>
          <w:szCs w:val="32"/>
        </w:rPr>
        <w:t>十四五</w:t>
      </w:r>
      <w:r>
        <w:rPr>
          <w:rFonts w:hint="eastAsia" w:ascii="Times New Roman" w:hAnsi="Times New Roman" w:eastAsia="仿宋_GB2312"/>
          <w:kern w:val="0"/>
          <w:sz w:val="32"/>
          <w:szCs w:val="32"/>
        </w:rPr>
        <w:t>”</w:t>
      </w:r>
      <w:r>
        <w:rPr>
          <w:rFonts w:ascii="Times New Roman" w:hAnsi="Times New Roman" w:eastAsia="仿宋_GB2312"/>
          <w:kern w:val="0"/>
          <w:sz w:val="32"/>
          <w:szCs w:val="32"/>
        </w:rPr>
        <w:t>时期系统</w:t>
      </w:r>
      <w:r>
        <w:rPr>
          <w:rFonts w:hint="eastAsia" w:ascii="Times New Roman" w:hAnsi="Times New Roman" w:eastAsia="仿宋_GB2312"/>
          <w:kern w:val="0"/>
          <w:sz w:val="32"/>
          <w:szCs w:val="32"/>
        </w:rPr>
        <w:t>推进</w:t>
      </w:r>
      <w:r>
        <w:rPr>
          <w:rFonts w:ascii="Times New Roman" w:hAnsi="Times New Roman" w:eastAsia="仿宋_GB2312"/>
          <w:kern w:val="0"/>
          <w:sz w:val="32"/>
          <w:szCs w:val="32"/>
        </w:rPr>
        <w:t>黄河流域治理、伏牛山生态屏障建设、矿山环境综合整治等重点工作，全市生态基底持续改善。但从长期发展看，市域资源环境刚性约束并未得到根本性缓解，人口集聚带来的资源压力、人均占有量偏低的短板依然客观存在，生态系统本底脆弱、抗扰动能力不足的总体格局尚未扭转。</w:t>
      </w:r>
    </w:p>
    <w:p>
      <w:pPr>
        <w:keepNext w:val="0"/>
        <w:keepLines w:val="0"/>
        <w:pageBreakBefore w:val="0"/>
        <w:kinsoku/>
        <w:wordWrap/>
        <w:overflowPunct/>
        <w:topLinePunct w:val="0"/>
        <w:autoSpaceDE/>
        <w:autoSpaceDN/>
        <w:bidi w:val="0"/>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kern w:val="0"/>
          <w:sz w:val="32"/>
          <w:szCs w:val="32"/>
        </w:rPr>
        <w:t>从资源承载条件看，洛阳市域国土空间有限、人口集聚度较高，常住人口密度高于全国平均水平，水资源先天禀赋不足，属于典型资源型缺水区域。</w:t>
      </w:r>
      <w:r>
        <w:rPr>
          <w:rFonts w:ascii="Times New Roman" w:hAnsi="Times New Roman" w:eastAsia="仿宋_GB2312"/>
          <w:sz w:val="32"/>
          <w:szCs w:val="32"/>
        </w:rPr>
        <w:t>全市多年平均水资源量27.4756亿立方米，人均占有量不足400立方米。2024年</w:t>
      </w:r>
      <w:r>
        <w:rPr>
          <w:rFonts w:hint="eastAsia" w:ascii="Times New Roman" w:hAnsi="Times New Roman" w:eastAsia="仿宋_GB2312"/>
          <w:sz w:val="32"/>
          <w:szCs w:val="32"/>
        </w:rPr>
        <w:t>全市实际总供用水量约11.5666亿立方米低于省控目标值16.768亿立方米31.0%；2024年全市万元GDP用水量为19.9立方米，低于省定目标值25.3立方米21.3%；2024年全市万元工业增加值用水量为9.8立方米，低于省定目标值22.9立方米57.2%，</w:t>
      </w:r>
      <w:r>
        <w:rPr>
          <w:rFonts w:ascii="Times New Roman" w:hAnsi="Times New Roman" w:eastAsia="仿宋_GB2312"/>
          <w:sz w:val="32"/>
          <w:szCs w:val="32"/>
        </w:rPr>
        <w:t>属于缺水地区</w:t>
      </w:r>
      <w:r>
        <w:rPr>
          <w:rFonts w:hint="eastAsia" w:ascii="Times New Roman" w:hAnsi="Times New Roman" w:eastAsia="仿宋_GB2312"/>
          <w:sz w:val="32"/>
          <w:szCs w:val="32"/>
        </w:rPr>
        <w:t>，</w:t>
      </w:r>
      <w:r>
        <w:rPr>
          <w:rFonts w:ascii="Times New Roman" w:hAnsi="Times New Roman" w:eastAsia="仿宋_GB2312"/>
          <w:sz w:val="32"/>
          <w:szCs w:val="32"/>
        </w:rPr>
        <w:t>资源性缺水是我市水资源供需最明显的自然属性。</w:t>
      </w:r>
    </w:p>
    <w:p>
      <w:pPr>
        <w:keepNext w:val="0"/>
        <w:keepLines w:val="0"/>
        <w:pageBreakBefore w:val="0"/>
        <w:kinsoku/>
        <w:wordWrap/>
        <w:overflowPunct/>
        <w:topLinePunct w:val="0"/>
        <w:autoSpaceDE/>
        <w:autoSpaceDN/>
        <w:bidi w:val="0"/>
        <w:spacing w:line="600" w:lineRule="exact"/>
        <w:ind w:firstLine="640" w:firstLineChars="200"/>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rPr>
        <w:t>我市</w:t>
      </w:r>
      <w:r>
        <w:rPr>
          <w:rFonts w:ascii="Times New Roman" w:hAnsi="Times New Roman" w:eastAsia="仿宋_GB2312"/>
          <w:kern w:val="0"/>
          <w:sz w:val="32"/>
          <w:szCs w:val="32"/>
        </w:rPr>
        <w:t>矿产资源禀赋突出，历史遗留矿山、尾矿堆存场地造成土地压占、地表损毁问题存量较大</w:t>
      </w:r>
      <w:r>
        <w:rPr>
          <w:rFonts w:hint="eastAsia" w:ascii="Times New Roman" w:hAnsi="Times New Roman" w:eastAsia="仿宋_GB2312"/>
          <w:kern w:val="0"/>
          <w:sz w:val="32"/>
          <w:szCs w:val="32"/>
        </w:rPr>
        <w:t>，</w:t>
      </w:r>
      <w:r>
        <w:rPr>
          <w:rFonts w:ascii="Times New Roman" w:hAnsi="Times New Roman" w:eastAsia="仿宋_GB2312"/>
          <w:kern w:val="0"/>
          <w:sz w:val="32"/>
          <w:szCs w:val="32"/>
        </w:rPr>
        <w:t>矿山生态修复任务繁重。受市域地貌格局影响，山地丘陵占比高，城镇拓展、产业园区、基础设施等开发建设空间与生态保护空间交错镶嵌，生态保护红线、自然保护地与城乡建设空间重叠区域多，分区管控、系统保护和受损生态系统集中修复实施难度较大。</w:t>
      </w:r>
    </w:p>
    <w:p>
      <w:pPr>
        <w:keepNext w:val="0"/>
        <w:keepLines w:val="0"/>
        <w:pageBreakBefore w:val="0"/>
        <w:widowControl w:val="0"/>
        <w:kinsoku/>
        <w:wordWrap/>
        <w:overflowPunct/>
        <w:topLinePunct w:val="0"/>
        <w:autoSpaceDE/>
        <w:autoSpaceDN/>
        <w:bidi w:val="0"/>
        <w:spacing w:line="600" w:lineRule="exact"/>
        <w:jc w:val="center"/>
        <w:textAlignment w:val="auto"/>
        <w:outlineLvl w:val="1"/>
        <w:rPr>
          <w:rFonts w:ascii="Times New Roman" w:hAnsi="Times New Roman" w:eastAsia="黑体"/>
          <w:sz w:val="32"/>
        </w:rPr>
      </w:pPr>
      <w:bookmarkStart w:id="31" w:name="_Toc240990639"/>
      <w:r>
        <w:rPr>
          <w:rFonts w:hint="eastAsia" w:ascii="Times New Roman" w:hAnsi="Times New Roman" w:eastAsia="黑体"/>
          <w:bCs/>
          <w:sz w:val="32"/>
          <w:szCs w:val="32"/>
        </w:rPr>
        <w:t xml:space="preserve">第一节  </w:t>
      </w:r>
      <w:r>
        <w:rPr>
          <w:rFonts w:ascii="Times New Roman" w:hAnsi="Times New Roman" w:eastAsia="黑体"/>
          <w:sz w:val="32"/>
        </w:rPr>
        <w:t>生态空间主要问题</w:t>
      </w:r>
      <w:bookmarkEnd w:id="31"/>
    </w:p>
    <w:p>
      <w:pPr>
        <w:keepNext w:val="0"/>
        <w:keepLines w:val="0"/>
        <w:pageBreakBefore w:val="0"/>
        <w:widowControl w:val="0"/>
        <w:kinsoku/>
        <w:wordWrap/>
        <w:overflowPunct/>
        <w:topLinePunct w:val="0"/>
        <w:autoSpaceDE/>
        <w:autoSpaceDN/>
        <w:bidi w:val="0"/>
        <w:spacing w:line="600" w:lineRule="exact"/>
        <w:ind w:firstLine="640" w:firstLineChars="200"/>
        <w:contextualSpacing/>
        <w:textAlignment w:val="auto"/>
        <w:outlineLvl w:val="3"/>
        <w:rPr>
          <w:rFonts w:ascii="Times New Roman" w:hAnsi="Times New Roman" w:eastAsia="华文楷体"/>
          <w:kern w:val="0"/>
          <w:sz w:val="32"/>
          <w:szCs w:val="32"/>
        </w:rPr>
      </w:pPr>
      <w:r>
        <w:rPr>
          <w:rFonts w:hint="eastAsia" w:ascii="Times New Roman" w:hAnsi="Times New Roman" w:eastAsia="华文楷体"/>
          <w:kern w:val="0"/>
          <w:sz w:val="32"/>
          <w:szCs w:val="32"/>
        </w:rPr>
        <w:t>（一）</w:t>
      </w:r>
      <w:r>
        <w:rPr>
          <w:rFonts w:ascii="Times New Roman" w:hAnsi="Times New Roman" w:eastAsia="华文楷体"/>
          <w:kern w:val="0"/>
          <w:sz w:val="32"/>
          <w:szCs w:val="32"/>
        </w:rPr>
        <w:t>森林草地生态系统</w:t>
      </w:r>
      <w:r>
        <w:rPr>
          <w:rFonts w:hint="eastAsia" w:ascii="Times New Roman" w:hAnsi="Times New Roman" w:eastAsia="华文楷体"/>
          <w:kern w:val="0"/>
          <w:sz w:val="32"/>
          <w:szCs w:val="32"/>
        </w:rPr>
        <w:t>依然</w:t>
      </w:r>
      <w:r>
        <w:rPr>
          <w:rFonts w:ascii="Times New Roman" w:hAnsi="Times New Roman" w:eastAsia="华文楷体"/>
          <w:kern w:val="0"/>
          <w:sz w:val="32"/>
          <w:szCs w:val="32"/>
        </w:rPr>
        <w:t>脆弱</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经过近年来持续绿化，我市适宜造林的地块已基本实现绿化全覆盖，造林绿化空间已十分有限,剩余的造林地块</w:t>
      </w:r>
      <w:r>
        <w:rPr>
          <w:rFonts w:hint="eastAsia" w:ascii="仿宋_GB2312" w:hAnsi="仿宋_GB2312" w:eastAsia="仿宋_GB2312" w:cs="仿宋_GB2312"/>
          <w:sz w:val="32"/>
          <w:szCs w:val="32"/>
          <w:lang w:eastAsia="zh-CN"/>
        </w:rPr>
        <w:t>多为</w:t>
      </w:r>
      <w:r>
        <w:rPr>
          <w:rFonts w:hint="eastAsia" w:ascii="仿宋_GB2312" w:hAnsi="仿宋_GB2312" w:eastAsia="仿宋_GB2312" w:cs="仿宋_GB2312"/>
          <w:sz w:val="32"/>
          <w:szCs w:val="32"/>
        </w:rPr>
        <w:t>分布零散、立地条件差、交通不便的荒山困难地。我市现有森林质量整体不高，纯林多、混交林少，中幼林比例达86%，林分结构、林龄结构不合理；部分森林密度过大，病虫害比较严重，林木生长状况不佳，乔木林单位面积蓄积量仅有每亩4.9立方米，为全国平均水平的77%；全市森林可持续经营任务仍比较重。</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与此同时</w:t>
      </w:r>
      <w:r>
        <w:rPr>
          <w:rFonts w:ascii="仿宋_GB2312" w:hAnsi="仿宋_GB2312" w:eastAsia="仿宋_GB2312" w:cs="仿宋_GB2312"/>
          <w:sz w:val="32"/>
          <w:szCs w:val="32"/>
        </w:rPr>
        <w:t>各类建设项目侵占、破坏林地、草地、湿地、野生动植物栖息地的现象时有发生，发展与保护的矛盾仍比较突出，监管要求不断提高，监管难度不断增大；森林防火基础设施和队伍建设仍相对薄弱，火情处置能力有短板；美国白蛾、杨树食叶害虫、草履蚧等林业有害生物大面积发生的风险仍存在；自然保护地管理体制需要理顺，被侵占风险依然存在，监管力度需要进一步加强；古树名木日常管护不到位，一些濒危古树急需复壮；林业执法力量不足，特别是森林公安转隶地方公安领导后，林业执法力度下降。林长制机构尚不健全，跨部门协作机制还没有真正形成工作合力。林业基础设施薄弱，对高质量履行林业职责带来诸多挑战。林业人才队伍不稳定，特别是基层林业部门年轻人才流失，懂技术的专业人员缺乏。林业数字化、智能化程度不高，智慧林业建设需要进一步加强。</w:t>
      </w:r>
    </w:p>
    <w:p>
      <w:pPr>
        <w:keepNext w:val="0"/>
        <w:keepLines w:val="0"/>
        <w:pageBreakBefore w:val="0"/>
        <w:widowControl w:val="0"/>
        <w:kinsoku/>
        <w:wordWrap/>
        <w:overflowPunct/>
        <w:topLinePunct w:val="0"/>
        <w:autoSpaceDE/>
        <w:autoSpaceDN/>
        <w:bidi w:val="0"/>
        <w:spacing w:line="600" w:lineRule="exact"/>
        <w:ind w:firstLine="640" w:firstLineChars="200"/>
        <w:contextualSpacing/>
        <w:textAlignment w:val="auto"/>
        <w:outlineLvl w:val="3"/>
        <w:rPr>
          <w:rFonts w:ascii="Times New Roman" w:hAnsi="Times New Roman" w:eastAsia="华文楷体"/>
          <w:kern w:val="0"/>
          <w:sz w:val="32"/>
          <w:szCs w:val="32"/>
        </w:rPr>
      </w:pPr>
      <w:r>
        <w:rPr>
          <w:rFonts w:ascii="Times New Roman" w:hAnsi="Times New Roman" w:eastAsia="华文楷体"/>
          <w:kern w:val="0"/>
          <w:sz w:val="32"/>
          <w:szCs w:val="32"/>
        </w:rPr>
        <w:t>（二）河湖水生态功能仍需巩固提升</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
          <w:sz w:val="32"/>
        </w:rPr>
        <w:t>“十四五”期间全市水环境质量持续向好，</w:t>
      </w:r>
      <w:r>
        <w:rPr>
          <w:rFonts w:hint="eastAsia" w:ascii="Times New Roman" w:hAnsi="Times New Roman" w:eastAsia="仿宋"/>
          <w:sz w:val="32"/>
        </w:rPr>
        <w:t>全市连续五年</w:t>
      </w:r>
      <w:r>
        <w:rPr>
          <w:rFonts w:ascii="Times New Roman" w:hAnsi="Times New Roman" w:eastAsia="仿宋"/>
          <w:sz w:val="32"/>
        </w:rPr>
        <w:t>断面水质达标率保持100%，Ⅲ类水体</w:t>
      </w:r>
      <w:r>
        <w:rPr>
          <w:rFonts w:hint="eastAsia" w:ascii="Times New Roman" w:hAnsi="Times New Roman" w:eastAsia="仿宋"/>
          <w:sz w:val="32"/>
        </w:rPr>
        <w:t>以上</w:t>
      </w:r>
      <w:r>
        <w:rPr>
          <w:rFonts w:ascii="Times New Roman" w:hAnsi="Times New Roman" w:eastAsia="仿宋"/>
          <w:sz w:val="32"/>
        </w:rPr>
        <w:t>比例达92.8%，黄河、伊河、洛河干流水质状况连续多年稳定保持为优良，累计完成6条省级、10条市级、48条县级幸福河湖和1条淮河流域幸福河湖建设任务</w:t>
      </w:r>
      <w:r>
        <w:rPr>
          <w:rFonts w:hint="eastAsia" w:ascii="Times New Roman" w:hAnsi="Times New Roman" w:eastAsia="仿宋"/>
          <w:sz w:val="32"/>
        </w:rPr>
        <w:t>，</w:t>
      </w:r>
      <w:r>
        <w:rPr>
          <w:rFonts w:ascii="Times New Roman" w:hAnsi="Times New Roman" w:eastAsia="仿宋"/>
          <w:sz w:val="32"/>
        </w:rPr>
        <w:t>伊洛河（洛阳段）、小浪底水库获评全国“美丽河湖”，黄河孟津段入选全国幸福河湖优秀案例，但河湖水生态功能尚未全面恢复。</w:t>
      </w:r>
      <w:r>
        <w:rPr>
          <w:rFonts w:hint="eastAsia" w:ascii="Times New Roman" w:hAnsi="Times New Roman" w:eastAsia="仿宋"/>
          <w:sz w:val="32"/>
        </w:rPr>
        <w:t>一是</w:t>
      </w:r>
      <w:r>
        <w:rPr>
          <w:rFonts w:hint="eastAsia" w:ascii="Times New Roman" w:hAnsi="Times New Roman" w:eastAsia="仿宋_GB2312"/>
          <w:sz w:val="32"/>
          <w:szCs w:val="32"/>
        </w:rPr>
        <w:t>部分河段自净能力弱，生态基流保障不足。个别断面水质不能稳定达标，饮用水源地环境规范化建设能力不足。雨季溢流污染问题尚未根治，水质季节性波动明显。伊洛河流域生态流量难以保障，全市主要河流流域呈现</w:t>
      </w:r>
      <w:r>
        <w:rPr>
          <w:rFonts w:ascii="Times New Roman" w:hAnsi="Times New Roman" w:eastAsia="仿宋_GB2312"/>
          <w:sz w:val="32"/>
          <w:szCs w:val="32"/>
        </w:rPr>
        <w:t>“</w:t>
      </w:r>
      <w:r>
        <w:rPr>
          <w:rFonts w:hint="eastAsia" w:ascii="Times New Roman" w:hAnsi="Times New Roman" w:eastAsia="仿宋_GB2312"/>
          <w:sz w:val="32"/>
          <w:szCs w:val="32"/>
        </w:rPr>
        <w:t>大河有水、小河断流</w:t>
      </w:r>
      <w:r>
        <w:rPr>
          <w:rFonts w:ascii="Times New Roman" w:hAnsi="Times New Roman" w:eastAsia="仿宋_GB2312"/>
          <w:sz w:val="32"/>
          <w:szCs w:val="32"/>
        </w:rPr>
        <w:t>”</w:t>
      </w:r>
      <w:r>
        <w:rPr>
          <w:rFonts w:hint="eastAsia" w:ascii="Times New Roman" w:hAnsi="Times New Roman" w:eastAsia="仿宋_GB2312"/>
          <w:sz w:val="32"/>
          <w:szCs w:val="32"/>
        </w:rPr>
        <w:t>的状态。二是伊河上游部分无主尾矿库治理责任主体缺失，且大量矿石堆场和尾矿库沿河分布，存在溃坝及重金属渗漏风险。黄河两岸化工园区密集，涉及危险化学品生产、运输、储存等环节风险高，对其水环境安全存在较大风险。尾矿、粉煤灰等大宗固废新增量仍处高位，飞灰填埋量大，综合利用产业链不健全。新污染物等环境风险管理力量薄弱。</w:t>
      </w:r>
    </w:p>
    <w:p>
      <w:pPr>
        <w:keepNext w:val="0"/>
        <w:keepLines w:val="0"/>
        <w:pageBreakBefore w:val="0"/>
        <w:widowControl w:val="0"/>
        <w:kinsoku/>
        <w:wordWrap/>
        <w:overflowPunct/>
        <w:topLinePunct w:val="0"/>
        <w:autoSpaceDE/>
        <w:autoSpaceDN/>
        <w:bidi w:val="0"/>
        <w:spacing w:line="600" w:lineRule="exact"/>
        <w:ind w:firstLine="640" w:firstLineChars="200"/>
        <w:contextualSpacing/>
        <w:textAlignment w:val="auto"/>
        <w:outlineLvl w:val="3"/>
        <w:rPr>
          <w:rFonts w:ascii="Times New Roman" w:hAnsi="Times New Roman" w:eastAsia="华文楷体"/>
          <w:kern w:val="0"/>
          <w:sz w:val="32"/>
          <w:szCs w:val="32"/>
        </w:rPr>
      </w:pPr>
      <w:r>
        <w:rPr>
          <w:rFonts w:ascii="Times New Roman" w:hAnsi="Times New Roman" w:eastAsia="华文楷体"/>
          <w:kern w:val="0"/>
          <w:sz w:val="32"/>
          <w:szCs w:val="32"/>
        </w:rPr>
        <w:t>（</w:t>
      </w:r>
      <w:r>
        <w:rPr>
          <w:rFonts w:hint="eastAsia" w:ascii="Times New Roman" w:hAnsi="Times New Roman" w:eastAsia="华文楷体"/>
          <w:kern w:val="0"/>
          <w:sz w:val="32"/>
          <w:szCs w:val="32"/>
        </w:rPr>
        <w:t>三</w:t>
      </w:r>
      <w:r>
        <w:rPr>
          <w:rFonts w:ascii="Times New Roman" w:hAnsi="Times New Roman" w:eastAsia="华文楷体"/>
          <w:kern w:val="0"/>
          <w:sz w:val="32"/>
          <w:szCs w:val="32"/>
        </w:rPr>
        <w:t>）水土流失治理任务依然艰巨</w:t>
      </w:r>
    </w:p>
    <w:p>
      <w:pPr>
        <w:keepNext w:val="0"/>
        <w:keepLines w:val="0"/>
        <w:pageBreakBefore w:val="0"/>
        <w:kinsoku/>
        <w:wordWrap/>
        <w:overflowPunct/>
        <w:topLinePunct w:val="0"/>
        <w:autoSpaceDE/>
        <w:autoSpaceDN/>
        <w:bidi w:val="0"/>
        <w:spacing w:line="600" w:lineRule="exact"/>
        <w:ind w:firstLine="640" w:firstLineChars="200"/>
        <w:textAlignment w:val="auto"/>
        <w:rPr>
          <w:rFonts w:ascii="Times New Roman" w:hAnsi="Times New Roman" w:eastAsia="仿宋_GB2312"/>
          <w:sz w:val="32"/>
          <w:szCs w:val="32"/>
        </w:rPr>
      </w:pPr>
      <w:r>
        <w:rPr>
          <w:rFonts w:hint="eastAsia" w:ascii="仿宋_GB2312" w:hAnsi="Times New Roman" w:eastAsia="仿宋_GB2312"/>
          <w:sz w:val="32"/>
        </w:rPr>
        <w:t>全市水土流失综合防治成效明显，水土流失面积和强度实现“双下降”，“十四五”期间新增水土流失防治面积</w:t>
      </w:r>
      <w:r>
        <w:rPr>
          <w:rFonts w:hint="eastAsia" w:ascii="Times New Roman" w:hAnsi="Times New Roman" w:eastAsia="仿宋_GB2312"/>
          <w:kern w:val="0"/>
          <w:sz w:val="32"/>
          <w:szCs w:val="32"/>
        </w:rPr>
        <w:t>466.80</w:t>
      </w:r>
      <w:r>
        <w:rPr>
          <w:rFonts w:hint="eastAsia" w:ascii="仿宋_GB2312" w:hAnsi="Times New Roman" w:eastAsia="仿宋_GB2312"/>
          <w:sz w:val="32"/>
        </w:rPr>
        <w:t>平方公里，但治理任务依然艰巨。一是水土流失存量仍</w:t>
      </w:r>
      <w:r>
        <w:rPr>
          <w:rFonts w:ascii="Times New Roman" w:hAnsi="Times New Roman" w:eastAsia="仿宋"/>
          <w:sz w:val="32"/>
        </w:rPr>
        <w:t>然较大，南部山区和黄土丘陵区水土流失分布广、强度较高，坡耕地和侵蚀沟治理任务重。二是已治理区域巩固提升压力大，部分区域治理标准不高、措施老化，植被恢复缓慢，治理成果巩固任务繁重。三是人为水土流失风险不容忽视，生产建设项目、矿山开采等活动造成的人为水土流失管控仍需加强。</w:t>
      </w:r>
    </w:p>
    <w:p>
      <w:pPr>
        <w:keepNext w:val="0"/>
        <w:keepLines w:val="0"/>
        <w:pageBreakBefore w:val="0"/>
        <w:widowControl w:val="0"/>
        <w:kinsoku/>
        <w:wordWrap/>
        <w:overflowPunct/>
        <w:topLinePunct w:val="0"/>
        <w:autoSpaceDE/>
        <w:autoSpaceDN/>
        <w:bidi w:val="0"/>
        <w:spacing w:line="600" w:lineRule="exact"/>
        <w:ind w:firstLine="640" w:firstLineChars="200"/>
        <w:contextualSpacing/>
        <w:textAlignment w:val="auto"/>
        <w:outlineLvl w:val="3"/>
        <w:rPr>
          <w:rFonts w:ascii="Times New Roman" w:hAnsi="Times New Roman" w:eastAsia="华文楷体"/>
          <w:kern w:val="0"/>
          <w:sz w:val="32"/>
          <w:szCs w:val="32"/>
        </w:rPr>
      </w:pPr>
      <w:r>
        <w:rPr>
          <w:rFonts w:ascii="Times New Roman" w:hAnsi="Times New Roman" w:eastAsia="华文楷体"/>
          <w:kern w:val="0"/>
          <w:sz w:val="32"/>
          <w:szCs w:val="32"/>
        </w:rPr>
        <w:t>（四）矿山生态环境治理任重道远</w:t>
      </w:r>
    </w:p>
    <w:p>
      <w:pPr>
        <w:keepNext w:val="0"/>
        <w:keepLines w:val="0"/>
        <w:pageBreakBefore w:val="0"/>
        <w:kinsoku/>
        <w:wordWrap/>
        <w:overflowPunct/>
        <w:topLinePunct w:val="0"/>
        <w:autoSpaceDE/>
        <w:autoSpaceDN/>
        <w:bidi w:val="0"/>
        <w:spacing w:line="600" w:lineRule="exact"/>
        <w:ind w:firstLine="640" w:firstLineChars="200"/>
        <w:textAlignment w:val="auto"/>
      </w:pPr>
      <w:r>
        <w:rPr>
          <w:rFonts w:ascii="Times New Roman" w:hAnsi="Times New Roman" w:eastAsia="仿宋"/>
          <w:sz w:val="32"/>
        </w:rPr>
        <w:t>全市矿业开发历史悠久，矿山生态环境问题治理任务仍然较重。一是历史遗留矿山尚有存量，伏牛山等重点区域历史遗留矿山生态修复仍在持续推进，部分责任主体灭失矿山治理资金缺口较大。二是尾矿库安全与生态风险并存，全市现有在册尾矿库144座，其中运行库90座、17座“头顶库”风险等级较高，73座2020年前建设的尾矿库需全面技术诊断，尾矿库综合利用和生态修复水平有待提升。三是绿色矿山建设需要提质扩面，部分矿山“边开采、边治理”责任落实不到位，矿区生态修复标准有待提高。四是重大生态修复项目接续实施任务繁重，秦岭东段洛河流域山水林田湖草沙一体化保护和修复工程建成后的运行管护机制亟待健全，“南水北调丹江口库区水源地山水林田湖草沙保护和修复工程”等新项目落地实施需要系统谋划。</w:t>
      </w:r>
    </w:p>
    <w:p>
      <w:pPr>
        <w:keepNext w:val="0"/>
        <w:keepLines w:val="0"/>
        <w:pageBreakBefore w:val="0"/>
        <w:widowControl w:val="0"/>
        <w:kinsoku/>
        <w:wordWrap/>
        <w:overflowPunct/>
        <w:topLinePunct w:val="0"/>
        <w:autoSpaceDE/>
        <w:autoSpaceDN/>
        <w:bidi w:val="0"/>
        <w:spacing w:line="600" w:lineRule="exact"/>
        <w:ind w:firstLine="640" w:firstLineChars="200"/>
        <w:contextualSpacing/>
        <w:textAlignment w:val="auto"/>
        <w:outlineLvl w:val="3"/>
        <w:rPr>
          <w:rFonts w:ascii="Times New Roman" w:hAnsi="Times New Roman" w:eastAsia="华文楷体"/>
          <w:kern w:val="0"/>
          <w:sz w:val="32"/>
          <w:szCs w:val="32"/>
        </w:rPr>
      </w:pPr>
      <w:r>
        <w:rPr>
          <w:rFonts w:ascii="Times New Roman" w:hAnsi="Times New Roman" w:eastAsia="华文楷体"/>
          <w:kern w:val="0"/>
          <w:sz w:val="32"/>
          <w:szCs w:val="32"/>
        </w:rPr>
        <w:t>（五）地质灾害防治压力依然较大</w:t>
      </w:r>
    </w:p>
    <w:p>
      <w:pPr>
        <w:keepNext w:val="0"/>
        <w:keepLines w:val="0"/>
        <w:pageBreakBefore w:val="0"/>
        <w:kinsoku/>
        <w:wordWrap/>
        <w:overflowPunct/>
        <w:topLinePunct w:val="0"/>
        <w:autoSpaceDE/>
        <w:autoSpaceDN/>
        <w:bidi w:val="0"/>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全市地质环境条件复杂，地质灾害隐患点多面广。全市现有地质灾害隐患点</w:t>
      </w:r>
      <w:r>
        <w:rPr>
          <w:rFonts w:hint="eastAsia" w:ascii="Times New Roman" w:hAnsi="Times New Roman" w:eastAsia="仿宋"/>
          <w:sz w:val="32"/>
        </w:rPr>
        <w:t>333</w:t>
      </w:r>
      <w:r>
        <w:rPr>
          <w:rFonts w:ascii="Times New Roman" w:hAnsi="Times New Roman" w:eastAsia="仿宋"/>
          <w:sz w:val="32"/>
        </w:rPr>
        <w:t>个、</w:t>
      </w:r>
      <w:r>
        <w:rPr>
          <w:rFonts w:hint="eastAsia" w:ascii="Times New Roman" w:hAnsi="Times New Roman" w:eastAsia="仿宋"/>
          <w:sz w:val="32"/>
        </w:rPr>
        <w:t>风险斜坡</w:t>
      </w:r>
      <w:r>
        <w:rPr>
          <w:rFonts w:ascii="Times New Roman" w:hAnsi="Times New Roman" w:eastAsia="仿宋"/>
          <w:sz w:val="32"/>
        </w:rPr>
        <w:t>805处，全域受威胁总人口124829人（其中：333处在册隐患点直接威胁14717人，805处风险斜坡潜在威胁110112人），潜在经济损失约4.98亿元（仅统计在册隐患点威胁财产）。极高、高风险区仅占全域6.22%国土面积，承载全市89.8%的受威胁群众，集镇、中小学、卫生院等高密度承灾体集中分布，群死群伤风险突出。随着极端天气增多趋强，地质灾害防治形势更加严峻，监测预警能力、综合治理进度与防治需求之间仍存在差距，基层防灾减灾体系有待进一步健全。</w:t>
      </w:r>
    </w:p>
    <w:p>
      <w:pPr>
        <w:keepNext w:val="0"/>
        <w:keepLines w:val="0"/>
        <w:pageBreakBefore w:val="0"/>
        <w:widowControl w:val="0"/>
        <w:kinsoku/>
        <w:wordWrap/>
        <w:overflowPunct/>
        <w:topLinePunct w:val="0"/>
        <w:autoSpaceDE/>
        <w:autoSpaceDN/>
        <w:bidi w:val="0"/>
        <w:spacing w:line="600" w:lineRule="exact"/>
        <w:jc w:val="center"/>
        <w:textAlignment w:val="auto"/>
        <w:outlineLvl w:val="1"/>
        <w:rPr>
          <w:rFonts w:ascii="Times New Roman" w:hAnsi="Times New Roman" w:eastAsia="黑体"/>
          <w:bCs/>
          <w:sz w:val="32"/>
          <w:szCs w:val="32"/>
        </w:rPr>
      </w:pPr>
      <w:bookmarkStart w:id="32" w:name="_Toc240990640"/>
      <w:r>
        <w:rPr>
          <w:rFonts w:hint="eastAsia" w:ascii="Times New Roman" w:hAnsi="Times New Roman" w:eastAsia="黑体"/>
          <w:bCs/>
          <w:sz w:val="32"/>
          <w:szCs w:val="32"/>
        </w:rPr>
        <w:t xml:space="preserve">第二节  </w:t>
      </w:r>
      <w:r>
        <w:rPr>
          <w:rFonts w:ascii="Times New Roman" w:hAnsi="Times New Roman" w:eastAsia="黑体"/>
          <w:bCs/>
          <w:sz w:val="32"/>
          <w:szCs w:val="32"/>
        </w:rPr>
        <w:t>农业空间</w:t>
      </w:r>
      <w:r>
        <w:rPr>
          <w:rFonts w:hint="eastAsia" w:ascii="Times New Roman" w:hAnsi="Times New Roman" w:eastAsia="黑体"/>
          <w:bCs/>
          <w:sz w:val="32"/>
          <w:szCs w:val="32"/>
        </w:rPr>
        <w:t>主要问题</w:t>
      </w:r>
      <w:bookmarkEnd w:id="32"/>
    </w:p>
    <w:p>
      <w:pPr>
        <w:keepNext w:val="0"/>
        <w:keepLines w:val="0"/>
        <w:pageBreakBefore w:val="0"/>
        <w:widowControl w:val="0"/>
        <w:kinsoku/>
        <w:wordWrap/>
        <w:overflowPunct/>
        <w:topLinePunct w:val="0"/>
        <w:autoSpaceDE/>
        <w:autoSpaceDN/>
        <w:bidi w:val="0"/>
        <w:spacing w:line="600" w:lineRule="exact"/>
        <w:ind w:firstLine="640" w:firstLineChars="200"/>
        <w:contextualSpacing/>
        <w:textAlignment w:val="auto"/>
        <w:outlineLvl w:val="3"/>
        <w:rPr>
          <w:rFonts w:ascii="Times New Roman" w:hAnsi="Times New Roman" w:eastAsia="华文楷体"/>
          <w:kern w:val="0"/>
          <w:sz w:val="32"/>
          <w:szCs w:val="32"/>
        </w:rPr>
      </w:pPr>
      <w:r>
        <w:rPr>
          <w:rFonts w:ascii="Times New Roman" w:hAnsi="Times New Roman" w:eastAsia="华文楷体"/>
          <w:kern w:val="0"/>
          <w:sz w:val="32"/>
          <w:szCs w:val="32"/>
        </w:rPr>
        <w:t>（一）耕地保护与质量提升任务艰巨</w:t>
      </w:r>
    </w:p>
    <w:p>
      <w:pPr>
        <w:keepNext w:val="0"/>
        <w:keepLines w:val="0"/>
        <w:pageBreakBefore w:val="0"/>
        <w:kinsoku/>
        <w:wordWrap/>
        <w:overflowPunct/>
        <w:topLinePunct w:val="0"/>
        <w:autoSpaceDE/>
        <w:autoSpaceDN/>
        <w:bidi w:val="0"/>
        <w:spacing w:line="600" w:lineRule="exact"/>
        <w:ind w:firstLine="640" w:firstLineChars="200"/>
        <w:textAlignment w:val="auto"/>
      </w:pPr>
      <w:r>
        <w:rPr>
          <w:rFonts w:ascii="Times New Roman" w:hAnsi="Times New Roman" w:eastAsia="仿宋"/>
          <w:sz w:val="32"/>
        </w:rPr>
        <w:t>全市耕地资源禀赋先天不足，耕地质量偏低、水资源总量不足，人均耕地低于全国、全省平均水平，耕地后备资源匮乏，严格落实耕地保护红线刚性约束压力大。耕地质量总体不高，中低产田占比大，高标准农田建设和退化耕地治理任务重；农业面源污染治理仍需加强，化肥农药减量增效、农膜回收利用、秸秆综合利用等还有提升空间；受污染耕地安全利用和风险管控需持续巩固。</w:t>
      </w:r>
    </w:p>
    <w:p>
      <w:pPr>
        <w:keepNext w:val="0"/>
        <w:keepLines w:val="0"/>
        <w:pageBreakBefore w:val="0"/>
        <w:widowControl w:val="0"/>
        <w:kinsoku/>
        <w:wordWrap/>
        <w:overflowPunct/>
        <w:topLinePunct w:val="0"/>
        <w:autoSpaceDE/>
        <w:autoSpaceDN/>
        <w:bidi w:val="0"/>
        <w:spacing w:line="600" w:lineRule="exact"/>
        <w:ind w:firstLine="640" w:firstLineChars="200"/>
        <w:contextualSpacing/>
        <w:textAlignment w:val="auto"/>
        <w:outlineLvl w:val="3"/>
        <w:rPr>
          <w:rFonts w:ascii="Times New Roman" w:hAnsi="Times New Roman" w:eastAsia="华文楷体"/>
          <w:kern w:val="0"/>
          <w:sz w:val="32"/>
          <w:szCs w:val="32"/>
        </w:rPr>
      </w:pPr>
      <w:r>
        <w:rPr>
          <w:rFonts w:ascii="Times New Roman" w:hAnsi="Times New Roman" w:eastAsia="华文楷体"/>
          <w:kern w:val="0"/>
          <w:sz w:val="32"/>
          <w:szCs w:val="32"/>
        </w:rPr>
        <w:t>（二）农村生态环境基础设施仍有短板</w:t>
      </w:r>
    </w:p>
    <w:p>
      <w:pPr>
        <w:keepNext w:val="0"/>
        <w:keepLines w:val="0"/>
        <w:pageBreakBefore w:val="0"/>
        <w:kinsoku/>
        <w:wordWrap/>
        <w:overflowPunct/>
        <w:topLinePunct w:val="0"/>
        <w:autoSpaceDE/>
        <w:autoSpaceDN/>
        <w:bidi w:val="0"/>
        <w:spacing w:line="600" w:lineRule="exact"/>
        <w:ind w:firstLine="640" w:firstLineChars="200"/>
        <w:textAlignment w:val="auto"/>
      </w:pPr>
      <w:r>
        <w:rPr>
          <w:rFonts w:ascii="Times New Roman" w:hAnsi="Times New Roman" w:eastAsia="仿宋"/>
          <w:sz w:val="32"/>
        </w:rPr>
        <w:t>全市农村生活污水治理率达75%、居全省前列，但部分村庄污水、垃圾处理设施建设标准不高、运行管护机制不健全；农村人居环境整治提升任务依然繁重，畜禽养殖污染、秸秆焚烧等面源污染风险仍存；全域土地综合整治与生态修复衔接不够紧密，农村生态空间利用和村庄生态功能有待提升。</w:t>
      </w:r>
    </w:p>
    <w:p>
      <w:pPr>
        <w:keepNext w:val="0"/>
        <w:keepLines w:val="0"/>
        <w:pageBreakBefore w:val="0"/>
        <w:widowControl w:val="0"/>
        <w:kinsoku/>
        <w:wordWrap/>
        <w:overflowPunct/>
        <w:topLinePunct w:val="0"/>
        <w:autoSpaceDE/>
        <w:autoSpaceDN/>
        <w:bidi w:val="0"/>
        <w:spacing w:line="600" w:lineRule="exact"/>
        <w:jc w:val="center"/>
        <w:textAlignment w:val="auto"/>
        <w:outlineLvl w:val="1"/>
        <w:rPr>
          <w:rFonts w:ascii="Times New Roman" w:hAnsi="Times New Roman" w:eastAsia="黑体"/>
          <w:bCs/>
          <w:sz w:val="32"/>
          <w:szCs w:val="32"/>
        </w:rPr>
      </w:pPr>
      <w:bookmarkStart w:id="33" w:name="_Toc240990641"/>
      <w:r>
        <w:rPr>
          <w:rFonts w:hint="eastAsia" w:ascii="Times New Roman" w:hAnsi="Times New Roman" w:eastAsia="黑体"/>
          <w:bCs/>
          <w:sz w:val="32"/>
          <w:szCs w:val="32"/>
        </w:rPr>
        <w:t>第三节  城镇</w:t>
      </w:r>
      <w:r>
        <w:rPr>
          <w:rFonts w:ascii="Times New Roman" w:hAnsi="Times New Roman" w:eastAsia="黑体"/>
          <w:bCs/>
          <w:sz w:val="32"/>
          <w:szCs w:val="32"/>
        </w:rPr>
        <w:t>空间</w:t>
      </w:r>
      <w:r>
        <w:rPr>
          <w:rFonts w:hint="eastAsia" w:ascii="Times New Roman" w:hAnsi="Times New Roman" w:eastAsia="黑体"/>
          <w:bCs/>
          <w:sz w:val="32"/>
          <w:szCs w:val="32"/>
        </w:rPr>
        <w:t>主要问题</w:t>
      </w:r>
      <w:bookmarkEnd w:id="33"/>
    </w:p>
    <w:p>
      <w:pPr>
        <w:keepNext w:val="0"/>
        <w:keepLines w:val="0"/>
        <w:pageBreakBefore w:val="0"/>
        <w:widowControl w:val="0"/>
        <w:kinsoku/>
        <w:wordWrap/>
        <w:overflowPunct/>
        <w:topLinePunct w:val="0"/>
        <w:autoSpaceDE/>
        <w:autoSpaceDN/>
        <w:bidi w:val="0"/>
        <w:spacing w:line="600" w:lineRule="exact"/>
        <w:ind w:firstLine="640" w:firstLineChars="200"/>
        <w:contextualSpacing/>
        <w:textAlignment w:val="auto"/>
        <w:outlineLvl w:val="3"/>
        <w:rPr>
          <w:rFonts w:ascii="Times New Roman" w:hAnsi="Times New Roman" w:eastAsia="华文楷体"/>
          <w:kern w:val="0"/>
          <w:sz w:val="32"/>
          <w:szCs w:val="32"/>
        </w:rPr>
      </w:pPr>
      <w:r>
        <w:rPr>
          <w:rFonts w:ascii="Times New Roman" w:hAnsi="Times New Roman" w:eastAsia="华文楷体"/>
          <w:kern w:val="0"/>
          <w:sz w:val="32"/>
          <w:szCs w:val="32"/>
        </w:rPr>
        <w:t>（一）建设用地土壤污染风险管控压力犹存</w:t>
      </w:r>
    </w:p>
    <w:p>
      <w:pPr>
        <w:keepNext w:val="0"/>
        <w:keepLines w:val="0"/>
        <w:pageBreakBefore w:val="0"/>
        <w:kinsoku/>
        <w:wordWrap/>
        <w:overflowPunct/>
        <w:topLinePunct w:val="0"/>
        <w:autoSpaceDE/>
        <w:autoSpaceDN/>
        <w:bidi w:val="0"/>
        <w:spacing w:line="600" w:lineRule="exact"/>
        <w:ind w:firstLine="640" w:firstLineChars="200"/>
        <w:textAlignment w:val="auto"/>
      </w:pPr>
      <w:r>
        <w:rPr>
          <w:rFonts w:ascii="Times New Roman" w:hAnsi="Times New Roman" w:eastAsia="仿宋"/>
          <w:sz w:val="32"/>
        </w:rPr>
        <w:t>全市建设用地土壤环境质量总体良好，受污染耕地安全利用率达100%，但部分关闭搬迁企业地块、历史遗留地块土壤污染风险依然存在，重点行业企业用地土壤污染状况调查和风险管控任务较重，污染地块修复治理与安全再利用统筹难度较大，地下水环境风险防控仍需加强。</w:t>
      </w:r>
    </w:p>
    <w:p>
      <w:pPr>
        <w:keepNext w:val="0"/>
        <w:keepLines w:val="0"/>
        <w:pageBreakBefore w:val="0"/>
        <w:widowControl w:val="0"/>
        <w:kinsoku/>
        <w:wordWrap/>
        <w:overflowPunct/>
        <w:topLinePunct w:val="0"/>
        <w:autoSpaceDE/>
        <w:autoSpaceDN/>
        <w:bidi w:val="0"/>
        <w:spacing w:line="600" w:lineRule="exact"/>
        <w:ind w:firstLine="640" w:firstLineChars="200"/>
        <w:contextualSpacing/>
        <w:textAlignment w:val="auto"/>
        <w:outlineLvl w:val="3"/>
        <w:rPr>
          <w:rFonts w:ascii="Times New Roman" w:hAnsi="Times New Roman" w:eastAsia="华文楷体"/>
          <w:kern w:val="0"/>
          <w:sz w:val="32"/>
          <w:szCs w:val="32"/>
        </w:rPr>
      </w:pPr>
      <w:r>
        <w:rPr>
          <w:rFonts w:ascii="Times New Roman" w:hAnsi="Times New Roman" w:eastAsia="华文楷体"/>
          <w:kern w:val="0"/>
          <w:sz w:val="32"/>
          <w:szCs w:val="32"/>
        </w:rPr>
        <w:t>（二）城市生态功能有待完善</w:t>
      </w:r>
    </w:p>
    <w:p>
      <w:pPr>
        <w:keepNext w:val="0"/>
        <w:keepLines w:val="0"/>
        <w:pageBreakBefore w:val="0"/>
        <w:kinsoku/>
        <w:wordWrap/>
        <w:overflowPunct/>
        <w:topLinePunct w:val="0"/>
        <w:autoSpaceDE/>
        <w:autoSpaceDN/>
        <w:bidi w:val="0"/>
        <w:spacing w:line="600" w:lineRule="exact"/>
        <w:ind w:firstLine="640" w:firstLineChars="200"/>
        <w:textAlignment w:val="auto"/>
      </w:pPr>
      <w:r>
        <w:rPr>
          <w:rFonts w:ascii="Times New Roman" w:hAnsi="Times New Roman" w:eastAsia="仿宋"/>
          <w:sz w:val="32"/>
        </w:rPr>
        <w:t>城市生态空间布局有待优化，公园绿地、绿道网络体系不够均衡，部分城区通风廊道、生态廊道连通性不足；城市更新、基础设施建设中的生态修复理念有待深化，生态功能与城市品质融合不够；城市湿地、滨水空间生态功能发挥不充分，绿色低碳宜居城市建设对生态修复提出更高要求。</w:t>
      </w:r>
    </w:p>
    <w:p/>
    <w:p/>
    <w:p/>
    <w:p/>
    <w:p>
      <w:r>
        <w:br w:type="page"/>
      </w:r>
    </w:p>
    <w:p>
      <w:pPr>
        <w:pageBreakBefore/>
        <w:widowControl w:val="0"/>
        <w:spacing w:before="156" w:beforeLines="50" w:after="156" w:afterLines="50"/>
        <w:jc w:val="center"/>
        <w:outlineLvl w:val="0"/>
        <w:rPr>
          <w:rFonts w:hint="eastAsia" w:ascii="方正大标宋简体" w:hAnsi="方正大标宋简体" w:eastAsia="方正大标宋简体" w:cs="方正大标宋简体"/>
          <w:bCs/>
          <w:sz w:val="36"/>
          <w:szCs w:val="36"/>
        </w:rPr>
      </w:pPr>
      <w:bookmarkStart w:id="34" w:name="_Toc240990642"/>
      <w:r>
        <w:rPr>
          <w:rFonts w:hint="eastAsia" w:ascii="方正小标宋简体" w:hAnsi="方正小标宋简体" w:eastAsia="方正小标宋简体" w:cs="方正小标宋简体"/>
          <w:bCs/>
          <w:sz w:val="36"/>
          <w:szCs w:val="36"/>
        </w:rPr>
        <w:t>第三章  总体要求</w:t>
      </w:r>
      <w:bookmarkEnd w:id="22"/>
      <w:bookmarkEnd w:id="23"/>
      <w:bookmarkEnd w:id="30"/>
      <w:bookmarkEnd w:id="34"/>
    </w:p>
    <w:p>
      <w:pPr>
        <w:keepNext w:val="0"/>
        <w:keepLines w:val="0"/>
        <w:pageBreakBefore w:val="0"/>
        <w:kinsoku/>
        <w:wordWrap/>
        <w:overflowPunct/>
        <w:topLinePunct w:val="0"/>
        <w:autoSpaceDE/>
        <w:autoSpaceDN/>
        <w:bidi w:val="0"/>
        <w:adjustRightInd/>
        <w:snapToGrid/>
        <w:spacing w:line="600" w:lineRule="exact"/>
        <w:ind w:firstLine="640" w:firstLineChars="200"/>
        <w:contextualSpacing/>
        <w:textAlignment w:val="auto"/>
        <w:rPr>
          <w:rFonts w:ascii="Times New Roman" w:hAnsi="Times New Roman" w:eastAsia="仿宋_GB2312"/>
          <w:kern w:val="0"/>
          <w:sz w:val="32"/>
          <w:szCs w:val="32"/>
        </w:rPr>
      </w:pPr>
      <w:bookmarkStart w:id="35" w:name="_Toc7061"/>
      <w:bookmarkStart w:id="36" w:name="_Toc23237"/>
      <w:bookmarkStart w:id="37" w:name="_Toc21844"/>
      <w:r>
        <w:rPr>
          <w:rFonts w:ascii="Times New Roman" w:hAnsi="Times New Roman" w:eastAsia="仿宋_GB2312"/>
          <w:kern w:val="0"/>
          <w:sz w:val="32"/>
          <w:szCs w:val="32"/>
        </w:rPr>
        <w:t>深入贯彻习近平生态文明思想，将国土空间生态修复工作置于黄河流域生态保护和高质量发展重大国家战略中统筹谋划，紧扣洛阳建强中原城市群副中心城市的目标要求，以筑牢豫西生态安全屏障、提升生态系统服务功能为主线，立足</w:t>
      </w:r>
      <w:r>
        <w:rPr>
          <w:rFonts w:hint="eastAsia" w:ascii="Times New Roman" w:hAnsi="Times New Roman" w:eastAsia="仿宋_GB2312"/>
          <w:kern w:val="0"/>
          <w:sz w:val="32"/>
          <w:szCs w:val="32"/>
        </w:rPr>
        <w:t>“</w:t>
      </w:r>
      <w:r>
        <w:rPr>
          <w:rFonts w:ascii="Times New Roman" w:hAnsi="Times New Roman" w:eastAsia="仿宋_GB2312"/>
          <w:kern w:val="0"/>
          <w:sz w:val="32"/>
          <w:szCs w:val="32"/>
        </w:rPr>
        <w:t>四面环山、六水并流</w:t>
      </w:r>
      <w:r>
        <w:rPr>
          <w:rFonts w:hint="eastAsia" w:ascii="Times New Roman" w:hAnsi="Times New Roman" w:eastAsia="仿宋_GB2312"/>
          <w:kern w:val="0"/>
          <w:sz w:val="32"/>
          <w:szCs w:val="32"/>
        </w:rPr>
        <w:t>”</w:t>
      </w:r>
      <w:r>
        <w:rPr>
          <w:rFonts w:ascii="Times New Roman" w:hAnsi="Times New Roman" w:eastAsia="仿宋_GB2312"/>
          <w:kern w:val="0"/>
          <w:sz w:val="32"/>
          <w:szCs w:val="32"/>
        </w:rPr>
        <w:t>的河洛生态格局，科学</w:t>
      </w:r>
      <w:r>
        <w:rPr>
          <w:rFonts w:hint="eastAsia" w:ascii="Times New Roman" w:hAnsi="Times New Roman" w:eastAsia="仿宋_GB2312"/>
          <w:kern w:val="0"/>
          <w:sz w:val="32"/>
          <w:szCs w:val="32"/>
        </w:rPr>
        <w:t>谋划“十五五”</w:t>
      </w:r>
      <w:r>
        <w:t xml:space="preserve"> </w:t>
      </w:r>
      <w:r>
        <w:rPr>
          <w:rFonts w:ascii="Times New Roman" w:hAnsi="Times New Roman" w:eastAsia="仿宋_GB2312"/>
          <w:kern w:val="0"/>
          <w:sz w:val="32"/>
          <w:szCs w:val="32"/>
        </w:rPr>
        <w:t>时期全市国土空间生态修复的目标定位、总体布局和重点任务。</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38" w:name="_Toc240990643"/>
      <w:r>
        <w:rPr>
          <w:rFonts w:hint="eastAsia" w:ascii="Times New Roman" w:hAnsi="Times New Roman" w:eastAsia="黑体"/>
          <w:bCs/>
          <w:sz w:val="32"/>
          <w:szCs w:val="32"/>
        </w:rPr>
        <w:t>第一节  指导思想</w:t>
      </w:r>
      <w:bookmarkEnd w:id="35"/>
      <w:bookmarkEnd w:id="36"/>
      <w:bookmarkEnd w:id="37"/>
      <w:bookmarkEnd w:id="38"/>
    </w:p>
    <w:p>
      <w:pPr>
        <w:keepNext w:val="0"/>
        <w:keepLines w:val="0"/>
        <w:pageBreakBefore w:val="0"/>
        <w:kinsoku/>
        <w:wordWrap/>
        <w:overflowPunct/>
        <w:topLinePunct w:val="0"/>
        <w:autoSpaceDE/>
        <w:autoSpaceDN/>
        <w:bidi w:val="0"/>
        <w:adjustRightInd/>
        <w:snapToGrid/>
        <w:spacing w:line="600" w:lineRule="exact"/>
        <w:ind w:firstLine="640" w:firstLineChars="200"/>
        <w:contextualSpacing/>
        <w:textAlignment w:val="auto"/>
        <w:rPr>
          <w:rFonts w:ascii="Times New Roman" w:hAnsi="Times New Roman" w:eastAsia="仿宋_GB2312"/>
          <w:kern w:val="0"/>
          <w:sz w:val="32"/>
          <w:szCs w:val="32"/>
        </w:rPr>
      </w:pPr>
      <w:r>
        <w:rPr>
          <w:rFonts w:ascii="Times New Roman" w:hAnsi="Times New Roman" w:eastAsia="仿宋_GB2312"/>
          <w:kern w:val="0"/>
          <w:sz w:val="32"/>
          <w:szCs w:val="32"/>
        </w:rPr>
        <w:t>坚持以习近平新时代中国特色社会主义思想为指导，全面贯彻党的二十大和二十届历次全会精神，深入践行习近平生态文明思想，认真落实习近平总书记</w:t>
      </w:r>
      <w:r>
        <w:rPr>
          <w:rFonts w:hint="eastAsia" w:ascii="Times New Roman" w:hAnsi="Times New Roman" w:eastAsia="仿宋_GB2312"/>
          <w:kern w:val="0"/>
          <w:sz w:val="32"/>
          <w:szCs w:val="32"/>
          <w:lang w:eastAsia="zh-CN"/>
        </w:rPr>
        <w:t>视察</w:t>
      </w:r>
      <w:r>
        <w:rPr>
          <w:rFonts w:ascii="Times New Roman" w:hAnsi="Times New Roman" w:eastAsia="仿宋_GB2312"/>
          <w:kern w:val="0"/>
          <w:sz w:val="32"/>
          <w:szCs w:val="32"/>
        </w:rPr>
        <w:t>河南重要讲话</w:t>
      </w:r>
      <w:r>
        <w:rPr>
          <w:rFonts w:hint="eastAsia" w:ascii="Times New Roman" w:hAnsi="Times New Roman" w:eastAsia="仿宋_GB2312"/>
          <w:kern w:val="0"/>
          <w:sz w:val="32"/>
          <w:szCs w:val="32"/>
          <w:lang w:eastAsia="zh-CN"/>
        </w:rPr>
        <w:t>和</w:t>
      </w:r>
      <w:r>
        <w:rPr>
          <w:rFonts w:ascii="Times New Roman" w:hAnsi="Times New Roman" w:eastAsia="仿宋_GB2312"/>
          <w:kern w:val="0"/>
          <w:sz w:val="32"/>
          <w:szCs w:val="32"/>
        </w:rPr>
        <w:t>重要指示精神，聚焦“两高四着力”重大要求，准确把握“十五五”时期的阶段性要求。牢固树立和践行</w:t>
      </w:r>
      <w:r>
        <w:rPr>
          <w:rFonts w:hint="eastAsia" w:ascii="Times New Roman" w:hAnsi="Times New Roman" w:eastAsia="仿宋_GB2312"/>
          <w:kern w:val="0"/>
          <w:sz w:val="32"/>
          <w:szCs w:val="32"/>
          <w:lang w:eastAsia="zh-CN"/>
        </w:rPr>
        <w:t>“</w:t>
      </w:r>
      <w:r>
        <w:rPr>
          <w:rFonts w:ascii="Times New Roman" w:hAnsi="Times New Roman" w:eastAsia="仿宋_GB2312"/>
          <w:kern w:val="0"/>
          <w:sz w:val="32"/>
          <w:szCs w:val="32"/>
        </w:rPr>
        <w:t>绿水青山就是金山银山</w:t>
      </w:r>
      <w:r>
        <w:rPr>
          <w:rFonts w:hint="eastAsia" w:ascii="Times New Roman" w:hAnsi="Times New Roman" w:eastAsia="仿宋_GB2312"/>
          <w:kern w:val="0"/>
          <w:sz w:val="32"/>
          <w:szCs w:val="32"/>
          <w:lang w:eastAsia="zh-CN"/>
        </w:rPr>
        <w:t>”</w:t>
      </w:r>
      <w:r>
        <w:rPr>
          <w:rFonts w:ascii="Times New Roman" w:hAnsi="Times New Roman" w:eastAsia="仿宋_GB2312"/>
          <w:kern w:val="0"/>
          <w:sz w:val="32"/>
          <w:szCs w:val="32"/>
        </w:rPr>
        <w:t>理念，坚持山水林田湖草沙生命共同体理念</w:t>
      </w:r>
      <w:r>
        <w:rPr>
          <w:rFonts w:hint="eastAsia" w:ascii="Times New Roman" w:hAnsi="Times New Roman" w:eastAsia="仿宋_GB2312"/>
          <w:kern w:val="0"/>
          <w:sz w:val="32"/>
          <w:szCs w:val="32"/>
        </w:rPr>
        <w:t>，</w:t>
      </w:r>
      <w:r>
        <w:rPr>
          <w:rFonts w:ascii="Times New Roman" w:hAnsi="Times New Roman" w:eastAsia="仿宋_GB2312"/>
          <w:kern w:val="0"/>
          <w:sz w:val="32"/>
          <w:szCs w:val="32"/>
        </w:rPr>
        <w:t>以筑牢豫西生态安全屏障、提升生态系统服务功能为主线，科学开展国土空间生态修复。统筹推进黄河干流及伊洛河流域保护治理，加强伏牛山、熊耳山、嵩山等重点区域水源涵养和生物多样性保护，抓好黄土丘陵区水土流失防治、历史遗留矿山综合治理、黄河湿地和小浪底库区生态修复，构建</w:t>
      </w:r>
      <w:r>
        <w:rPr>
          <w:rFonts w:hint="eastAsia" w:ascii="Times New Roman" w:hAnsi="Times New Roman" w:eastAsia="仿宋_GB2312"/>
          <w:kern w:val="0"/>
          <w:sz w:val="32"/>
          <w:szCs w:val="32"/>
        </w:rPr>
        <w:t>“</w:t>
      </w:r>
      <w:r>
        <w:rPr>
          <w:rFonts w:ascii="Times New Roman" w:hAnsi="Times New Roman" w:eastAsia="仿宋_GB2312"/>
          <w:kern w:val="0"/>
          <w:sz w:val="32"/>
          <w:szCs w:val="32"/>
        </w:rPr>
        <w:t>四区、四廊、一带、多</w:t>
      </w:r>
      <w:r>
        <w:rPr>
          <w:rFonts w:hint="eastAsia" w:ascii="Times New Roman" w:hAnsi="Times New Roman" w:eastAsia="仿宋_GB2312"/>
          <w:kern w:val="0"/>
          <w:sz w:val="32"/>
          <w:szCs w:val="32"/>
        </w:rPr>
        <w:t>斑块</w:t>
      </w:r>
      <w:r>
        <w:rPr>
          <w:rFonts w:ascii="Times New Roman" w:hAnsi="Times New Roman" w:eastAsia="仿宋_GB2312"/>
          <w:kern w:val="0"/>
          <w:sz w:val="32"/>
          <w:szCs w:val="32"/>
        </w:rPr>
        <w:t>、多网络</w:t>
      </w:r>
      <w:r>
        <w:rPr>
          <w:rFonts w:hint="eastAsia" w:ascii="Times New Roman" w:hAnsi="Times New Roman" w:eastAsia="仿宋_GB2312"/>
          <w:kern w:val="0"/>
          <w:sz w:val="32"/>
          <w:szCs w:val="32"/>
        </w:rPr>
        <w:t>”</w:t>
      </w:r>
      <w:r>
        <w:rPr>
          <w:rFonts w:ascii="Times New Roman" w:hAnsi="Times New Roman" w:eastAsia="仿宋_GB2312"/>
          <w:kern w:val="0"/>
          <w:sz w:val="32"/>
          <w:szCs w:val="32"/>
        </w:rPr>
        <w:t>修复格局，增强生态系统功能，提升资源利用效率与生态质量，为美丽洛阳和现代化河南建设提供坚实生态支撑。</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39" w:name="_Toc22549"/>
      <w:bookmarkStart w:id="40" w:name="_Toc240990644"/>
      <w:bookmarkStart w:id="41" w:name="_Toc3597"/>
      <w:bookmarkStart w:id="42" w:name="_Toc1727"/>
      <w:r>
        <w:rPr>
          <w:rFonts w:hint="eastAsia" w:ascii="Times New Roman" w:hAnsi="Times New Roman" w:eastAsia="黑体"/>
          <w:bCs/>
          <w:sz w:val="32"/>
          <w:szCs w:val="32"/>
        </w:rPr>
        <w:t>第二节  基本原则</w:t>
      </w:r>
      <w:bookmarkEnd w:id="39"/>
      <w:bookmarkEnd w:id="40"/>
      <w:bookmarkEnd w:id="41"/>
      <w:bookmarkEnd w:id="42"/>
    </w:p>
    <w:p>
      <w:pPr>
        <w:keepNext w:val="0"/>
        <w:keepLines w:val="0"/>
        <w:pageBreakBefore w:val="0"/>
        <w:kinsoku/>
        <w:wordWrap/>
        <w:overflowPunct/>
        <w:topLinePunct w:val="0"/>
        <w:autoSpaceDE/>
        <w:autoSpaceDN/>
        <w:bidi w:val="0"/>
        <w:adjustRightInd/>
        <w:snapToGrid/>
        <w:spacing w:line="600" w:lineRule="exact"/>
        <w:ind w:firstLine="640" w:firstLineChars="200"/>
        <w:contextualSpacing/>
        <w:textAlignment w:val="auto"/>
        <w:rPr>
          <w:rFonts w:ascii="Times New Roman" w:hAnsi="Times New Roman" w:eastAsia="楷体_GB2312"/>
          <w:sz w:val="32"/>
          <w:szCs w:val="32"/>
        </w:rPr>
      </w:pPr>
      <w:r>
        <w:rPr>
          <w:rFonts w:ascii="Times New Roman" w:hAnsi="Times New Roman" w:eastAsia="楷体_GB2312"/>
          <w:sz w:val="32"/>
          <w:szCs w:val="32"/>
        </w:rPr>
        <w:t>保育优先，绿色</w:t>
      </w:r>
      <w:r>
        <w:rPr>
          <w:rFonts w:hint="eastAsia" w:ascii="Times New Roman" w:hAnsi="Times New Roman" w:eastAsia="楷体_GB2312"/>
          <w:sz w:val="32"/>
          <w:szCs w:val="32"/>
        </w:rPr>
        <w:t>低碳</w:t>
      </w:r>
      <w:r>
        <w:rPr>
          <w:rFonts w:ascii="Times New Roman" w:hAnsi="Times New Roman" w:eastAsia="楷体_GB2312"/>
          <w:sz w:val="32"/>
          <w:szCs w:val="32"/>
        </w:rPr>
        <w:t>。</w:t>
      </w:r>
      <w:r>
        <w:rPr>
          <w:rFonts w:ascii="Times New Roman" w:hAnsi="Times New Roman" w:eastAsia="仿宋_GB2312"/>
          <w:sz w:val="32"/>
          <w:szCs w:val="32"/>
        </w:rPr>
        <w:t>坚持尊重自然、顺应自然、保护自然，遵循自然生态系统演替规律，充分发挥大自然的自我修复能力。将保护置于开发之前、修复置于利用之前，服务碳达峰碳中和战略，全面保护自然资源，维护生物多样性，构建生态安全新格局。加快资源型产业绿色化改造，高质量推进矿山环境</w:t>
      </w:r>
      <w:r>
        <w:rPr>
          <w:rFonts w:hint="eastAsia" w:ascii="Times New Roman" w:hAnsi="Times New Roman" w:eastAsia="仿宋_GB2312"/>
          <w:sz w:val="32"/>
          <w:szCs w:val="32"/>
          <w:lang w:eastAsia="zh-CN"/>
        </w:rPr>
        <w:t>保护</w:t>
      </w:r>
      <w:r>
        <w:rPr>
          <w:rFonts w:ascii="Times New Roman" w:hAnsi="Times New Roman" w:eastAsia="仿宋_GB2312"/>
          <w:sz w:val="32"/>
          <w:szCs w:val="32"/>
        </w:rPr>
        <w:t>和治理，高标准开展矿山</w:t>
      </w:r>
      <w:r>
        <w:rPr>
          <w:rFonts w:hint="eastAsia" w:ascii="Times New Roman" w:hAnsi="Times New Roman" w:eastAsia="仿宋_GB2312"/>
          <w:sz w:val="32"/>
          <w:szCs w:val="32"/>
          <w:lang w:eastAsia="zh-CN"/>
        </w:rPr>
        <w:t>生态</w:t>
      </w:r>
      <w:r>
        <w:rPr>
          <w:rFonts w:ascii="Times New Roman" w:hAnsi="Times New Roman" w:eastAsia="仿宋_GB2312"/>
          <w:sz w:val="32"/>
          <w:szCs w:val="32"/>
        </w:rPr>
        <w:t>修复，全链条加快矿产企业转型升级，推动矿产资源开发与黄河生态保护相得益彰。</w:t>
      </w:r>
    </w:p>
    <w:p>
      <w:pPr>
        <w:keepNext w:val="0"/>
        <w:keepLines w:val="0"/>
        <w:pageBreakBefore w:val="0"/>
        <w:kinsoku/>
        <w:wordWrap/>
        <w:overflowPunct/>
        <w:topLinePunct w:val="0"/>
        <w:autoSpaceDE/>
        <w:autoSpaceDN/>
        <w:bidi w:val="0"/>
        <w:adjustRightInd/>
        <w:snapToGrid/>
        <w:spacing w:line="600" w:lineRule="exact"/>
        <w:ind w:firstLine="640" w:firstLineChars="200"/>
        <w:contextualSpacing/>
        <w:textAlignment w:val="auto"/>
        <w:rPr>
          <w:rFonts w:ascii="Times New Roman" w:hAnsi="Times New Roman" w:eastAsia="仿宋_GB2312"/>
          <w:sz w:val="32"/>
          <w:szCs w:val="32"/>
        </w:rPr>
      </w:pPr>
      <w:r>
        <w:rPr>
          <w:rFonts w:ascii="Times New Roman" w:hAnsi="Times New Roman" w:eastAsia="楷体_GB2312"/>
          <w:sz w:val="32"/>
          <w:szCs w:val="32"/>
        </w:rPr>
        <w:t>全域统筹，系统</w:t>
      </w:r>
      <w:r>
        <w:rPr>
          <w:rFonts w:hint="eastAsia" w:ascii="Times New Roman" w:hAnsi="Times New Roman" w:eastAsia="楷体_GB2312"/>
          <w:sz w:val="32"/>
          <w:szCs w:val="32"/>
        </w:rPr>
        <w:t>治理</w:t>
      </w:r>
      <w:r>
        <w:rPr>
          <w:rFonts w:ascii="Times New Roman" w:hAnsi="Times New Roman" w:eastAsia="楷体_GB2312"/>
          <w:sz w:val="32"/>
          <w:szCs w:val="32"/>
        </w:rPr>
        <w:t>。</w:t>
      </w:r>
      <w:r>
        <w:rPr>
          <w:rFonts w:hint="eastAsia" w:ascii="仿宋_GB2312" w:hAnsi="Times New Roman" w:eastAsia="仿宋_GB2312"/>
          <w:sz w:val="32"/>
          <w:szCs w:val="32"/>
        </w:rPr>
        <w:t>坚持山水林田湖草沙一体化保护和系统治理。统筹黄河流域与淮河、长江流域洛阳部分，统筹南部山地、黄土丘陵、河谷平原，统筹上下游、干支流、左右岸。聚焦重点生态功能区、生态保护红线、自然保护地等重点区域，坚持自然恢复为主、人工修复为辅，推进山水林田湖草沙系统治理，增强修复工程的整体性、协同性和持续性。</w:t>
      </w:r>
    </w:p>
    <w:p>
      <w:pPr>
        <w:keepNext w:val="0"/>
        <w:keepLines w:val="0"/>
        <w:pageBreakBefore w:val="0"/>
        <w:kinsoku/>
        <w:wordWrap/>
        <w:overflowPunct/>
        <w:topLinePunct w:val="0"/>
        <w:autoSpaceDE/>
        <w:autoSpaceDN/>
        <w:bidi w:val="0"/>
        <w:adjustRightInd/>
        <w:snapToGrid/>
        <w:spacing w:line="600" w:lineRule="exact"/>
        <w:ind w:firstLine="640" w:firstLineChars="200"/>
        <w:contextualSpacing/>
        <w:textAlignment w:val="auto"/>
        <w:rPr>
          <w:rFonts w:ascii="仿宋_GB2312" w:hAnsi="Times New Roman" w:eastAsia="仿宋_GB2312"/>
          <w:sz w:val="32"/>
          <w:szCs w:val="32"/>
        </w:rPr>
      </w:pPr>
      <w:r>
        <w:rPr>
          <w:rFonts w:hint="eastAsia" w:ascii="Times New Roman" w:hAnsi="Times New Roman" w:eastAsia="楷体_GB2312"/>
          <w:sz w:val="32"/>
          <w:szCs w:val="32"/>
        </w:rPr>
        <w:t>因地制宜，分区施策。</w:t>
      </w:r>
      <w:r>
        <w:rPr>
          <w:rFonts w:hint="eastAsia" w:ascii="仿宋_GB2312" w:hAnsi="Times New Roman" w:eastAsia="仿宋_GB2312"/>
          <w:sz w:val="32"/>
          <w:szCs w:val="32"/>
        </w:rPr>
        <w:t>依据黄河阶地平原区、伊洛河谷平原区、黄土丘陵浅山区、南部山地涵养区等不同单元的自然禀赋和生态问题，坚持分区分类施策。以水而定、量水而行，宜林则林、宜草则草、宜荒则荒，科学配置保育保护、自然恢复、辅助再生和生态重建等措施，避免简单化、一刀切，促进森林、湿地、农田等生态系统质量和稳定性整体提升。</w:t>
      </w:r>
    </w:p>
    <w:p>
      <w:pPr>
        <w:keepNext w:val="0"/>
        <w:keepLines w:val="0"/>
        <w:pageBreakBefore w:val="0"/>
        <w:kinsoku/>
        <w:wordWrap/>
        <w:overflowPunct/>
        <w:topLinePunct w:val="0"/>
        <w:autoSpaceDE/>
        <w:autoSpaceDN/>
        <w:bidi w:val="0"/>
        <w:adjustRightInd/>
        <w:snapToGrid/>
        <w:spacing w:line="600" w:lineRule="exact"/>
        <w:ind w:firstLine="640" w:firstLineChars="200"/>
        <w:contextualSpacing/>
        <w:textAlignment w:val="auto"/>
        <w:rPr>
          <w:rFonts w:ascii="仿宋_GB2312" w:hAnsi="Times New Roman" w:eastAsia="仿宋_GB2312"/>
          <w:sz w:val="32"/>
          <w:szCs w:val="32"/>
        </w:rPr>
      </w:pPr>
      <w:r>
        <w:rPr>
          <w:rFonts w:hint="eastAsia" w:ascii="Times New Roman" w:hAnsi="Times New Roman" w:eastAsia="楷体_GB2312"/>
          <w:sz w:val="32"/>
          <w:szCs w:val="32"/>
        </w:rPr>
        <w:t>问题牵引，重点攻坚。</w:t>
      </w:r>
      <w:r>
        <w:rPr>
          <w:rFonts w:hint="eastAsia" w:ascii="仿宋_GB2312" w:hAnsi="Times New Roman" w:eastAsia="仿宋_GB2312"/>
          <w:sz w:val="32"/>
          <w:szCs w:val="32"/>
        </w:rPr>
        <w:t>立足洛阳自然地理格局、生态系统状况和主体功能定位，聚焦历史遗留矿山地质环境治理、黄土丘陵水土流失防治、黄河湿地退化修复、伊洛河廊道断点连通、城镇空间生态品质提升等突出问题。服务黄河流域生态保护和高质量发展等重大战略，扎实推进黄河滩区综合治理与湿地保护修复，深入实施“净水入黄河”工程，强化伏牛山、熊耳山等重点区域生态治理。明确修复优先序，集中力量部署重大工程。</w:t>
      </w:r>
    </w:p>
    <w:p>
      <w:pPr>
        <w:keepNext w:val="0"/>
        <w:keepLines w:val="0"/>
        <w:pageBreakBefore w:val="0"/>
        <w:kinsoku/>
        <w:wordWrap/>
        <w:overflowPunct/>
        <w:topLinePunct w:val="0"/>
        <w:autoSpaceDE/>
        <w:autoSpaceDN/>
        <w:bidi w:val="0"/>
        <w:adjustRightInd/>
        <w:snapToGrid/>
        <w:spacing w:line="600" w:lineRule="exact"/>
        <w:ind w:firstLine="640" w:firstLineChars="200"/>
        <w:contextualSpacing/>
        <w:textAlignment w:val="auto"/>
        <w:rPr>
          <w:rFonts w:ascii="Times New Roman" w:hAnsi="Times New Roman" w:eastAsia="仿宋_GB2312"/>
          <w:sz w:val="32"/>
          <w:szCs w:val="32"/>
        </w:rPr>
      </w:pPr>
      <w:r>
        <w:rPr>
          <w:rFonts w:hint="eastAsia" w:ascii="Times New Roman" w:hAnsi="Times New Roman" w:eastAsia="楷体_GB2312"/>
          <w:sz w:val="32"/>
          <w:szCs w:val="32"/>
        </w:rPr>
        <w:t>法治保障，改革创新。</w:t>
      </w:r>
      <w:r>
        <w:rPr>
          <w:rFonts w:hint="eastAsia" w:ascii="Times New Roman" w:hAnsi="Times New Roman" w:eastAsia="仿宋_GB2312"/>
          <w:sz w:val="32"/>
          <w:szCs w:val="32"/>
        </w:rPr>
        <w:t>运用法治思维和法治方式推进生态修复，</w:t>
      </w:r>
      <w:r>
        <w:rPr>
          <w:rFonts w:ascii="Times New Roman" w:hAnsi="Times New Roman" w:eastAsia="仿宋_GB2312"/>
          <w:sz w:val="32"/>
          <w:szCs w:val="32"/>
        </w:rPr>
        <w:t>完善自然资源资产产权、生态补偿、损害赔偿等制度，拓宽投融资渠道，创新多元化投入和监管模式。探索生态环境导向的开发模式、林业碳汇交易、生态产品价值实现等新路径，建立健全生态产品价值实现机制。强化科技创新支撑，提升生态治理体系和治理能力现代化水平。</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43" w:name="_Toc12001"/>
      <w:bookmarkStart w:id="44" w:name="_Toc240990645"/>
      <w:bookmarkStart w:id="45" w:name="_Toc22748"/>
      <w:bookmarkStart w:id="46" w:name="_Toc18578"/>
      <w:r>
        <w:rPr>
          <w:rFonts w:hint="eastAsia" w:ascii="Times New Roman" w:hAnsi="Times New Roman" w:eastAsia="黑体"/>
          <w:bCs/>
          <w:sz w:val="32"/>
          <w:szCs w:val="32"/>
        </w:rPr>
        <w:t>第三节  主要目标</w:t>
      </w:r>
      <w:bookmarkEnd w:id="43"/>
      <w:bookmarkEnd w:id="44"/>
      <w:bookmarkEnd w:id="45"/>
      <w:bookmarkEnd w:id="46"/>
    </w:p>
    <w:p>
      <w:pPr>
        <w:keepNext w:val="0"/>
        <w:keepLines w:val="0"/>
        <w:pageBreakBefore w:val="0"/>
        <w:kinsoku/>
        <w:wordWrap/>
        <w:overflowPunct/>
        <w:topLinePunct w:val="0"/>
        <w:autoSpaceDE/>
        <w:autoSpaceDN/>
        <w:bidi w:val="0"/>
        <w:adjustRightInd/>
        <w:snapToGrid/>
        <w:spacing w:line="600" w:lineRule="exact"/>
        <w:ind w:firstLine="640" w:firstLineChars="200"/>
        <w:contextualSpacing/>
        <w:textAlignment w:val="auto"/>
        <w:rPr>
          <w:rFonts w:ascii="仿宋_GB2312" w:hAnsi="Times New Roman" w:eastAsia="仿宋_GB2312"/>
          <w:sz w:val="32"/>
          <w:szCs w:val="32"/>
        </w:rPr>
      </w:pPr>
      <w:bookmarkStart w:id="47" w:name="_Toc7652"/>
      <w:bookmarkStart w:id="48" w:name="_Toc30588"/>
      <w:bookmarkStart w:id="49" w:name="_Toc74636312"/>
      <w:r>
        <w:rPr>
          <w:rFonts w:hint="eastAsia" w:ascii="仿宋_GB2312" w:hAnsi="Times New Roman" w:eastAsia="仿宋_GB2312"/>
          <w:sz w:val="32"/>
          <w:szCs w:val="32"/>
        </w:rPr>
        <w:t>到2030年，黄河流域保护治理和南部山区生态屏障建设实现更大进展，美丽洛阳建设成效显著。重点地区历史遗留矿山生态修复基本完成，新建、生产矿山落实边开采边治理、地质环境同步修复；伏牛山等山脉和黄河、伊洛河等重点流域突出生态问题得到有效解决，森林、草地、湿地、农田等生态系统质量和稳定性显著增强，生态安全屏障更加牢固，流域水生态环境和农田生态系统质量明显改善，现代生态宜居城市品质持续提升，以伏牛山、黄河湿地等为优先区域的生物多样性保护取得积极成效，全市生态环境质量全面改善。</w:t>
      </w:r>
    </w:p>
    <w:p>
      <w:pPr>
        <w:keepNext w:val="0"/>
        <w:keepLines w:val="0"/>
        <w:pageBreakBefore w:val="0"/>
        <w:kinsoku/>
        <w:wordWrap/>
        <w:overflowPunct/>
        <w:topLinePunct w:val="0"/>
        <w:autoSpaceDE/>
        <w:autoSpaceDN/>
        <w:bidi w:val="0"/>
        <w:adjustRightInd/>
        <w:snapToGrid/>
        <w:spacing w:line="600" w:lineRule="exact"/>
        <w:ind w:firstLine="640" w:firstLineChars="200"/>
        <w:contextualSpacing/>
        <w:textAlignment w:val="auto"/>
        <w:rPr>
          <w:rFonts w:ascii="仿宋_GB2312" w:hAnsi="Times New Roman" w:eastAsia="仿宋_GB2312"/>
          <w:sz w:val="32"/>
          <w:szCs w:val="32"/>
        </w:rPr>
      </w:pPr>
      <w:r>
        <w:rPr>
          <w:rFonts w:ascii="仿宋_GB2312" w:hAnsi="Times New Roman" w:eastAsia="仿宋_GB2312"/>
          <w:sz w:val="32"/>
          <w:szCs w:val="32"/>
        </w:rPr>
        <w:t>展望2035年，美丽洛阳基本建成，人与自然和谐共生的现代化洛阳基本实现。全市自然生态系统状况根本好转，森林、草地、湿地、农田等生态系统质量和稳定性全面提升，生态环境质量显著提高；优质生态产品供给能力极大提升，生态经济优势充分彰显；以国家公园为主体的自然保护地体系全面建成，自然保护地管理效能显著增强；林草湿固碳减排贡献更加突出，生态系统健康稳定；绿色生产生活方式广泛形成，生产空间安全高效、生活空间舒适宜居、生态空间山清水秀，基本实现人与自然和谐共生的现代化洛阳。</w:t>
      </w:r>
    </w:p>
    <w:bookmarkEnd w:id="47"/>
    <w:bookmarkEnd w:id="48"/>
    <w:p>
      <w:pPr>
        <w:overflowPunct w:val="0"/>
        <w:topLinePunct/>
        <w:jc w:val="center"/>
        <w:rPr>
          <w:rFonts w:ascii="Times New Roman" w:hAnsi="Times New Roman" w:eastAsia="黑体" w:cs="黑体"/>
          <w:bCs/>
          <w:sz w:val="32"/>
          <w:szCs w:val="32"/>
        </w:rPr>
      </w:pPr>
      <w:r>
        <w:rPr>
          <w:rFonts w:hint="eastAsia" w:ascii="Times New Roman" w:hAnsi="Times New Roman" w:eastAsia="黑体" w:cs="黑体"/>
          <w:bCs/>
          <w:sz w:val="32"/>
          <w:szCs w:val="32"/>
        </w:rPr>
        <w:t>表2-1  主要指标</w:t>
      </w:r>
    </w:p>
    <w:tbl>
      <w:tblPr>
        <w:tblStyle w:val="23"/>
        <w:tblW w:w="9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472"/>
        <w:gridCol w:w="2435"/>
        <w:gridCol w:w="1600"/>
        <w:gridCol w:w="959"/>
        <w:gridCol w:w="1119"/>
        <w:gridCol w:w="1198"/>
        <w:gridCol w:w="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723" w:type="dxa"/>
            <w:vAlign w:val="center"/>
          </w:tcPr>
          <w:p>
            <w:pPr>
              <w:spacing w:line="240" w:lineRule="exact"/>
              <w:jc w:val="center"/>
              <w:rPr>
                <w:rFonts w:ascii="Times New Roman" w:hAnsi="Times New Roman" w:eastAsia="仿宋_GB2312"/>
                <w:b/>
                <w:bCs/>
                <w:szCs w:val="21"/>
              </w:rPr>
            </w:pPr>
            <w:r>
              <w:rPr>
                <w:rFonts w:ascii="Times New Roman" w:hAnsi="Times New Roman" w:eastAsia="仿宋_GB2312"/>
                <w:b/>
                <w:bCs/>
                <w:szCs w:val="21"/>
              </w:rPr>
              <w:t>指标</w:t>
            </w:r>
          </w:p>
          <w:p>
            <w:pPr>
              <w:spacing w:line="240" w:lineRule="exact"/>
              <w:jc w:val="center"/>
              <w:rPr>
                <w:rFonts w:ascii="Times New Roman" w:hAnsi="Times New Roman" w:eastAsia="仿宋_GB2312"/>
                <w:b/>
                <w:bCs/>
                <w:szCs w:val="21"/>
              </w:rPr>
            </w:pPr>
            <w:r>
              <w:rPr>
                <w:rFonts w:ascii="Times New Roman" w:hAnsi="Times New Roman" w:eastAsia="仿宋_GB2312"/>
                <w:b/>
                <w:bCs/>
                <w:szCs w:val="21"/>
              </w:rPr>
              <w:t>分类</w:t>
            </w:r>
          </w:p>
        </w:tc>
        <w:tc>
          <w:tcPr>
            <w:tcW w:w="472" w:type="dxa"/>
            <w:vAlign w:val="center"/>
          </w:tcPr>
          <w:p>
            <w:pPr>
              <w:spacing w:line="240" w:lineRule="exact"/>
              <w:jc w:val="center"/>
              <w:rPr>
                <w:rFonts w:ascii="Times New Roman" w:hAnsi="Times New Roman" w:eastAsia="仿宋_GB2312"/>
                <w:b/>
                <w:bCs/>
                <w:szCs w:val="21"/>
              </w:rPr>
            </w:pPr>
            <w:r>
              <w:rPr>
                <w:rFonts w:ascii="Times New Roman" w:hAnsi="Times New Roman" w:eastAsia="仿宋_GB2312"/>
                <w:b/>
                <w:bCs/>
                <w:szCs w:val="21"/>
              </w:rPr>
              <w:t>序号</w:t>
            </w:r>
          </w:p>
        </w:tc>
        <w:tc>
          <w:tcPr>
            <w:tcW w:w="4035" w:type="dxa"/>
            <w:gridSpan w:val="2"/>
            <w:noWrap/>
            <w:vAlign w:val="center"/>
          </w:tcPr>
          <w:p>
            <w:pPr>
              <w:spacing w:line="240" w:lineRule="exact"/>
              <w:jc w:val="center"/>
              <w:rPr>
                <w:rFonts w:ascii="Times New Roman" w:hAnsi="Times New Roman" w:eastAsia="仿宋_GB2312"/>
                <w:b/>
                <w:bCs/>
                <w:szCs w:val="21"/>
              </w:rPr>
            </w:pPr>
            <w:r>
              <w:rPr>
                <w:rFonts w:ascii="Times New Roman" w:hAnsi="Times New Roman" w:eastAsia="仿宋_GB2312"/>
                <w:b/>
                <w:bCs/>
                <w:szCs w:val="21"/>
              </w:rPr>
              <w:t>指标名称</w:t>
            </w:r>
          </w:p>
        </w:tc>
        <w:tc>
          <w:tcPr>
            <w:tcW w:w="959" w:type="dxa"/>
            <w:noWrap/>
            <w:vAlign w:val="center"/>
          </w:tcPr>
          <w:p>
            <w:pPr>
              <w:spacing w:line="240" w:lineRule="exact"/>
              <w:jc w:val="center"/>
              <w:rPr>
                <w:rFonts w:ascii="Times New Roman" w:hAnsi="Times New Roman" w:eastAsia="仿宋_GB2312"/>
                <w:b/>
                <w:bCs/>
                <w:szCs w:val="21"/>
              </w:rPr>
            </w:pPr>
            <w:r>
              <w:rPr>
                <w:rFonts w:ascii="Times New Roman" w:hAnsi="Times New Roman" w:eastAsia="仿宋_GB2312"/>
                <w:b/>
                <w:bCs/>
                <w:szCs w:val="21"/>
              </w:rPr>
              <w:t>202</w:t>
            </w:r>
            <w:r>
              <w:rPr>
                <w:rFonts w:hint="eastAsia" w:ascii="Times New Roman" w:hAnsi="Times New Roman" w:eastAsia="仿宋_GB2312"/>
                <w:b/>
                <w:bCs/>
                <w:szCs w:val="21"/>
              </w:rPr>
              <w:t>5</w:t>
            </w:r>
            <w:r>
              <w:rPr>
                <w:rFonts w:ascii="Times New Roman" w:hAnsi="Times New Roman" w:eastAsia="仿宋_GB2312"/>
                <w:b/>
                <w:bCs/>
                <w:szCs w:val="21"/>
              </w:rPr>
              <w:t>年</w:t>
            </w:r>
            <w:r>
              <w:rPr>
                <w:rFonts w:hint="eastAsia" w:ascii="Times New Roman" w:hAnsi="Times New Roman" w:eastAsia="仿宋_GB2312"/>
                <w:b/>
                <w:bCs/>
                <w:szCs w:val="21"/>
              </w:rPr>
              <w:t>基数</w:t>
            </w:r>
          </w:p>
        </w:tc>
        <w:tc>
          <w:tcPr>
            <w:tcW w:w="1119" w:type="dxa"/>
            <w:tcBorders>
              <w:top w:val="single" w:color="auto" w:sz="4" w:space="0"/>
            </w:tcBorders>
            <w:noWrap/>
            <w:vAlign w:val="center"/>
          </w:tcPr>
          <w:p>
            <w:pPr>
              <w:spacing w:line="240" w:lineRule="exact"/>
              <w:jc w:val="center"/>
              <w:rPr>
                <w:rFonts w:ascii="Times New Roman" w:hAnsi="Times New Roman" w:eastAsia="仿宋_GB2312"/>
                <w:b/>
                <w:bCs/>
                <w:szCs w:val="21"/>
              </w:rPr>
            </w:pPr>
            <w:r>
              <w:rPr>
                <w:rFonts w:ascii="Times New Roman" w:hAnsi="Times New Roman" w:eastAsia="仿宋_GB2312"/>
                <w:b/>
                <w:bCs/>
                <w:szCs w:val="21"/>
              </w:rPr>
              <w:t>20</w:t>
            </w:r>
            <w:r>
              <w:rPr>
                <w:rFonts w:hint="eastAsia" w:ascii="Times New Roman" w:hAnsi="Times New Roman" w:eastAsia="仿宋_GB2312"/>
                <w:b/>
                <w:bCs/>
                <w:szCs w:val="21"/>
              </w:rPr>
              <w:t>30</w:t>
            </w:r>
            <w:r>
              <w:rPr>
                <w:rFonts w:ascii="Times New Roman" w:hAnsi="Times New Roman" w:eastAsia="仿宋_GB2312"/>
                <w:b/>
                <w:bCs/>
                <w:szCs w:val="21"/>
              </w:rPr>
              <w:t>年</w:t>
            </w:r>
          </w:p>
        </w:tc>
        <w:tc>
          <w:tcPr>
            <w:tcW w:w="1198" w:type="dxa"/>
            <w:tcBorders>
              <w:top w:val="single" w:color="auto" w:sz="4" w:space="0"/>
            </w:tcBorders>
            <w:noWrap/>
            <w:vAlign w:val="center"/>
          </w:tcPr>
          <w:p>
            <w:pPr>
              <w:spacing w:line="240" w:lineRule="exact"/>
              <w:jc w:val="center"/>
              <w:rPr>
                <w:rFonts w:ascii="Times New Roman" w:hAnsi="Times New Roman" w:eastAsia="仿宋_GB2312"/>
                <w:b/>
                <w:bCs/>
                <w:szCs w:val="21"/>
              </w:rPr>
            </w:pPr>
            <w:r>
              <w:rPr>
                <w:rFonts w:ascii="Times New Roman" w:hAnsi="Times New Roman" w:eastAsia="仿宋_GB2312"/>
                <w:b/>
                <w:bCs/>
                <w:szCs w:val="21"/>
              </w:rPr>
              <w:t>2035年</w:t>
            </w:r>
          </w:p>
          <w:p>
            <w:pPr>
              <w:spacing w:line="240" w:lineRule="exact"/>
              <w:jc w:val="center"/>
              <w:rPr>
                <w:rFonts w:ascii="Times New Roman" w:hAnsi="Times New Roman" w:eastAsia="仿宋_GB2312"/>
                <w:b/>
                <w:bCs/>
                <w:szCs w:val="21"/>
              </w:rPr>
            </w:pPr>
            <w:r>
              <w:rPr>
                <w:rFonts w:ascii="Times New Roman" w:hAnsi="Times New Roman" w:eastAsia="仿宋_GB2312"/>
                <w:b/>
                <w:bCs/>
                <w:szCs w:val="21"/>
              </w:rPr>
              <w:t>展望</w:t>
            </w:r>
          </w:p>
        </w:tc>
        <w:tc>
          <w:tcPr>
            <w:tcW w:w="903" w:type="dxa"/>
            <w:vAlign w:val="center"/>
          </w:tcPr>
          <w:p>
            <w:pPr>
              <w:spacing w:line="240" w:lineRule="exact"/>
              <w:jc w:val="center"/>
              <w:rPr>
                <w:rFonts w:ascii="Times New Roman" w:hAnsi="Times New Roman" w:eastAsia="仿宋_GB2312"/>
                <w:b/>
                <w:bCs/>
                <w:szCs w:val="21"/>
              </w:rPr>
            </w:pPr>
            <w:r>
              <w:rPr>
                <w:rFonts w:ascii="Times New Roman" w:hAnsi="Times New Roman" w:eastAsia="仿宋_GB2312"/>
                <w:b/>
                <w:bCs/>
                <w:szCs w:val="21"/>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restart"/>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生态质量类</w:t>
            </w: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1</w:t>
            </w:r>
          </w:p>
        </w:tc>
        <w:tc>
          <w:tcPr>
            <w:tcW w:w="4035" w:type="dxa"/>
            <w:gridSpan w:val="2"/>
            <w:noWrap/>
            <w:vAlign w:val="center"/>
          </w:tcPr>
          <w:p>
            <w:pPr>
              <w:overflowPunct w:val="0"/>
              <w:topLinePunct/>
              <w:spacing w:line="240" w:lineRule="exact"/>
              <w:rPr>
                <w:rFonts w:ascii="Times New Roman" w:hAnsi="Times New Roman" w:eastAsia="仿宋_GB2312"/>
                <w:szCs w:val="21"/>
              </w:rPr>
            </w:pPr>
            <w:r>
              <w:rPr>
                <w:rFonts w:ascii="Times New Roman" w:hAnsi="Times New Roman" w:eastAsia="仿宋_GB2312"/>
                <w:szCs w:val="21"/>
              </w:rPr>
              <w:t>森林覆盖率（%）</w:t>
            </w:r>
          </w:p>
        </w:tc>
        <w:tc>
          <w:tcPr>
            <w:tcW w:w="95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kern w:val="0"/>
                <w:szCs w:val="21"/>
                <w:lang w:val="zh-CN" w:bidi="zh-CN"/>
              </w:rPr>
              <w:t>45.5</w:t>
            </w:r>
          </w:p>
        </w:tc>
        <w:tc>
          <w:tcPr>
            <w:tcW w:w="111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占比不减少</w:t>
            </w:r>
          </w:p>
        </w:tc>
        <w:tc>
          <w:tcPr>
            <w:tcW w:w="1198"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占比不减少</w:t>
            </w:r>
          </w:p>
        </w:tc>
        <w:tc>
          <w:tcPr>
            <w:tcW w:w="903" w:type="dxa"/>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2</w:t>
            </w:r>
          </w:p>
        </w:tc>
        <w:tc>
          <w:tcPr>
            <w:tcW w:w="4035" w:type="dxa"/>
            <w:gridSpan w:val="2"/>
            <w:noWrap/>
            <w:vAlign w:val="center"/>
          </w:tcPr>
          <w:p>
            <w:pPr>
              <w:overflowPunct w:val="0"/>
              <w:topLinePunct/>
              <w:spacing w:line="240" w:lineRule="exact"/>
              <w:rPr>
                <w:rFonts w:ascii="Times New Roman" w:hAnsi="Times New Roman" w:eastAsia="仿宋_GB2312"/>
                <w:szCs w:val="21"/>
              </w:rPr>
            </w:pPr>
            <w:r>
              <w:rPr>
                <w:rFonts w:ascii="Times New Roman" w:hAnsi="Times New Roman" w:eastAsia="仿宋_GB2312"/>
                <w:szCs w:val="21"/>
              </w:rPr>
              <w:t>森林蓄积量（</w:t>
            </w:r>
            <w:r>
              <w:rPr>
                <w:rFonts w:hint="eastAsia" w:ascii="Times New Roman" w:hAnsi="Times New Roman" w:eastAsia="仿宋_GB2312"/>
                <w:szCs w:val="21"/>
              </w:rPr>
              <w:t>万</w:t>
            </w:r>
            <w:r>
              <w:rPr>
                <w:rFonts w:ascii="Times New Roman" w:hAnsi="Times New Roman" w:eastAsia="仿宋_GB2312"/>
                <w:szCs w:val="21"/>
              </w:rPr>
              <w:t>立方米）</w:t>
            </w:r>
          </w:p>
        </w:tc>
        <w:tc>
          <w:tcPr>
            <w:tcW w:w="95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kern w:val="0"/>
                <w:szCs w:val="21"/>
                <w:lang w:val="zh-CN" w:bidi="zh-CN"/>
              </w:rPr>
              <w:t>4590</w:t>
            </w:r>
          </w:p>
        </w:tc>
        <w:tc>
          <w:tcPr>
            <w:tcW w:w="111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数量不减少</w:t>
            </w:r>
          </w:p>
        </w:tc>
        <w:tc>
          <w:tcPr>
            <w:tcW w:w="1198"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数量不减少</w:t>
            </w:r>
          </w:p>
        </w:tc>
        <w:tc>
          <w:tcPr>
            <w:tcW w:w="903" w:type="dxa"/>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3</w:t>
            </w:r>
          </w:p>
        </w:tc>
        <w:tc>
          <w:tcPr>
            <w:tcW w:w="4035" w:type="dxa"/>
            <w:gridSpan w:val="2"/>
            <w:noWrap/>
            <w:vAlign w:val="center"/>
          </w:tcPr>
          <w:p>
            <w:pPr>
              <w:overflowPunct w:val="0"/>
              <w:topLinePunct/>
              <w:spacing w:line="240" w:lineRule="exact"/>
              <w:rPr>
                <w:rFonts w:ascii="Times New Roman" w:hAnsi="Times New Roman" w:eastAsia="仿宋_GB2312"/>
                <w:szCs w:val="21"/>
                <w:highlight w:val="yellow"/>
              </w:rPr>
            </w:pPr>
            <w:r>
              <w:rPr>
                <w:rFonts w:ascii="Times New Roman" w:hAnsi="Times New Roman" w:eastAsia="仿宋_GB2312"/>
                <w:szCs w:val="21"/>
              </w:rPr>
              <w:t>生态保护红线面积</w:t>
            </w:r>
            <w:r>
              <w:rPr>
                <w:rFonts w:hint="eastAsia" w:ascii="Times New Roman" w:hAnsi="Times New Roman" w:eastAsia="仿宋_GB2312"/>
                <w:szCs w:val="21"/>
              </w:rPr>
              <w:t>（平方公里）</w:t>
            </w:r>
          </w:p>
        </w:tc>
        <w:tc>
          <w:tcPr>
            <w:tcW w:w="95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1771.69</w:t>
            </w:r>
          </w:p>
        </w:tc>
        <w:tc>
          <w:tcPr>
            <w:tcW w:w="111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面积</w:t>
            </w:r>
          </w:p>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不减少</w:t>
            </w:r>
          </w:p>
        </w:tc>
        <w:tc>
          <w:tcPr>
            <w:tcW w:w="1198"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面积</w:t>
            </w:r>
          </w:p>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不减少</w:t>
            </w:r>
          </w:p>
        </w:tc>
        <w:tc>
          <w:tcPr>
            <w:tcW w:w="903" w:type="dxa"/>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4</w:t>
            </w:r>
          </w:p>
        </w:tc>
        <w:tc>
          <w:tcPr>
            <w:tcW w:w="4035" w:type="dxa"/>
            <w:gridSpan w:val="2"/>
            <w:noWrap/>
            <w:vAlign w:val="center"/>
          </w:tcPr>
          <w:p>
            <w:pPr>
              <w:overflowPunct w:val="0"/>
              <w:topLinePunct/>
              <w:spacing w:line="240" w:lineRule="exact"/>
              <w:rPr>
                <w:rFonts w:ascii="Times New Roman" w:hAnsi="Times New Roman" w:eastAsia="仿宋_GB2312"/>
                <w:szCs w:val="21"/>
              </w:rPr>
            </w:pPr>
            <w:r>
              <w:rPr>
                <w:rFonts w:ascii="Times New Roman" w:hAnsi="Times New Roman" w:eastAsia="仿宋_GB2312"/>
                <w:szCs w:val="21"/>
              </w:rPr>
              <w:t>湿地保护率（%）</w:t>
            </w:r>
          </w:p>
        </w:tc>
        <w:tc>
          <w:tcPr>
            <w:tcW w:w="959" w:type="dxa"/>
            <w:noWrap/>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kern w:val="0"/>
                <w:szCs w:val="21"/>
                <w:lang w:val="zh-CN" w:bidi="zh-CN"/>
              </w:rPr>
              <w:t>53.21</w:t>
            </w:r>
          </w:p>
        </w:tc>
        <w:tc>
          <w:tcPr>
            <w:tcW w:w="111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占比不减少</w:t>
            </w:r>
          </w:p>
        </w:tc>
        <w:tc>
          <w:tcPr>
            <w:tcW w:w="1198"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占比不减少</w:t>
            </w:r>
          </w:p>
        </w:tc>
        <w:tc>
          <w:tcPr>
            <w:tcW w:w="903" w:type="dxa"/>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5</w:t>
            </w:r>
          </w:p>
        </w:tc>
        <w:tc>
          <w:tcPr>
            <w:tcW w:w="4035" w:type="dxa"/>
            <w:gridSpan w:val="2"/>
            <w:noWrap/>
            <w:vAlign w:val="center"/>
          </w:tcPr>
          <w:p>
            <w:pPr>
              <w:overflowPunct w:val="0"/>
              <w:topLinePunct/>
              <w:spacing w:line="240" w:lineRule="exact"/>
              <w:rPr>
                <w:rFonts w:ascii="Times New Roman" w:hAnsi="Times New Roman" w:eastAsia="仿宋_GB2312"/>
                <w:szCs w:val="21"/>
              </w:rPr>
            </w:pPr>
            <w:r>
              <w:rPr>
                <w:rFonts w:hint="eastAsia" w:ascii="Times New Roman" w:hAnsi="Times New Roman" w:eastAsia="仿宋_GB2312"/>
                <w:szCs w:val="21"/>
              </w:rPr>
              <w:t>自然保护地面积占比（</w:t>
            </w:r>
            <w:r>
              <w:rPr>
                <w:rFonts w:ascii="Times New Roman" w:hAnsi="Times New Roman" w:eastAsia="仿宋_GB2312"/>
                <w:szCs w:val="21"/>
              </w:rPr>
              <w:t>%）</w:t>
            </w:r>
          </w:p>
        </w:tc>
        <w:tc>
          <w:tcPr>
            <w:tcW w:w="95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9</w:t>
            </w:r>
          </w:p>
        </w:tc>
        <w:tc>
          <w:tcPr>
            <w:tcW w:w="111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占比不减少</w:t>
            </w:r>
          </w:p>
        </w:tc>
        <w:tc>
          <w:tcPr>
            <w:tcW w:w="1198"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占比不减少</w:t>
            </w:r>
          </w:p>
        </w:tc>
        <w:tc>
          <w:tcPr>
            <w:tcW w:w="903" w:type="dxa"/>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6</w:t>
            </w:r>
          </w:p>
        </w:tc>
        <w:tc>
          <w:tcPr>
            <w:tcW w:w="4035" w:type="dxa"/>
            <w:gridSpan w:val="2"/>
            <w:noWrap/>
            <w:vAlign w:val="center"/>
          </w:tcPr>
          <w:p>
            <w:pPr>
              <w:overflowPunct w:val="0"/>
              <w:topLinePunct/>
              <w:spacing w:line="240" w:lineRule="exact"/>
              <w:rPr>
                <w:rFonts w:ascii="Times New Roman" w:hAnsi="Times New Roman" w:eastAsia="仿宋_GB2312"/>
                <w:szCs w:val="21"/>
              </w:rPr>
            </w:pPr>
            <w:r>
              <w:rPr>
                <w:rFonts w:hint="eastAsia" w:ascii="Times New Roman" w:hAnsi="Times New Roman" w:eastAsia="仿宋_GB2312"/>
                <w:szCs w:val="21"/>
              </w:rPr>
              <w:t>国家重点保护野生动植物种数保护率（%）</w:t>
            </w:r>
          </w:p>
        </w:tc>
        <w:tc>
          <w:tcPr>
            <w:tcW w:w="95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w:t>
            </w:r>
          </w:p>
        </w:tc>
        <w:tc>
          <w:tcPr>
            <w:tcW w:w="111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占比不减少</w:t>
            </w:r>
          </w:p>
        </w:tc>
        <w:tc>
          <w:tcPr>
            <w:tcW w:w="1198"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占比不减少</w:t>
            </w:r>
          </w:p>
        </w:tc>
        <w:tc>
          <w:tcPr>
            <w:tcW w:w="903" w:type="dxa"/>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7</w:t>
            </w:r>
          </w:p>
        </w:tc>
        <w:tc>
          <w:tcPr>
            <w:tcW w:w="4035" w:type="dxa"/>
            <w:gridSpan w:val="2"/>
            <w:noWrap/>
            <w:vAlign w:val="center"/>
          </w:tcPr>
          <w:p>
            <w:pPr>
              <w:spacing w:line="240" w:lineRule="exact"/>
              <w:rPr>
                <w:rFonts w:ascii="Times New Roman" w:hAnsi="Times New Roman" w:eastAsia="仿宋_GB2312"/>
                <w:szCs w:val="21"/>
              </w:rPr>
            </w:pPr>
            <w:r>
              <w:rPr>
                <w:rFonts w:ascii="Times New Roman" w:hAnsi="Times New Roman" w:eastAsia="仿宋_GB2312"/>
                <w:szCs w:val="21"/>
              </w:rPr>
              <w:t>水土保持率（%）</w:t>
            </w:r>
          </w:p>
        </w:tc>
        <w:tc>
          <w:tcPr>
            <w:tcW w:w="959" w:type="dxa"/>
            <w:noWrap/>
            <w:vAlign w:val="center"/>
          </w:tcPr>
          <w:p>
            <w:pPr>
              <w:spacing w:line="240" w:lineRule="exact"/>
              <w:jc w:val="center"/>
              <w:rPr>
                <w:rFonts w:ascii="Times New Roman" w:hAnsi="Times New Roman" w:eastAsia="仿宋_GB2312"/>
                <w:szCs w:val="21"/>
              </w:rPr>
            </w:pPr>
            <w:r>
              <w:rPr>
                <w:rFonts w:hint="eastAsia" w:ascii="Times New Roman" w:hAnsi="Times New Roman"/>
                <w:kern w:val="0"/>
                <w:szCs w:val="21"/>
                <w:lang w:val="zh-CN" w:bidi="zh-CN"/>
              </w:rPr>
              <w:t>72</w:t>
            </w:r>
          </w:p>
        </w:tc>
        <w:tc>
          <w:tcPr>
            <w:tcW w:w="1119"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完成省定目标</w:t>
            </w:r>
          </w:p>
        </w:tc>
        <w:tc>
          <w:tcPr>
            <w:tcW w:w="1198"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79.98</w:t>
            </w:r>
          </w:p>
        </w:tc>
        <w:tc>
          <w:tcPr>
            <w:tcW w:w="903" w:type="dxa"/>
            <w:vAlign w:val="center"/>
          </w:tcPr>
          <w:p>
            <w:pPr>
              <w:spacing w:line="240" w:lineRule="exact"/>
              <w:jc w:val="center"/>
              <w:rPr>
                <w:rFonts w:ascii="Times New Roman" w:hAnsi="Times New Roman" w:eastAsia="仿宋_GB2312"/>
                <w:szCs w:val="21"/>
              </w:rPr>
            </w:pPr>
            <w:r>
              <w:rPr>
                <w:rFonts w:ascii="Times New Roman" w:hAnsi="Times New Roman" w:eastAsia="仿宋_GB2312"/>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8</w:t>
            </w:r>
          </w:p>
        </w:tc>
        <w:tc>
          <w:tcPr>
            <w:tcW w:w="4035" w:type="dxa"/>
            <w:gridSpan w:val="2"/>
            <w:noWrap/>
            <w:vAlign w:val="center"/>
          </w:tcPr>
          <w:p>
            <w:pPr>
              <w:spacing w:line="240" w:lineRule="exact"/>
              <w:rPr>
                <w:rFonts w:ascii="Times New Roman" w:hAnsi="Times New Roman" w:eastAsia="仿宋_GB2312"/>
                <w:szCs w:val="21"/>
              </w:rPr>
            </w:pPr>
            <w:r>
              <w:rPr>
                <w:rFonts w:ascii="Times New Roman" w:hAnsi="Times New Roman" w:eastAsia="仿宋_GB2312"/>
                <w:szCs w:val="21"/>
              </w:rPr>
              <w:t>城市人均公园绿地面积（平方米）</w:t>
            </w:r>
          </w:p>
        </w:tc>
        <w:tc>
          <w:tcPr>
            <w:tcW w:w="959"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等线"/>
                <w:kern w:val="0"/>
                <w:szCs w:val="21"/>
                <w:lang w:bidi="ar"/>
              </w:rPr>
              <w:t>17.44</w:t>
            </w:r>
          </w:p>
        </w:tc>
        <w:tc>
          <w:tcPr>
            <w:tcW w:w="1119"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17.64</w:t>
            </w:r>
          </w:p>
        </w:tc>
        <w:tc>
          <w:tcPr>
            <w:tcW w:w="1198"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17.84</w:t>
            </w:r>
          </w:p>
        </w:tc>
        <w:tc>
          <w:tcPr>
            <w:tcW w:w="903" w:type="dxa"/>
            <w:vAlign w:val="center"/>
          </w:tcPr>
          <w:p>
            <w:pPr>
              <w:spacing w:line="240" w:lineRule="exact"/>
              <w:jc w:val="center"/>
              <w:rPr>
                <w:rFonts w:ascii="Times New Roman" w:hAnsi="Times New Roman" w:eastAsia="仿宋_GB2312"/>
                <w:szCs w:val="21"/>
              </w:rPr>
            </w:pPr>
            <w:r>
              <w:rPr>
                <w:rFonts w:ascii="Times New Roman" w:hAnsi="Times New Roman" w:eastAsia="仿宋_GB2312"/>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Merge w:val="restart"/>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9</w:t>
            </w:r>
          </w:p>
        </w:tc>
        <w:tc>
          <w:tcPr>
            <w:tcW w:w="2435" w:type="dxa"/>
            <w:vMerge w:val="restart"/>
            <w:noWrap/>
            <w:vAlign w:val="center"/>
          </w:tcPr>
          <w:p>
            <w:pPr>
              <w:overflowPunct w:val="0"/>
              <w:topLinePunct/>
              <w:spacing w:line="240" w:lineRule="exact"/>
              <w:rPr>
                <w:rFonts w:ascii="Times New Roman" w:hAnsi="Times New Roman" w:eastAsia="仿宋_GB2312"/>
                <w:szCs w:val="21"/>
              </w:rPr>
            </w:pPr>
            <w:r>
              <w:rPr>
                <w:rFonts w:hint="eastAsia" w:ascii="Times New Roman" w:hAnsi="Times New Roman" w:eastAsia="仿宋_GB2312"/>
                <w:szCs w:val="21"/>
              </w:rPr>
              <w:t>持证在产矿山绿色矿山建设比例（%）</w:t>
            </w:r>
          </w:p>
        </w:tc>
        <w:tc>
          <w:tcPr>
            <w:tcW w:w="1600"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大型</w:t>
            </w:r>
          </w:p>
        </w:tc>
        <w:tc>
          <w:tcPr>
            <w:tcW w:w="959" w:type="dxa"/>
            <w:noWrap/>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w:t>
            </w:r>
          </w:p>
        </w:tc>
        <w:tc>
          <w:tcPr>
            <w:tcW w:w="111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90</w:t>
            </w:r>
          </w:p>
        </w:tc>
        <w:tc>
          <w:tcPr>
            <w:tcW w:w="1198"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100</w:t>
            </w:r>
          </w:p>
        </w:tc>
        <w:tc>
          <w:tcPr>
            <w:tcW w:w="903" w:type="dxa"/>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overflowPunct w:val="0"/>
              <w:topLinePunct/>
              <w:spacing w:line="240" w:lineRule="exact"/>
            </w:pPr>
          </w:p>
        </w:tc>
        <w:tc>
          <w:tcPr>
            <w:tcW w:w="472" w:type="dxa"/>
            <w:vMerge w:val="continue"/>
            <w:vAlign w:val="center"/>
          </w:tcPr>
          <w:p>
            <w:pPr>
              <w:overflowPunct w:val="0"/>
              <w:topLinePunct/>
              <w:spacing w:line="240" w:lineRule="exact"/>
            </w:pPr>
          </w:p>
        </w:tc>
        <w:tc>
          <w:tcPr>
            <w:tcW w:w="2435" w:type="dxa"/>
            <w:vMerge w:val="continue"/>
            <w:noWrap/>
            <w:vAlign w:val="center"/>
          </w:tcPr>
          <w:p>
            <w:pPr>
              <w:overflowPunct w:val="0"/>
              <w:topLinePunct/>
              <w:spacing w:line="240" w:lineRule="exact"/>
            </w:pPr>
          </w:p>
        </w:tc>
        <w:tc>
          <w:tcPr>
            <w:tcW w:w="1600"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中型</w:t>
            </w:r>
          </w:p>
        </w:tc>
        <w:tc>
          <w:tcPr>
            <w:tcW w:w="959" w:type="dxa"/>
            <w:noWrap/>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w:t>
            </w:r>
          </w:p>
        </w:tc>
        <w:tc>
          <w:tcPr>
            <w:tcW w:w="111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80</w:t>
            </w:r>
          </w:p>
        </w:tc>
        <w:tc>
          <w:tcPr>
            <w:tcW w:w="1198"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szCs w:val="21"/>
              </w:rPr>
              <w:t>100</w:t>
            </w:r>
          </w:p>
        </w:tc>
        <w:tc>
          <w:tcPr>
            <w:tcW w:w="903" w:type="dxa"/>
            <w:vAlign w:val="center"/>
          </w:tcPr>
          <w:p>
            <w:pPr>
              <w:overflowPunct w:val="0"/>
              <w:topLinePunct/>
              <w:spacing w:line="240" w:lineRule="exact"/>
              <w:rPr>
                <w:rFonts w:ascii="Times New Roman" w:hAnsi="Times New Roman" w:eastAsia="仿宋_GB2312"/>
                <w:szCs w:val="21"/>
              </w:rPr>
            </w:pPr>
            <w:r>
              <w:rPr>
                <w:rFonts w:ascii="Times New Roman" w:hAnsi="Times New Roman" w:eastAsia="仿宋_GB2312"/>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10</w:t>
            </w:r>
          </w:p>
        </w:tc>
        <w:tc>
          <w:tcPr>
            <w:tcW w:w="4035" w:type="dxa"/>
            <w:gridSpan w:val="2"/>
            <w:noWrap/>
            <w:vAlign w:val="center"/>
          </w:tcPr>
          <w:p>
            <w:pPr>
              <w:overflowPunct w:val="0"/>
              <w:topLinePunct/>
              <w:spacing w:line="240" w:lineRule="exact"/>
              <w:rPr>
                <w:rFonts w:ascii="Times New Roman" w:hAnsi="Times New Roman" w:eastAsia="仿宋_GB2312"/>
                <w:szCs w:val="21"/>
                <w:highlight w:val="yellow"/>
              </w:rPr>
            </w:pPr>
            <w:r>
              <w:rPr>
                <w:rFonts w:hint="eastAsia" w:ascii="Times New Roman" w:hAnsi="Times New Roman" w:eastAsia="仿宋_GB2312"/>
                <w:szCs w:val="21"/>
              </w:rPr>
              <w:t>耕地保有量（万亩）</w:t>
            </w:r>
          </w:p>
        </w:tc>
        <w:tc>
          <w:tcPr>
            <w:tcW w:w="959" w:type="dxa"/>
            <w:noWrap/>
            <w:vAlign w:val="center"/>
          </w:tcPr>
          <w:p>
            <w:pPr>
              <w:overflowPunct w:val="0"/>
              <w:topLinePunct/>
              <w:spacing w:line="240" w:lineRule="exact"/>
              <w:jc w:val="center"/>
              <w:rPr>
                <w:rFonts w:ascii="Times New Roman" w:hAnsi="Times New Roman" w:eastAsia="仿宋_GB2312"/>
                <w:szCs w:val="21"/>
              </w:rPr>
            </w:pPr>
            <w:r>
              <w:rPr>
                <w:rFonts w:hint="eastAsia" w:ascii="Times New Roman" w:hAnsi="Times New Roman" w:eastAsia="仿宋_GB2312"/>
                <w:kern w:val="0"/>
                <w:szCs w:val="21"/>
              </w:rPr>
              <w:t>521.09</w:t>
            </w:r>
          </w:p>
        </w:tc>
        <w:tc>
          <w:tcPr>
            <w:tcW w:w="1119" w:type="dxa"/>
            <w:noWrap/>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w:t>
            </w:r>
            <w:r>
              <w:rPr>
                <w:rFonts w:hint="eastAsia" w:ascii="Times New Roman" w:hAnsi="Times New Roman" w:eastAsia="仿宋_GB2312"/>
                <w:szCs w:val="21"/>
              </w:rPr>
              <w:t>502.78</w:t>
            </w:r>
          </w:p>
        </w:tc>
        <w:tc>
          <w:tcPr>
            <w:tcW w:w="1198" w:type="dxa"/>
            <w:noWrap/>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w:t>
            </w:r>
            <w:r>
              <w:rPr>
                <w:rFonts w:hint="eastAsia" w:ascii="Times New Roman" w:hAnsi="Times New Roman" w:eastAsia="仿宋_GB2312"/>
                <w:szCs w:val="21"/>
              </w:rPr>
              <w:t>502.78</w:t>
            </w:r>
          </w:p>
        </w:tc>
        <w:tc>
          <w:tcPr>
            <w:tcW w:w="903" w:type="dxa"/>
            <w:vAlign w:val="center"/>
          </w:tcPr>
          <w:p>
            <w:pPr>
              <w:overflowPunct w:val="0"/>
              <w:topLinePunct/>
              <w:spacing w:line="240" w:lineRule="exact"/>
              <w:jc w:val="center"/>
              <w:rPr>
                <w:rFonts w:ascii="Times New Roman" w:hAnsi="Times New Roman" w:eastAsia="仿宋_GB2312"/>
                <w:szCs w:val="21"/>
              </w:rPr>
            </w:pPr>
            <w:r>
              <w:rPr>
                <w:rFonts w:ascii="Times New Roman" w:hAnsi="Times New Roman" w:eastAsia="仿宋_GB2312"/>
                <w:szCs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restart"/>
            <w:vAlign w:val="center"/>
          </w:tcPr>
          <w:p>
            <w:pPr>
              <w:jc w:val="center"/>
              <w:rPr>
                <w:rFonts w:ascii="Times New Roman" w:hAnsi="Times New Roman" w:eastAsia="仿宋_GB2312"/>
                <w:szCs w:val="21"/>
              </w:rPr>
            </w:pPr>
            <w:r>
              <w:rPr>
                <w:rFonts w:ascii="Times New Roman" w:hAnsi="Times New Roman" w:eastAsia="仿宋_GB2312"/>
                <w:szCs w:val="21"/>
              </w:rPr>
              <w:t>修复治理类</w:t>
            </w:r>
          </w:p>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11</w:t>
            </w:r>
          </w:p>
        </w:tc>
        <w:tc>
          <w:tcPr>
            <w:tcW w:w="4035" w:type="dxa"/>
            <w:gridSpan w:val="2"/>
            <w:noWrap/>
            <w:vAlign w:val="center"/>
          </w:tcPr>
          <w:p>
            <w:pPr>
              <w:spacing w:line="240" w:lineRule="exact"/>
              <w:rPr>
                <w:rFonts w:ascii="Times New Roman" w:hAnsi="Times New Roman" w:eastAsia="仿宋_GB2312"/>
                <w:szCs w:val="21"/>
              </w:rPr>
            </w:pPr>
            <w:r>
              <w:rPr>
                <w:rFonts w:ascii="Times New Roman" w:hAnsi="Times New Roman" w:eastAsia="仿宋_GB2312"/>
                <w:szCs w:val="21"/>
              </w:rPr>
              <w:t>历史遗留矿山</w:t>
            </w:r>
            <w:r>
              <w:rPr>
                <w:rFonts w:hint="eastAsia" w:ascii="Times New Roman" w:hAnsi="Times New Roman" w:eastAsia="仿宋_GB2312"/>
                <w:szCs w:val="21"/>
              </w:rPr>
              <w:t>生态修复</w:t>
            </w:r>
            <w:r>
              <w:rPr>
                <w:rFonts w:ascii="Times New Roman" w:hAnsi="Times New Roman" w:eastAsia="仿宋_GB2312"/>
                <w:szCs w:val="21"/>
              </w:rPr>
              <w:t>面积（平方公里）</w:t>
            </w:r>
          </w:p>
        </w:tc>
        <w:tc>
          <w:tcPr>
            <w:tcW w:w="959"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0.62</w:t>
            </w:r>
          </w:p>
        </w:tc>
        <w:tc>
          <w:tcPr>
            <w:tcW w:w="1119"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基本实现应治尽治</w:t>
            </w:r>
          </w:p>
        </w:tc>
        <w:tc>
          <w:tcPr>
            <w:tcW w:w="1198"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基本实现应治尽治</w:t>
            </w:r>
          </w:p>
        </w:tc>
        <w:tc>
          <w:tcPr>
            <w:tcW w:w="903"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12</w:t>
            </w:r>
          </w:p>
        </w:tc>
        <w:tc>
          <w:tcPr>
            <w:tcW w:w="4035" w:type="dxa"/>
            <w:gridSpan w:val="2"/>
            <w:noWrap/>
            <w:vAlign w:val="center"/>
          </w:tcPr>
          <w:p>
            <w:pPr>
              <w:spacing w:line="240" w:lineRule="exact"/>
              <w:rPr>
                <w:rFonts w:ascii="Times New Roman" w:hAnsi="Times New Roman" w:eastAsia="仿宋_GB2312"/>
                <w:szCs w:val="21"/>
              </w:rPr>
            </w:pPr>
            <w:r>
              <w:rPr>
                <w:rFonts w:ascii="Times New Roman" w:hAnsi="Times New Roman" w:eastAsia="仿宋_GB2312"/>
                <w:szCs w:val="21"/>
              </w:rPr>
              <w:t>湿地修复治理面积（平方公里）</w:t>
            </w:r>
          </w:p>
        </w:tc>
        <w:tc>
          <w:tcPr>
            <w:tcW w:w="959" w:type="dxa"/>
            <w:noWrap/>
            <w:vAlign w:val="center"/>
          </w:tcPr>
          <w:p>
            <w:pPr>
              <w:spacing w:line="240" w:lineRule="exact"/>
              <w:jc w:val="center"/>
              <w:rPr>
                <w:rFonts w:ascii="Times New Roman" w:hAnsi="Times New Roman" w:eastAsia="仿宋_GB2312"/>
                <w:szCs w:val="21"/>
              </w:rPr>
            </w:pPr>
            <w:r>
              <w:rPr>
                <w:rFonts w:ascii="Times New Roman" w:hAnsi="Times New Roman" w:eastAsia="仿宋_GB2312"/>
                <w:szCs w:val="21"/>
              </w:rPr>
              <w:t>—</w:t>
            </w:r>
          </w:p>
        </w:tc>
        <w:tc>
          <w:tcPr>
            <w:tcW w:w="1119"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3.33</w:t>
            </w:r>
          </w:p>
        </w:tc>
        <w:tc>
          <w:tcPr>
            <w:tcW w:w="1198"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5.33</w:t>
            </w:r>
          </w:p>
        </w:tc>
        <w:tc>
          <w:tcPr>
            <w:tcW w:w="903" w:type="dxa"/>
            <w:vAlign w:val="center"/>
          </w:tcPr>
          <w:p>
            <w:pPr>
              <w:spacing w:line="240" w:lineRule="exact"/>
              <w:jc w:val="center"/>
              <w:rPr>
                <w:rFonts w:ascii="Times New Roman" w:hAnsi="Times New Roman" w:eastAsia="仿宋_GB2312"/>
                <w:szCs w:val="21"/>
              </w:rPr>
            </w:pPr>
            <w:r>
              <w:rPr>
                <w:rFonts w:ascii="Times New Roman" w:hAnsi="Times New Roman" w:eastAsia="仿宋_GB2312"/>
                <w:szCs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13</w:t>
            </w:r>
          </w:p>
        </w:tc>
        <w:tc>
          <w:tcPr>
            <w:tcW w:w="4035" w:type="dxa"/>
            <w:gridSpan w:val="2"/>
            <w:noWrap/>
            <w:vAlign w:val="center"/>
          </w:tcPr>
          <w:p>
            <w:pPr>
              <w:spacing w:line="240" w:lineRule="exact"/>
              <w:rPr>
                <w:rFonts w:ascii="Times New Roman" w:hAnsi="Times New Roman" w:eastAsia="仿宋_GB2312"/>
                <w:szCs w:val="21"/>
              </w:rPr>
            </w:pPr>
            <w:r>
              <w:rPr>
                <w:rFonts w:ascii="Times New Roman" w:hAnsi="Times New Roman" w:eastAsia="仿宋_GB2312"/>
                <w:szCs w:val="21"/>
              </w:rPr>
              <w:t>高标准农田建设面积</w:t>
            </w:r>
            <w:r>
              <w:rPr>
                <w:rFonts w:hint="eastAsia" w:ascii="Times New Roman" w:hAnsi="Times New Roman" w:eastAsia="仿宋_GB2312"/>
                <w:szCs w:val="21"/>
              </w:rPr>
              <w:t>（万亩）</w:t>
            </w:r>
          </w:p>
        </w:tc>
        <w:tc>
          <w:tcPr>
            <w:tcW w:w="959"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286.55</w:t>
            </w:r>
          </w:p>
        </w:tc>
        <w:tc>
          <w:tcPr>
            <w:tcW w:w="1119"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313.55</w:t>
            </w:r>
          </w:p>
        </w:tc>
        <w:tc>
          <w:tcPr>
            <w:tcW w:w="1198"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进一步</w:t>
            </w:r>
          </w:p>
          <w:p>
            <w:pPr>
              <w:spacing w:line="240" w:lineRule="exact"/>
              <w:jc w:val="center"/>
              <w:rPr>
                <w:rFonts w:ascii="Times New Roman" w:hAnsi="Times New Roman" w:eastAsia="仿宋_GB2312"/>
                <w:szCs w:val="21"/>
              </w:rPr>
            </w:pPr>
            <w:r>
              <w:rPr>
                <w:rFonts w:hint="eastAsia" w:ascii="Times New Roman" w:hAnsi="Times New Roman" w:eastAsia="仿宋_GB2312"/>
                <w:szCs w:val="21"/>
              </w:rPr>
              <w:t>增加</w:t>
            </w:r>
          </w:p>
        </w:tc>
        <w:tc>
          <w:tcPr>
            <w:tcW w:w="903" w:type="dxa"/>
            <w:vAlign w:val="center"/>
          </w:tcPr>
          <w:p>
            <w:pPr>
              <w:spacing w:line="240" w:lineRule="exact"/>
              <w:jc w:val="center"/>
              <w:rPr>
                <w:rFonts w:ascii="Times New Roman" w:hAnsi="Times New Roman" w:eastAsia="仿宋_GB2312"/>
                <w:szCs w:val="21"/>
              </w:rPr>
            </w:pPr>
            <w:r>
              <w:rPr>
                <w:rFonts w:ascii="Times New Roman" w:hAnsi="Times New Roman" w:eastAsia="仿宋_GB2312"/>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23" w:type="dxa"/>
            <w:vMerge w:val="continue"/>
            <w:vAlign w:val="center"/>
          </w:tcPr>
          <w:p>
            <w:pPr>
              <w:spacing w:line="240" w:lineRule="exact"/>
              <w:jc w:val="center"/>
              <w:rPr>
                <w:rFonts w:ascii="Times New Roman" w:hAnsi="Times New Roman" w:eastAsia="仿宋_GB2312"/>
                <w:szCs w:val="21"/>
              </w:rPr>
            </w:pPr>
          </w:p>
        </w:tc>
        <w:tc>
          <w:tcPr>
            <w:tcW w:w="472"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14</w:t>
            </w:r>
          </w:p>
        </w:tc>
        <w:tc>
          <w:tcPr>
            <w:tcW w:w="4035" w:type="dxa"/>
            <w:gridSpan w:val="2"/>
            <w:noWrap/>
            <w:vAlign w:val="center"/>
          </w:tcPr>
          <w:p>
            <w:pPr>
              <w:spacing w:line="240" w:lineRule="exact"/>
              <w:rPr>
                <w:rFonts w:ascii="Times New Roman" w:hAnsi="Times New Roman" w:eastAsia="仿宋_GB2312"/>
                <w:szCs w:val="21"/>
              </w:rPr>
            </w:pPr>
            <w:r>
              <w:rPr>
                <w:rFonts w:hint="eastAsia" w:ascii="Times New Roman" w:hAnsi="Times New Roman" w:eastAsia="仿宋_GB2312"/>
                <w:szCs w:val="21"/>
              </w:rPr>
              <w:t>临时用地土地复垦（万亩）</w:t>
            </w:r>
          </w:p>
        </w:tc>
        <w:tc>
          <w:tcPr>
            <w:tcW w:w="959" w:type="dxa"/>
            <w:noWrap/>
            <w:vAlign w:val="center"/>
          </w:tcPr>
          <w:p>
            <w:pPr>
              <w:spacing w:line="240" w:lineRule="exact"/>
              <w:jc w:val="center"/>
              <w:rPr>
                <w:rFonts w:ascii="Times New Roman" w:hAnsi="Times New Roman"/>
                <w:kern w:val="0"/>
                <w:szCs w:val="21"/>
                <w:lang w:bidi="zh-CN"/>
              </w:rPr>
            </w:pPr>
            <w:r>
              <w:rPr>
                <w:rFonts w:hint="eastAsia" w:ascii="Times New Roman" w:hAnsi="Times New Roman" w:eastAsia="仿宋_GB2312"/>
                <w:szCs w:val="21"/>
              </w:rPr>
              <w:t>0.36</w:t>
            </w:r>
          </w:p>
        </w:tc>
        <w:tc>
          <w:tcPr>
            <w:tcW w:w="1119"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完成已到复垦期临时用地的土地复垦</w:t>
            </w:r>
          </w:p>
        </w:tc>
        <w:tc>
          <w:tcPr>
            <w:tcW w:w="1198" w:type="dxa"/>
            <w:noWrap/>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完成已到复垦期临时用地的土地复垦</w:t>
            </w:r>
          </w:p>
        </w:tc>
        <w:tc>
          <w:tcPr>
            <w:tcW w:w="903" w:type="dxa"/>
            <w:vAlign w:val="center"/>
          </w:tcPr>
          <w:p>
            <w:pPr>
              <w:spacing w:line="240" w:lineRule="exact"/>
              <w:jc w:val="center"/>
              <w:rPr>
                <w:rFonts w:ascii="Times New Roman" w:hAnsi="Times New Roman" w:eastAsia="仿宋_GB2312"/>
                <w:szCs w:val="21"/>
              </w:rPr>
            </w:pPr>
            <w:r>
              <w:rPr>
                <w:rFonts w:hint="eastAsia" w:ascii="Times New Roman" w:hAnsi="Times New Roman" w:eastAsia="仿宋_GB2312"/>
                <w:szCs w:val="21"/>
              </w:rPr>
              <w:t>预期</w:t>
            </w:r>
            <w:r>
              <w:rPr>
                <w:rFonts w:ascii="Times New Roman" w:hAnsi="Times New Roman" w:eastAsia="仿宋_GB2312"/>
                <w:szCs w:val="21"/>
              </w:rPr>
              <w:t>性</w:t>
            </w:r>
          </w:p>
        </w:tc>
      </w:tr>
    </w:tbl>
    <w:p>
      <w:pPr>
        <w:overflowPunct w:val="0"/>
        <w:topLinePunct/>
        <w:jc w:val="center"/>
        <w:rPr>
          <w:rFonts w:ascii="Times New Roman" w:hAnsi="Times New Roman" w:eastAsia="黑体" w:cs="黑体"/>
          <w:bCs/>
          <w:sz w:val="32"/>
          <w:szCs w:val="32"/>
        </w:rPr>
      </w:pPr>
    </w:p>
    <w:bookmarkEnd w:id="49"/>
    <w:p>
      <w:pPr>
        <w:rPr>
          <w:rFonts w:hint="eastAsia" w:ascii="方正小标宋简体" w:hAnsi="方正小标宋简体" w:eastAsia="方正小标宋简体" w:cs="方正小标宋简体"/>
          <w:bCs/>
          <w:sz w:val="36"/>
          <w:szCs w:val="36"/>
        </w:rPr>
      </w:pPr>
      <w:bookmarkStart w:id="50" w:name="_Toc14000"/>
      <w:bookmarkStart w:id="51" w:name="_Toc21409"/>
      <w:bookmarkStart w:id="52" w:name="_Toc28015"/>
      <w:r>
        <w:rPr>
          <w:rFonts w:hint="eastAsia" w:ascii="方正小标宋简体" w:hAnsi="方正小标宋简体" w:eastAsia="方正小标宋简体" w:cs="方正小标宋简体"/>
          <w:bCs/>
          <w:sz w:val="36"/>
          <w:szCs w:val="36"/>
        </w:rPr>
        <w:br w:type="page"/>
      </w:r>
    </w:p>
    <w:p>
      <w:pPr>
        <w:pageBreakBefore/>
        <w:widowControl w:val="0"/>
        <w:spacing w:before="156" w:beforeLines="50" w:after="156" w:afterLines="50"/>
        <w:jc w:val="center"/>
        <w:outlineLvl w:val="0"/>
        <w:rPr>
          <w:rFonts w:hint="eastAsia" w:ascii="方正小标宋简体" w:hAnsi="方正小标宋简体" w:eastAsia="方正小标宋简体" w:cs="方正小标宋简体"/>
          <w:bCs/>
          <w:sz w:val="36"/>
          <w:szCs w:val="36"/>
        </w:rPr>
      </w:pPr>
      <w:bookmarkStart w:id="53" w:name="_Toc240990646"/>
      <w:r>
        <w:rPr>
          <w:rFonts w:hint="eastAsia" w:ascii="方正小标宋简体" w:hAnsi="方正小标宋简体" w:eastAsia="方正小标宋简体" w:cs="方正小标宋简体"/>
          <w:bCs/>
          <w:sz w:val="36"/>
          <w:szCs w:val="36"/>
        </w:rPr>
        <w:t xml:space="preserve">第四章  </w:t>
      </w:r>
      <w:bookmarkEnd w:id="50"/>
      <w:bookmarkEnd w:id="51"/>
      <w:bookmarkEnd w:id="52"/>
      <w:r>
        <w:rPr>
          <w:rFonts w:hint="eastAsia" w:ascii="方正小标宋简体" w:hAnsi="方正小标宋简体" w:eastAsia="方正小标宋简体" w:cs="方正小标宋简体"/>
          <w:bCs/>
          <w:sz w:val="36"/>
          <w:szCs w:val="36"/>
        </w:rPr>
        <w:t>总体布局</w:t>
      </w:r>
      <w:bookmarkEnd w:id="53"/>
    </w:p>
    <w:p>
      <w:pPr>
        <w:keepNext w:val="0"/>
        <w:keepLines w:val="0"/>
        <w:pageBreakBefore w:val="0"/>
        <w:kinsoku/>
        <w:wordWrap/>
        <w:autoSpaceDE/>
        <w:autoSpaceDN/>
        <w:bidi w:val="0"/>
        <w:adjustRightInd/>
        <w:snapToGrid/>
        <w:spacing w:line="600" w:lineRule="exact"/>
        <w:ind w:firstLine="640" w:firstLineChars="200"/>
        <w:contextualSpacing/>
        <w:textAlignment w:val="auto"/>
        <w:rPr>
          <w:rFonts w:ascii="Times New Roman" w:hAnsi="Times New Roman" w:eastAsia="仿宋_GB2312"/>
          <w:kern w:val="0"/>
          <w:sz w:val="32"/>
          <w:szCs w:val="32"/>
        </w:rPr>
      </w:pPr>
      <w:r>
        <w:rPr>
          <w:rFonts w:ascii="Times New Roman" w:hAnsi="Times New Roman" w:eastAsia="仿宋_GB2312"/>
          <w:kern w:val="0"/>
          <w:sz w:val="32"/>
          <w:szCs w:val="32"/>
        </w:rPr>
        <w:t>依据市域自然地理格局、主导生态功能和生态保护修复目标，统筹考虑生态系统的完整性和地理单元的连续性，构建覆盖全域的国土空间生态修复分区体系。立足 "四面环山、六水并流" 的河洛地貌特征，衔接国土空间总体规划 "三区三线" 管控要求和 "十五五" 时期全域生态系统保护格局部署，按照山水林田湖草沙一体化保护修复的要求，合理划分生态修复分区，识别生态保护、修复和整治的重点区域，为科学制定生态修复策略、谋划实施重大工程提供依据。</w:t>
      </w:r>
    </w:p>
    <w:p>
      <w:pPr>
        <w:keepNext w:val="0"/>
        <w:keepLines w:val="0"/>
        <w:pageBreakBefore w:val="0"/>
        <w:widowControl w:val="0"/>
        <w:kinsoku/>
        <w:wordWrap/>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54" w:name="_Toc26790"/>
      <w:bookmarkStart w:id="55" w:name="_Toc9916"/>
      <w:bookmarkStart w:id="56" w:name="_Toc89683726"/>
      <w:bookmarkStart w:id="57" w:name="_Toc5330"/>
      <w:bookmarkStart w:id="58" w:name="_Toc240990647"/>
      <w:r>
        <w:rPr>
          <w:rFonts w:hint="eastAsia" w:ascii="Times New Roman" w:hAnsi="Times New Roman" w:eastAsia="黑体"/>
          <w:bCs/>
          <w:sz w:val="32"/>
          <w:szCs w:val="32"/>
        </w:rPr>
        <w:t xml:space="preserve">第一节  </w:t>
      </w:r>
      <w:bookmarkEnd w:id="54"/>
      <w:bookmarkEnd w:id="55"/>
      <w:bookmarkEnd w:id="56"/>
      <w:bookmarkEnd w:id="57"/>
      <w:r>
        <w:rPr>
          <w:rFonts w:hint="eastAsia" w:ascii="Times New Roman" w:hAnsi="Times New Roman" w:eastAsia="黑体"/>
          <w:bCs/>
          <w:sz w:val="32"/>
          <w:szCs w:val="32"/>
        </w:rPr>
        <w:t>生态修复分区</w:t>
      </w:r>
      <w:bookmarkEnd w:id="58"/>
      <w:bookmarkStart w:id="59" w:name="OLE_LINK1"/>
    </w:p>
    <w:bookmarkEnd w:id="59"/>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在洛阳市国土空间总体生态格局框架下，以重要山脉、流域生态系统的整体性和连通性为基础，充分考虑区域生态安全，统筹生态保护需求和经济社会发展等因素，着力构建</w:t>
      </w:r>
      <w:r>
        <w:rPr>
          <w:rFonts w:hint="eastAsia" w:ascii="Times New Roman" w:hAnsi="Times New Roman" w:eastAsia="仿宋_GB2312"/>
          <w:sz w:val="32"/>
          <w:szCs w:val="32"/>
        </w:rPr>
        <w:t>“</w:t>
      </w:r>
      <w:r>
        <w:rPr>
          <w:rFonts w:ascii="Times New Roman" w:hAnsi="Times New Roman" w:eastAsia="仿宋_GB2312"/>
          <w:sz w:val="32"/>
          <w:szCs w:val="32"/>
        </w:rPr>
        <w:t>四区、</w:t>
      </w:r>
      <w:r>
        <w:rPr>
          <w:rFonts w:hint="eastAsia" w:ascii="Times New Roman" w:hAnsi="Times New Roman" w:eastAsia="仿宋_GB2312"/>
          <w:sz w:val="32"/>
          <w:szCs w:val="32"/>
        </w:rPr>
        <w:t>四</w:t>
      </w:r>
      <w:r>
        <w:rPr>
          <w:rFonts w:ascii="Times New Roman" w:hAnsi="Times New Roman" w:eastAsia="仿宋_GB2312"/>
          <w:sz w:val="32"/>
          <w:szCs w:val="32"/>
        </w:rPr>
        <w:t>廊、</w:t>
      </w:r>
      <w:r>
        <w:rPr>
          <w:rFonts w:hint="eastAsia" w:ascii="Times New Roman" w:hAnsi="Times New Roman" w:eastAsia="仿宋_GB2312"/>
          <w:sz w:val="32"/>
          <w:szCs w:val="32"/>
        </w:rPr>
        <w:t>一带、</w:t>
      </w:r>
      <w:r>
        <w:rPr>
          <w:rFonts w:ascii="Times New Roman" w:hAnsi="Times New Roman" w:eastAsia="仿宋_GB2312"/>
          <w:sz w:val="32"/>
          <w:szCs w:val="32"/>
        </w:rPr>
        <w:t>多</w:t>
      </w:r>
      <w:r>
        <w:rPr>
          <w:rFonts w:hint="eastAsia" w:ascii="Times New Roman" w:hAnsi="Times New Roman" w:eastAsia="仿宋_GB2312"/>
          <w:sz w:val="32"/>
          <w:szCs w:val="32"/>
        </w:rPr>
        <w:t>斑块、多网络”</w:t>
      </w:r>
      <w:r>
        <w:rPr>
          <w:rFonts w:ascii="Times New Roman" w:hAnsi="Times New Roman" w:eastAsia="仿宋_GB2312"/>
          <w:sz w:val="32"/>
          <w:szCs w:val="32"/>
        </w:rPr>
        <w:t>的国土空间生态修复总体格局。</w:t>
      </w:r>
    </w:p>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“四区”为</w:t>
      </w:r>
      <w:r>
        <w:rPr>
          <w:rFonts w:ascii="Times New Roman" w:hAnsi="Times New Roman" w:eastAsia="仿宋_GB2312"/>
          <w:sz w:val="32"/>
          <w:szCs w:val="32"/>
        </w:rPr>
        <w:t>黄河阶地平原区、伊洛河谷平原区、黄土丘陵浅山区、南部山地涵养区</w:t>
      </w:r>
      <w:r>
        <w:rPr>
          <w:rFonts w:hint="eastAsia" w:ascii="Times New Roman" w:hAnsi="Times New Roman" w:eastAsia="仿宋_GB2312"/>
          <w:sz w:val="32"/>
          <w:szCs w:val="32"/>
        </w:rPr>
        <w:t>；“四廊”为</w:t>
      </w:r>
      <w:r>
        <w:rPr>
          <w:rFonts w:ascii="Times New Roman" w:hAnsi="Times New Roman" w:eastAsia="仿宋_GB2312"/>
          <w:sz w:val="32"/>
          <w:szCs w:val="32"/>
        </w:rPr>
        <w:t>伊河、洛河、北汝河、涧河生态廊道</w:t>
      </w:r>
      <w:r>
        <w:rPr>
          <w:rFonts w:hint="eastAsia" w:ascii="Times New Roman" w:hAnsi="Times New Roman" w:eastAsia="仿宋_GB2312"/>
          <w:sz w:val="32"/>
          <w:szCs w:val="32"/>
        </w:rPr>
        <w:t>；“一带”为黄河生态带；“</w:t>
      </w:r>
      <w:r>
        <w:rPr>
          <w:rFonts w:ascii="Times New Roman" w:hAnsi="Times New Roman" w:eastAsia="仿宋_GB2312"/>
          <w:sz w:val="32"/>
          <w:szCs w:val="32"/>
        </w:rPr>
        <w:t>多</w:t>
      </w:r>
      <w:r>
        <w:rPr>
          <w:rFonts w:hint="eastAsia" w:ascii="Times New Roman" w:hAnsi="Times New Roman" w:eastAsia="仿宋_GB2312"/>
          <w:sz w:val="32"/>
          <w:szCs w:val="32"/>
        </w:rPr>
        <w:t>斑块”为</w:t>
      </w:r>
      <w:r>
        <w:rPr>
          <w:rFonts w:ascii="Times New Roman" w:hAnsi="Times New Roman" w:eastAsia="仿宋_GB2312"/>
          <w:sz w:val="32"/>
          <w:szCs w:val="32"/>
        </w:rPr>
        <w:t>河南黄河湿地国家级自然保护区、河南伏牛山国家级自然保护区、河南洛阳熊耳山省级自然保护区、河南新安青要山省级自然保护区、河南洛阳黛眉山国家地质公园、河南洛宁神灵寨国家森林公园、河南陆浑湖国家湿地公园等生态保护空间</w:t>
      </w:r>
      <w:r>
        <w:rPr>
          <w:rFonts w:hint="eastAsia" w:ascii="Times New Roman" w:hAnsi="Times New Roman" w:eastAsia="仿宋_GB2312"/>
          <w:sz w:val="32"/>
          <w:szCs w:val="32"/>
        </w:rPr>
        <w:t>；“多网络”为</w:t>
      </w:r>
      <w:r>
        <w:rPr>
          <w:rFonts w:ascii="Times New Roman" w:hAnsi="Times New Roman" w:eastAsia="仿宋_GB2312"/>
          <w:sz w:val="32"/>
          <w:szCs w:val="32"/>
        </w:rPr>
        <w:t>利用流量较大支流水系、高速铁路、公路等构建绿色生态网络体系。</w:t>
      </w:r>
    </w:p>
    <w:p>
      <w:pPr>
        <w:keepNext w:val="0"/>
        <w:keepLines w:val="0"/>
        <w:pageBreakBefore w:val="0"/>
        <w:kinsoku/>
        <w:wordWrap/>
        <w:overflowPunct w:val="0"/>
        <w:topLinePunct/>
        <w:autoSpaceDE/>
        <w:autoSpaceDN/>
        <w:bidi w:val="0"/>
        <w:adjustRightInd/>
        <w:snapToGrid/>
        <w:spacing w:line="600" w:lineRule="exact"/>
        <w:ind w:firstLine="642" w:firstLineChars="200"/>
        <w:textAlignment w:val="auto"/>
        <w:rPr>
          <w:rFonts w:ascii="仿宋_GB2312" w:hAnsi="Times New Roman" w:eastAsia="仿宋_GB2312"/>
          <w:sz w:val="32"/>
          <w:szCs w:val="32"/>
        </w:rPr>
      </w:pPr>
      <w:r>
        <w:rPr>
          <w:rFonts w:hint="eastAsia" w:ascii="楷体" w:hAnsi="楷体" w:eastAsia="楷体"/>
          <w:b/>
          <w:bCs/>
          <w:sz w:val="32"/>
          <w:szCs w:val="32"/>
        </w:rPr>
        <w:t>“四区”：</w:t>
      </w:r>
      <w:r>
        <w:rPr>
          <w:rFonts w:hint="eastAsia" w:ascii="仿宋_GB2312" w:hAnsi="Times New Roman" w:eastAsia="仿宋_GB2312"/>
          <w:sz w:val="32"/>
          <w:szCs w:val="32"/>
        </w:rPr>
        <w:t>黄河阶地平原区。黄河阶地平原区主要涉及孟津区黄河右岸的会盟镇、白鹤镇及左岸区域。该区着重加强黄河湿地保护和恢复、栖息地生境改善，塑造黄河两岸“河滩湿地水鸟竞翔、两侧堤岸道路绿色长廊、沿线山坡青山滴翠”的立体生态景观格局。</w:t>
      </w:r>
    </w:p>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sz w:val="32"/>
          <w:szCs w:val="32"/>
        </w:rPr>
        <w:t>伊洛河谷平原区。伊洛河谷平原区主要涉及中心城区、孟津区南部、偃师区中部及东南部、新安县南部。为现状中心城区所在地，地形地势条件较好，以城镇建设及工业发展为主。积极推动城郊湿地公园建设；高标准实施乡村绿化美化，提升四旁绿地品质，形成花园化的城镇居民生活环境。</w:t>
      </w:r>
    </w:p>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sz w:val="32"/>
          <w:szCs w:val="32"/>
        </w:rPr>
        <w:t>黄土丘陵浅山区。黄土丘陵浅山区主要分布在崤山、熊耳山、伏牛山海拔500</w:t>
      </w:r>
      <w:r>
        <w:rPr>
          <w:rFonts w:hint="eastAsia" w:ascii="仿宋_GB2312" w:hAnsi="仿宋_GB2312" w:eastAsia="仿宋_GB2312" w:cs="仿宋_GB2312"/>
          <w:sz w:val="32"/>
          <w:szCs w:val="32"/>
        </w:rPr>
        <w:t>～</w:t>
      </w:r>
      <w:r>
        <w:rPr>
          <w:rFonts w:hint="eastAsia" w:ascii="仿宋_GB2312" w:hAnsi="Times New Roman" w:eastAsia="仿宋_GB2312"/>
          <w:sz w:val="32"/>
          <w:szCs w:val="32"/>
        </w:rPr>
        <w:t>1000米的地区，包含新安大部、宜阳大部、洛宁中部、伊川大部、嵩县中部及汝阳北部。地形较为复杂，石多土少，森林植被偏少，森林生态系统不够完善。该区充分挖掘造林空间，因地制宜营造水源涵养林和水土保持林；加强荒山困难地造林、低效林改造以及退化林修复，形成片林、林网交织的浅山丘陵森林；巩固提升廊道绿化成果，构建比较完善的生态廊道网络；结合乡村振兴战略，大力实施乡村绿化美化；提升城郊森林公园品质和功能。</w:t>
      </w:r>
    </w:p>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sz w:val="32"/>
          <w:szCs w:val="32"/>
        </w:rPr>
        <w:t>南部山地涵养区。南部山地涵养区主要分布在洛阳市中山区域，涉及洛宁县北部和南部，栾川大部，嵩县北部和南部，汝阳南部区域。山地区域，坡高山陡，包含多条河流的发源地，森林植被覆盖率高，珍稀野生动植物资源丰富，具有重要生物多样性维护、水源涵养及水土保持功能。矿山开发、局部过度垦殖等人为活动导致局部地形地貌破坏、水土流失等问题。该区充分结合国家、省级重点林业建设工程和生态修复工程，进一步加强森林、湿地资源保护，继续全面保护天然林以及实施公益林建设；科学营造水源涵养林和水土保持林；积极开展森林抚育，调整和优化森林结构，提升森林质量和功能。加强自然保护区、森林公园建设，加强生物多样性以及种质资源保护；整合优化各类自然保护地，建立完整的自然保护地体系，成为南北过渡带森林生态系统原真性保护展示区、国际生物多样性保育区等，打造中原“绿核”、生态基石、生物绿色宝库和珍稀濒危植物天堂，形成大格局、大生态的规模效益；依托良好的生态资源，积极发展林下经济，推动森林康养基地建设，开展生态旅游，让绿水青山真正转化为金山银山。</w:t>
      </w:r>
    </w:p>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sz w:val="32"/>
          <w:szCs w:val="32"/>
        </w:rPr>
        <w:t>“四廊”：伊河、洛河、北汝河、涧河生态廊道。具有保护生物多样性，过滤污染物、防风固沙、调蓄洪水等多种功能。部分河道滩地过度垦殖，导致滩涂湿地萎缩、地貌受损，生物多样性受影响。沿线防护林体系尚不完善、部分河段拦河坝较多，河流生态的连通性受到较大影响。加强沿线湿地保护修复和生态防护林建设，提高湿地自然化率。打造湿地湿地工程，增加湿地面积，叠加滨河绿道建设，围绕重要绿化节点，打造生态廊道。加大湿地保护力度，提高湿地保护能力，维护生物多样性。</w:t>
      </w:r>
    </w:p>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sz w:val="32"/>
          <w:szCs w:val="32"/>
        </w:rPr>
        <w:t>“一带”：黄河生态保护带。主要涉及新安县、孟津区。地貌类型以黄土丘陵、阶地平原为主，分布有小浪底、西霞院两大水库及河南黄河湿地国家级自然保护区，具有典型的河湖湿地生态系统特征。受人为开发建设活动影响，黄河中游水土流失严重。阶地平原耕地占比较大，与自然保护地存在一定的空间冲突，局部湿地萎缩。围绕沿黄生态廊道建设，统筹推进黄河沿线荒山困难地绿化、矿区生态修复、村庄绿化美化；加强黄河湿地保护和恢复、栖息地生境改善。</w:t>
      </w:r>
    </w:p>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sz w:val="32"/>
          <w:szCs w:val="32"/>
        </w:rPr>
        <w:t>“多斑块”：黄河湿地自然保护区、青要山风景名胜区、郁山国家森林公园、花果山国家森林公园、熊耳山省级自然保护区、神灵寨国家森林公园、天池山国家森林公园、陆浑湖国家湿地公园等生态保护空间，呈点片状分布，是生态保护修复和资源开发利用的重要节点。自然保护地中存在部分商品林以及零星分布的耕地、村庄等，当地群众的生产生活与生态保护存在一定空间冲突。充分利用县城城区和乡镇街道建成区有限土地增加绿地面积，拓展生态空间，推进“森林进城，以绿荫城”。</w:t>
      </w:r>
    </w:p>
    <w:p>
      <w:pPr>
        <w:keepNext w:val="0"/>
        <w:keepLines w:val="0"/>
        <w:pageBreakBefore w:val="0"/>
        <w:kinsoku/>
        <w:wordWrap/>
        <w:overflowPunct w:val="0"/>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仿宋_GB2312" w:hAnsi="Times New Roman" w:eastAsia="仿宋_GB2312"/>
          <w:sz w:val="32"/>
          <w:szCs w:val="32"/>
        </w:rPr>
        <w:t>“多网络”：利用流量较大支流水系、高速铁路、公路等构建绿色生态网络体系。巩固提升廊道绿化成果，编织绿色廊道网络；与乡村振兴相结合，高标准开展乡村绿化美化，建设美丽乡村，实现生态惠民，留住乡愁；充分挖掘资源优势，发展特色林业产业，打造品牌，实现绿色富民。</w:t>
      </w:r>
    </w:p>
    <w:p>
      <w:pPr>
        <w:keepNext w:val="0"/>
        <w:keepLines w:val="0"/>
        <w:pageBreakBefore w:val="0"/>
        <w:widowControl w:val="0"/>
        <w:kinsoku/>
        <w:wordWrap/>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60" w:name="_Toc8389"/>
      <w:bookmarkStart w:id="61" w:name="_Toc240990648"/>
      <w:bookmarkStart w:id="62" w:name="_Toc32162"/>
      <w:bookmarkStart w:id="63" w:name="_Toc89683727"/>
      <w:bookmarkStart w:id="64" w:name="_Toc24155"/>
      <w:bookmarkStart w:id="65" w:name="_Toc12352"/>
      <w:bookmarkStart w:id="66" w:name="_Toc32045"/>
      <w:bookmarkStart w:id="67" w:name="_Toc19826"/>
      <w:bookmarkStart w:id="68" w:name="_Toc3611"/>
      <w:r>
        <w:rPr>
          <w:rFonts w:hint="eastAsia" w:ascii="Times New Roman" w:hAnsi="Times New Roman" w:eastAsia="黑体"/>
          <w:bCs/>
          <w:sz w:val="32"/>
          <w:szCs w:val="32"/>
        </w:rPr>
        <w:t>第二节  生态修复重点区域</w:t>
      </w:r>
      <w:bookmarkEnd w:id="60"/>
      <w:bookmarkEnd w:id="61"/>
      <w:bookmarkEnd w:id="62"/>
      <w:bookmarkEnd w:id="63"/>
      <w:bookmarkEnd w:id="64"/>
      <w:bookmarkEnd w:id="65"/>
      <w:r>
        <w:rPr>
          <w:rFonts w:hint="eastAsia" w:ascii="Times New Roman" w:hAnsi="Times New Roman" w:eastAsia="黑体"/>
          <w:bCs/>
          <w:sz w:val="32"/>
          <w:szCs w:val="32"/>
        </w:rPr>
        <w:t xml:space="preserve"> </w:t>
      </w:r>
    </w:p>
    <w:p>
      <w:pPr>
        <w:keepNext w:val="0"/>
        <w:keepLines w:val="0"/>
        <w:pageBreakBefore w:val="0"/>
        <w:kinsoku/>
        <w:wordWrap/>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综合研判市域生态系统的类型构成与质量状况，统筹考量生态功能重要程度、生态环境敏感程度，以及山水林田湖草沙各要素之间的空间关联性、系统性和耦合性，在系统评估各类生态系统受损、退化、破坏程度和修复价值、修复潜力的基础上，科学确定全市生态保护、生态修复和综合整治的重点区域，为分区分类施策、谋划实施重大工程提供支撑。</w:t>
      </w:r>
    </w:p>
    <w:p>
      <w:pPr>
        <w:keepNext w:val="0"/>
        <w:keepLines w:val="0"/>
        <w:pageBreakBefore w:val="0"/>
        <w:kinsoku/>
        <w:wordWrap/>
        <w:autoSpaceDE/>
        <w:autoSpaceDN/>
        <w:bidi w:val="0"/>
        <w:adjustRightInd/>
        <w:snapToGrid/>
        <w:spacing w:line="600" w:lineRule="exact"/>
        <w:ind w:firstLine="642" w:firstLineChars="200"/>
        <w:textAlignment w:val="auto"/>
        <w:rPr>
          <w:rFonts w:ascii="仿宋_GB2312" w:hAnsi="Times New Roman" w:eastAsia="仿宋_GB2312" w:cs="楷体"/>
          <w:sz w:val="32"/>
          <w:szCs w:val="32"/>
        </w:rPr>
      </w:pPr>
      <w:r>
        <w:rPr>
          <w:rFonts w:hint="eastAsia" w:ascii="Times New Roman" w:hAnsi="Times New Roman" w:eastAsia="楷体" w:cs="楷体"/>
          <w:b/>
          <w:bCs/>
          <w:sz w:val="32"/>
          <w:szCs w:val="32"/>
        </w:rPr>
        <w:t>生态保护重点区域。</w:t>
      </w:r>
      <w:r>
        <w:rPr>
          <w:rFonts w:hint="eastAsia" w:ascii="仿宋_GB2312" w:hAnsi="Times New Roman" w:eastAsia="仿宋_GB2312" w:cs="楷体"/>
          <w:sz w:val="32"/>
          <w:szCs w:val="32"/>
        </w:rPr>
        <w:t>覆盖黄河阶地平原区、伊洛河谷平原区、黄土丘陵浅山区、南部山地涵养区内的各类自然保护地。坚持自然恢复为主，综合运用封山育林、人工造林、退耕还林还湿等手段，促进森林、草地、湿地等生态系统自我修复；针对中幼林占比高、林分质量不高等问题，因地制宜实施森林抚育、退化林修复、困难地造林，稳步提高植被覆盖度和生态系统稳定性。</w:t>
      </w:r>
    </w:p>
    <w:p>
      <w:pPr>
        <w:keepNext w:val="0"/>
        <w:keepLines w:val="0"/>
        <w:pageBreakBefore w:val="0"/>
        <w:kinsoku/>
        <w:wordWrap/>
        <w:autoSpaceDE/>
        <w:autoSpaceDN/>
        <w:bidi w:val="0"/>
        <w:adjustRightInd/>
        <w:snapToGrid/>
        <w:spacing w:line="600" w:lineRule="exact"/>
        <w:ind w:firstLine="642" w:firstLineChars="200"/>
        <w:textAlignment w:val="auto"/>
        <w:rPr>
          <w:rFonts w:ascii="仿宋_GB2312" w:hAnsi="Times New Roman" w:eastAsia="仿宋_GB2312" w:cs="楷体"/>
          <w:sz w:val="32"/>
          <w:szCs w:val="32"/>
        </w:rPr>
      </w:pPr>
      <w:r>
        <w:rPr>
          <w:rFonts w:hint="eastAsia" w:ascii="Times New Roman" w:hAnsi="Times New Roman" w:eastAsia="楷体" w:cs="楷体"/>
          <w:b/>
          <w:bCs/>
          <w:sz w:val="32"/>
          <w:szCs w:val="32"/>
        </w:rPr>
        <w:t>综合修复重点区域。</w:t>
      </w:r>
      <w:r>
        <w:rPr>
          <w:rFonts w:hint="eastAsia" w:ascii="仿宋_GB2312" w:hAnsi="Times New Roman" w:eastAsia="仿宋_GB2312" w:cs="楷体"/>
          <w:sz w:val="32"/>
          <w:szCs w:val="32"/>
        </w:rPr>
        <w:t>集中于黄土丘陵浅山区和南部山地涵养区的历史遗留矿山，以及采砂等活动损毁的河道湿地。按照山水林田湖草沙系统治理要求，坚持分区分类施策，综合采取工程复垦、植被恢复、地质灾害治理等措施，修复损毁土地、恢复生态功能、消除安全隐患，重塑良好生态环境。</w:t>
      </w:r>
    </w:p>
    <w:p>
      <w:pPr>
        <w:keepNext w:val="0"/>
        <w:keepLines w:val="0"/>
        <w:pageBreakBefore w:val="0"/>
        <w:kinsoku/>
        <w:wordWrap/>
        <w:autoSpaceDE/>
        <w:autoSpaceDN/>
        <w:bidi w:val="0"/>
        <w:adjustRightInd/>
        <w:snapToGrid/>
        <w:spacing w:line="600" w:lineRule="exact"/>
        <w:ind w:firstLine="642" w:firstLineChars="200"/>
        <w:textAlignment w:val="auto"/>
        <w:rPr>
          <w:rFonts w:ascii="仿宋_GB2312" w:hAnsi="Times New Roman" w:eastAsia="仿宋_GB2312" w:cs="楷体"/>
          <w:sz w:val="32"/>
          <w:szCs w:val="32"/>
        </w:rPr>
      </w:pPr>
      <w:r>
        <w:rPr>
          <w:rFonts w:ascii="Times New Roman" w:hAnsi="Times New Roman" w:eastAsia="楷体" w:cs="楷体"/>
          <w:b/>
          <w:bCs/>
          <w:sz w:val="32"/>
          <w:szCs w:val="32"/>
        </w:rPr>
        <w:t>综合整治重点区域。</w:t>
      </w:r>
      <w:r>
        <w:rPr>
          <w:rFonts w:ascii="仿宋_GB2312" w:hAnsi="Times New Roman" w:eastAsia="仿宋_GB2312" w:cs="楷体"/>
          <w:sz w:val="32"/>
          <w:szCs w:val="32"/>
        </w:rPr>
        <w:t>以伊洛河谷平原区为重点，统筹治理农业面源污染和沙化土地，稳定农田生态系统；加强滞洪区建设，健全农田排水系统；整治农村废弃建设用地，结合乡村绿化美化，建设森林乡村和美丽乡村，整体改善农村生产、生活和生态环境。</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br w:type="page"/>
      </w:r>
      <w:bookmarkStart w:id="69" w:name="_Toc15775"/>
    </w:p>
    <w:p>
      <w:pPr>
        <w:pageBreakBefore/>
        <w:widowControl w:val="0"/>
        <w:spacing w:before="156" w:beforeLines="50" w:after="156" w:afterLines="50"/>
        <w:jc w:val="center"/>
        <w:outlineLvl w:val="0"/>
        <w:rPr>
          <w:rFonts w:hint="eastAsia" w:ascii="方正小标宋简体" w:hAnsi="方正小标宋简体" w:eastAsia="方正小标宋简体" w:cs="方正小标宋简体"/>
          <w:bCs/>
          <w:sz w:val="36"/>
          <w:szCs w:val="36"/>
        </w:rPr>
      </w:pPr>
      <w:bookmarkStart w:id="70" w:name="_Toc240990649"/>
      <w:r>
        <w:rPr>
          <w:rFonts w:hint="eastAsia" w:ascii="方正小标宋简体" w:hAnsi="方正小标宋简体" w:eastAsia="方正小标宋简体" w:cs="方正小标宋简体"/>
          <w:bCs/>
          <w:sz w:val="36"/>
          <w:szCs w:val="36"/>
        </w:rPr>
        <w:t xml:space="preserve">第五章  </w:t>
      </w:r>
      <w:r>
        <w:rPr>
          <w:rFonts w:ascii="方正小标宋简体" w:hAnsi="方正小标宋简体" w:eastAsia="方正小标宋简体" w:cs="方正小标宋简体"/>
          <w:bCs/>
          <w:sz w:val="36"/>
          <w:szCs w:val="36"/>
        </w:rPr>
        <w:t>主要任务</w:t>
      </w:r>
      <w:bookmarkEnd w:id="70"/>
    </w:p>
    <w:p>
      <w:pPr>
        <w:keepNext w:val="0"/>
        <w:keepLines w:val="0"/>
        <w:pageBreakBefore w:val="0"/>
        <w:widowControl/>
        <w:kinsoku/>
        <w:wordWrap/>
        <w:overflowPunct w:val="0"/>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立足洛阳市“十五五”时期经济社会绿色转型总体部署，衔接美丽河南建设、黄河流域生态保护和高质量发展重大战略，对接洛阳国土空间总体规划要求，在“十四五”生态修复既有成效基础上，</w:t>
      </w:r>
      <w:r>
        <w:rPr>
          <w:rFonts w:hint="eastAsia" w:ascii="Times New Roman" w:hAnsi="Times New Roman" w:eastAsia="仿宋_GB2312"/>
          <w:sz w:val="32"/>
          <w:szCs w:val="32"/>
        </w:rPr>
        <w:t>围绕“</w:t>
      </w:r>
      <w:r>
        <w:rPr>
          <w:rFonts w:ascii="Times New Roman" w:hAnsi="Times New Roman" w:eastAsia="仿宋_GB2312"/>
          <w:sz w:val="32"/>
          <w:szCs w:val="32"/>
        </w:rPr>
        <w:t>四区、</w:t>
      </w:r>
      <w:r>
        <w:rPr>
          <w:rFonts w:hint="eastAsia" w:ascii="Times New Roman" w:hAnsi="Times New Roman" w:eastAsia="仿宋_GB2312"/>
          <w:sz w:val="32"/>
          <w:szCs w:val="32"/>
        </w:rPr>
        <w:t>四</w:t>
      </w:r>
      <w:r>
        <w:rPr>
          <w:rFonts w:ascii="Times New Roman" w:hAnsi="Times New Roman" w:eastAsia="仿宋_GB2312"/>
          <w:sz w:val="32"/>
          <w:szCs w:val="32"/>
        </w:rPr>
        <w:t>廊、</w:t>
      </w:r>
      <w:r>
        <w:rPr>
          <w:rFonts w:hint="eastAsia" w:ascii="Times New Roman" w:hAnsi="Times New Roman" w:eastAsia="仿宋_GB2312"/>
          <w:sz w:val="32"/>
          <w:szCs w:val="32"/>
        </w:rPr>
        <w:t>一带、</w:t>
      </w:r>
      <w:r>
        <w:rPr>
          <w:rFonts w:ascii="Times New Roman" w:hAnsi="Times New Roman" w:eastAsia="仿宋_GB2312"/>
          <w:sz w:val="32"/>
          <w:szCs w:val="32"/>
        </w:rPr>
        <w:t>多</w:t>
      </w:r>
      <w:r>
        <w:rPr>
          <w:rFonts w:hint="eastAsia" w:ascii="Times New Roman" w:hAnsi="Times New Roman" w:eastAsia="仿宋_GB2312"/>
          <w:sz w:val="32"/>
          <w:szCs w:val="32"/>
        </w:rPr>
        <w:t>斑块、多网络”</w:t>
      </w:r>
      <w:r>
        <w:rPr>
          <w:rFonts w:ascii="Times New Roman" w:hAnsi="Times New Roman" w:eastAsia="仿宋_GB2312"/>
          <w:sz w:val="32"/>
          <w:szCs w:val="32"/>
        </w:rPr>
        <w:t>国土空间生态修复总体格局，着力破解生态系统稳定性不足、生态产品价值转化路径不宽、城乡生态治理不均衡等现实问题，筑牢黄河中游生态安全屏障，服务中原城市群副中心城市建设，支撑美丽洛阳建设取得实质性进展。重点落实</w:t>
      </w:r>
      <w:r>
        <w:rPr>
          <w:rFonts w:hint="eastAsia" w:ascii="Times New Roman" w:hAnsi="Times New Roman" w:eastAsia="仿宋_GB2312"/>
          <w:sz w:val="32"/>
          <w:szCs w:val="32"/>
        </w:rPr>
        <w:t>在以下</w:t>
      </w:r>
      <w:r>
        <w:rPr>
          <w:rFonts w:ascii="Times New Roman" w:hAnsi="Times New Roman" w:eastAsia="仿宋_GB2312"/>
          <w:sz w:val="32"/>
          <w:szCs w:val="32"/>
        </w:rPr>
        <w:t>五大方面任务</w:t>
      </w:r>
      <w:r>
        <w:rPr>
          <w:rFonts w:hint="eastAsia" w:ascii="Times New Roman" w:hAnsi="Times New Roman" w:eastAsia="仿宋_GB2312"/>
          <w:sz w:val="32"/>
          <w:szCs w:val="32"/>
        </w:rPr>
        <w:t>：</w:t>
      </w:r>
    </w:p>
    <w:p>
      <w:pPr>
        <w:keepNext w:val="0"/>
        <w:keepLines w:val="0"/>
        <w:pageBreakBefore w:val="0"/>
        <w:widowControl/>
        <w:kinsoku/>
        <w:wordWrap/>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严守生态安全基底，健全生态空间管控体系</w:t>
      </w:r>
      <w:r>
        <w:rPr>
          <w:rFonts w:hint="eastAsia" w:ascii="Times New Roman" w:hAnsi="Times New Roman" w:eastAsia="仿宋_GB2312"/>
          <w:b/>
          <w:bCs/>
          <w:sz w:val="32"/>
          <w:szCs w:val="32"/>
        </w:rPr>
        <w:t>。</w:t>
      </w:r>
      <w:r>
        <w:rPr>
          <w:rFonts w:ascii="Times New Roman" w:hAnsi="Times New Roman" w:eastAsia="仿宋_GB2312"/>
          <w:sz w:val="32"/>
          <w:szCs w:val="32"/>
        </w:rPr>
        <w:t>落实生态环境分区管控要求，强化生态保护红线、永久基本农田、城镇开发边界三条控制线刚性约束，严格管控国土空间开发利用强度，构建科学有序的国土空间保护开发格局</w:t>
      </w:r>
      <w:r>
        <w:rPr>
          <w:rFonts w:hint="eastAsia" w:ascii="Times New Roman" w:hAnsi="Times New Roman" w:eastAsia="仿宋_GB2312"/>
          <w:sz w:val="32"/>
          <w:szCs w:val="32"/>
        </w:rPr>
        <w:t>。</w:t>
      </w:r>
      <w:r>
        <w:rPr>
          <w:rFonts w:ascii="Times New Roman" w:hAnsi="Times New Roman" w:eastAsia="仿宋_GB2312"/>
          <w:sz w:val="32"/>
          <w:szCs w:val="32"/>
        </w:rPr>
        <w:t>以自然保护地、天然公益林、重要湿地、水源涵养区为核心，优化市域生态空间布局，完善以国家公园为主体的自然保护地管理制度体系。严格规范各类生产建设活动对生态空间的扰动侵占，推行</w:t>
      </w:r>
      <w:r>
        <w:rPr>
          <w:rFonts w:hint="eastAsia" w:ascii="Times New Roman" w:hAnsi="Times New Roman" w:eastAsia="仿宋_GB2312"/>
          <w:sz w:val="32"/>
          <w:szCs w:val="32"/>
        </w:rPr>
        <w:t>“</w:t>
      </w:r>
      <w:r>
        <w:rPr>
          <w:rFonts w:ascii="Times New Roman" w:hAnsi="Times New Roman" w:eastAsia="仿宋_GB2312"/>
          <w:sz w:val="32"/>
          <w:szCs w:val="32"/>
        </w:rPr>
        <w:t>天空地</w:t>
      </w:r>
      <w:r>
        <w:rPr>
          <w:rFonts w:hint="eastAsia" w:ascii="Times New Roman" w:hAnsi="Times New Roman" w:eastAsia="仿宋_GB2312"/>
          <w:sz w:val="32"/>
          <w:szCs w:val="32"/>
        </w:rPr>
        <w:t>”</w:t>
      </w:r>
      <w:r>
        <w:rPr>
          <w:rFonts w:ascii="Times New Roman" w:hAnsi="Times New Roman" w:eastAsia="仿宋_GB2312"/>
          <w:sz w:val="32"/>
          <w:szCs w:val="32"/>
        </w:rPr>
        <w:t>一体化生态监测监管，压实林长制属地管护责任。统筹重要物种栖息地维护与生物多样性保护，强化伏牛山、黄河湿地等优先区域保护监管，守住生态</w:t>
      </w:r>
      <w:r>
        <w:rPr>
          <w:rFonts w:hint="eastAsia" w:ascii="Times New Roman" w:hAnsi="Times New Roman" w:eastAsia="仿宋_GB2312"/>
          <w:sz w:val="32"/>
          <w:szCs w:val="32"/>
          <w:lang w:eastAsia="zh-CN"/>
        </w:rPr>
        <w:t>原始</w:t>
      </w:r>
      <w:r>
        <w:rPr>
          <w:rFonts w:ascii="Times New Roman" w:hAnsi="Times New Roman" w:eastAsia="仿宋_GB2312"/>
          <w:sz w:val="32"/>
          <w:szCs w:val="32"/>
        </w:rPr>
        <w:t>性与完整性，夯实区域生态安全底盘</w:t>
      </w:r>
      <w:r>
        <w:rPr>
          <w:rFonts w:hint="eastAsia" w:ascii="Times New Roman" w:hAnsi="Times New Roman" w:eastAsia="仿宋_GB2312"/>
          <w:sz w:val="32"/>
          <w:szCs w:val="32"/>
        </w:rPr>
        <w:t>。</w:t>
      </w:r>
    </w:p>
    <w:p>
      <w:pPr>
        <w:keepNext w:val="0"/>
        <w:keepLines w:val="0"/>
        <w:pageBreakBefore w:val="0"/>
        <w:widowControl/>
        <w:kinsoku/>
        <w:wordWrap/>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升级黄河流域生态廊道，构建安澜生态复合带</w:t>
      </w:r>
      <w:r>
        <w:rPr>
          <w:rFonts w:hint="eastAsia" w:ascii="Times New Roman" w:hAnsi="Times New Roman" w:eastAsia="仿宋_GB2312"/>
          <w:b/>
          <w:bCs/>
          <w:sz w:val="32"/>
          <w:szCs w:val="32"/>
        </w:rPr>
        <w:t>。</w:t>
      </w:r>
      <w:r>
        <w:rPr>
          <w:rFonts w:ascii="Times New Roman" w:hAnsi="Times New Roman" w:eastAsia="仿宋_GB2312"/>
          <w:sz w:val="32"/>
          <w:szCs w:val="32"/>
        </w:rPr>
        <w:t>加大黄河生态保护和修复力度，实施黄河干流及伊河、洛河、涧河、北汝河等支流廊道提质增效工程，推进滩区综合治理、湿地修复与水源涵养协同实施</w:t>
      </w:r>
      <w:r>
        <w:rPr>
          <w:rFonts w:hint="eastAsia" w:ascii="Times New Roman" w:hAnsi="Times New Roman" w:eastAsia="仿宋_GB2312"/>
          <w:sz w:val="32"/>
          <w:szCs w:val="32"/>
        </w:rPr>
        <w:t>。</w:t>
      </w:r>
      <w:r>
        <w:rPr>
          <w:rFonts w:ascii="Times New Roman" w:hAnsi="Times New Roman" w:eastAsia="仿宋_GB2312"/>
          <w:sz w:val="32"/>
          <w:szCs w:val="32"/>
        </w:rPr>
        <w:t>坚持自然恢复为主、人工修复为辅，优化森林抚育、封山育林实施模式，改造低效林分，提升黄河中游沿岸地区森林生态系统的质量和稳定性；加强坡耕地、侵蚀沟综合整治，降低生态环境风险隐患，提升黄河中游地区生态屏障功能。</w:t>
      </w:r>
    </w:p>
    <w:p>
      <w:pPr>
        <w:keepNext w:val="0"/>
        <w:keepLines w:val="0"/>
        <w:pageBreakBefore w:val="0"/>
        <w:widowControl/>
        <w:kinsoku/>
        <w:wordWrap/>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深化山水林田湖草沙系统治理，</w:t>
      </w:r>
      <w:r>
        <w:rPr>
          <w:rFonts w:hint="eastAsia" w:ascii="Times New Roman" w:hAnsi="Times New Roman" w:eastAsia="仿宋_GB2312"/>
          <w:b/>
          <w:bCs/>
          <w:sz w:val="32"/>
          <w:szCs w:val="32"/>
        </w:rPr>
        <w:t>打造实践示范样板。</w:t>
      </w:r>
      <w:r>
        <w:rPr>
          <w:rFonts w:ascii="Times New Roman" w:hAnsi="Times New Roman" w:eastAsia="仿宋_GB2312"/>
          <w:sz w:val="32"/>
          <w:szCs w:val="32"/>
        </w:rPr>
        <w:t>以黄河</w:t>
      </w:r>
      <w:r>
        <w:rPr>
          <w:rFonts w:hint="eastAsia" w:ascii="仿宋_GB2312" w:hAnsi="仿宋_GB2312" w:eastAsia="仿宋_GB2312" w:cs="仿宋_GB2312"/>
          <w:sz w:val="32"/>
          <w:szCs w:val="32"/>
          <w:lang w:val="en-US" w:eastAsia="zh-CN"/>
        </w:rPr>
        <w:t>～</w:t>
      </w:r>
      <w:r>
        <w:rPr>
          <w:rFonts w:ascii="Times New Roman" w:hAnsi="Times New Roman" w:eastAsia="仿宋_GB2312"/>
          <w:sz w:val="32"/>
          <w:szCs w:val="32"/>
        </w:rPr>
        <w:t>伊洛河流域为治理主轴，覆盖伏牛山中低山地、低山丘陵、伊洛河冲积平原、黄河阶地等典型地貌单元，统筹森林保育、河湖湿地复苏、水土流失防控、土壤安全利用、生物多样性提升五大板块，推进山水林田湖草沙一体化保护修复工程落地实施。转变单一要素修复模式，强化流域上下游、左右岸协同联动，探索适配洛阳山地</w:t>
      </w:r>
      <w:r>
        <w:rPr>
          <w:rFonts w:hint="eastAsia" w:ascii="仿宋_GB2312" w:hAnsi="仿宋_GB2312" w:eastAsia="仿宋_GB2312" w:cs="仿宋_GB2312"/>
          <w:sz w:val="32"/>
          <w:szCs w:val="32"/>
          <w:lang w:val="en-US" w:eastAsia="zh-CN"/>
        </w:rPr>
        <w:t>～</w:t>
      </w:r>
      <w:r>
        <w:rPr>
          <w:rFonts w:ascii="Times New Roman" w:hAnsi="Times New Roman" w:eastAsia="仿宋_GB2312"/>
          <w:sz w:val="32"/>
          <w:szCs w:val="32"/>
        </w:rPr>
        <w:t>平原交错特征的修复技术体系、项目管理模式与生态产品价值实现路径。坚持耕地保护刚性约束，严禁假借河湖湿地治理名义违规占用永久基本农田实施挖湖造景，统筹生态修复、农业生产、人居改善，打通绿水青山向金山银山转化通道，形成可复制可推广的流域系统治理示范经验。</w:t>
      </w:r>
    </w:p>
    <w:p>
      <w:pPr>
        <w:keepNext w:val="0"/>
        <w:keepLines w:val="0"/>
        <w:pageBreakBefore w:val="0"/>
        <w:widowControl/>
        <w:kinsoku/>
        <w:wordWrap/>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坚持控新增、消存量，推进矿山综合治理与绿色转型</w:t>
      </w:r>
      <w:r>
        <w:rPr>
          <w:rFonts w:hint="eastAsia" w:ascii="Times New Roman" w:hAnsi="Times New Roman" w:eastAsia="仿宋_GB2312"/>
          <w:b/>
          <w:bCs/>
          <w:sz w:val="32"/>
          <w:szCs w:val="32"/>
        </w:rPr>
        <w:t>。</w:t>
      </w:r>
      <w:r>
        <w:rPr>
          <w:rFonts w:ascii="Times New Roman" w:hAnsi="Times New Roman" w:eastAsia="仿宋_GB2312"/>
          <w:sz w:val="32"/>
          <w:szCs w:val="32"/>
        </w:rPr>
        <w:t>转变“重治理、轻预防”治理思路，落实 “一矿一策、分类处置”，构建源头管控</w:t>
      </w:r>
      <w:r>
        <w:rPr>
          <w:rFonts w:hint="eastAsia" w:ascii="仿宋_GB2312" w:hAnsi="仿宋_GB2312" w:eastAsia="仿宋_GB2312" w:cs="仿宋_GB2312"/>
          <w:sz w:val="32"/>
          <w:szCs w:val="32"/>
          <w:lang w:val="en-US" w:eastAsia="zh-CN"/>
        </w:rPr>
        <w:t>、</w:t>
      </w:r>
      <w:r>
        <w:rPr>
          <w:rFonts w:ascii="Times New Roman" w:hAnsi="Times New Roman" w:eastAsia="仿宋_GB2312"/>
          <w:sz w:val="32"/>
          <w:szCs w:val="32"/>
        </w:rPr>
        <w:t>过程监管</w:t>
      </w:r>
      <w:r>
        <w:rPr>
          <w:rFonts w:hint="eastAsia" w:ascii="仿宋_GB2312" w:hAnsi="仿宋_GB2312" w:eastAsia="仿宋_GB2312" w:cs="仿宋_GB2312"/>
          <w:sz w:val="32"/>
          <w:szCs w:val="32"/>
          <w:lang w:val="en-US" w:eastAsia="zh-CN"/>
        </w:rPr>
        <w:t>、</w:t>
      </w:r>
      <w:r>
        <w:rPr>
          <w:rFonts w:ascii="Times New Roman" w:hAnsi="Times New Roman" w:eastAsia="仿宋_GB2312"/>
          <w:sz w:val="32"/>
          <w:szCs w:val="32"/>
        </w:rPr>
        <w:t>末端修复</w:t>
      </w:r>
      <w:r>
        <w:rPr>
          <w:rFonts w:hint="eastAsia" w:ascii="仿宋_GB2312" w:hAnsi="仿宋_GB2312" w:eastAsia="仿宋_GB2312" w:cs="仿宋_GB2312"/>
          <w:sz w:val="32"/>
          <w:szCs w:val="32"/>
          <w:lang w:val="en-US" w:eastAsia="zh-CN"/>
        </w:rPr>
        <w:t>、</w:t>
      </w:r>
      <w:r>
        <w:rPr>
          <w:rFonts w:ascii="Times New Roman" w:hAnsi="Times New Roman" w:eastAsia="仿宋_GB2312"/>
          <w:sz w:val="32"/>
          <w:szCs w:val="32"/>
        </w:rPr>
        <w:t>资源利用全链条矿山生态治理体系。一方面从严管控生产矿山生态扰动，压实矿山企业主体责任，严格落实矿山地质环境治理恢复义务，坚决遏制新增生态破坏问题；另一方面攻坚历史遗留废弃矿山、尾矿库综合整治，统筹边坡治理、植被恢复、地质灾害隐患消除、尾矿资源化综合利用，推动尾矿用于建材制备、矿山回填等场景，提升固废资源化</w:t>
      </w:r>
      <w:r>
        <w:rPr>
          <w:rFonts w:hint="eastAsia" w:ascii="Times New Roman" w:hAnsi="Times New Roman" w:eastAsia="仿宋_GB2312"/>
          <w:sz w:val="32"/>
          <w:szCs w:val="32"/>
        </w:rPr>
        <w:t>利用</w:t>
      </w:r>
      <w:r>
        <w:rPr>
          <w:rFonts w:ascii="Times New Roman" w:hAnsi="Times New Roman" w:eastAsia="仿宋_GB2312"/>
          <w:sz w:val="32"/>
          <w:szCs w:val="32"/>
        </w:rPr>
        <w:t>水平。大力推进绿色矿山建设，推动矿产资源开发与生态修复同步规划、同步实施，强化矿山修复后期管护，避免治理后生态退化。</w:t>
      </w:r>
    </w:p>
    <w:p>
      <w:pPr>
        <w:keepNext w:val="0"/>
        <w:keepLines w:val="0"/>
        <w:pageBreakBefore w:val="0"/>
        <w:widowControl/>
        <w:kinsoku/>
        <w:wordWrap/>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拓展全域土地综合整治成效，赋能乡村全面振兴</w:t>
      </w:r>
      <w:r>
        <w:rPr>
          <w:rFonts w:hint="eastAsia" w:ascii="Times New Roman" w:hAnsi="Times New Roman" w:eastAsia="仿宋_GB2312"/>
          <w:b/>
          <w:bCs/>
          <w:sz w:val="32"/>
          <w:szCs w:val="32"/>
        </w:rPr>
        <w:t>。</w:t>
      </w:r>
      <w:r>
        <w:rPr>
          <w:rFonts w:ascii="Times New Roman" w:hAnsi="Times New Roman" w:eastAsia="仿宋_GB2312"/>
          <w:sz w:val="32"/>
          <w:szCs w:val="32"/>
        </w:rPr>
        <w:t>在“十四五”试点实践基础上，扩大全域土地综合整治实施范围，结合县域资源禀赋，选取一批山地丘陵、河谷平原典型乡镇开展连片试点。统筹农用地提质改造、低效建设用地盘活、闲置宅基地复垦、滩涂生态化整治，同步衔接耕地保护、农村人居环境提升、乡村生态修复，优化乡村地区“生产</w:t>
      </w:r>
      <w:r>
        <w:rPr>
          <w:rFonts w:ascii="Times New Roman" w:hAnsi="Times New Roman" w:eastAsia="仿宋_GB2312"/>
          <w:sz w:val="32"/>
          <w:szCs w:val="32"/>
        </w:rPr>
        <w:noBreakHyphen/>
      </w:r>
      <w:r>
        <w:rPr>
          <w:rFonts w:ascii="Times New Roman" w:hAnsi="Times New Roman" w:eastAsia="仿宋_GB2312"/>
          <w:sz w:val="32"/>
          <w:szCs w:val="32"/>
        </w:rPr>
        <w:t>生活</w:t>
      </w:r>
      <w:r>
        <w:rPr>
          <w:rFonts w:ascii="Times New Roman" w:hAnsi="Times New Roman" w:eastAsia="仿宋_GB2312"/>
          <w:sz w:val="32"/>
          <w:szCs w:val="32"/>
        </w:rPr>
        <w:noBreakHyphen/>
      </w:r>
      <w:r>
        <w:rPr>
          <w:rFonts w:ascii="Times New Roman" w:hAnsi="Times New Roman" w:eastAsia="仿宋_GB2312"/>
          <w:sz w:val="32"/>
          <w:szCs w:val="32"/>
        </w:rPr>
        <w:t>生态”三生空间格局。把土地整治和乡村产业发展相结合，联动生态旅游、林下经济、乡村康养等业态，提升土地综合效益。强化试点成果总结提炼，建立试点准入、过程督导、成效评估闭环机制，形成适配豫西乡村特点的整治模式，为全市乡村振兴提供支撑。</w:t>
      </w:r>
    </w:p>
    <w:p>
      <w:pPr>
        <w:spacing w:line="560" w:lineRule="exact"/>
        <w:ind w:firstLine="640" w:firstLineChars="200"/>
        <w:rPr>
          <w:rFonts w:ascii="Times New Roman" w:hAnsi="Times New Roman" w:eastAsia="仿宋_GB2312"/>
          <w:sz w:val="32"/>
          <w:szCs w:val="32"/>
        </w:rPr>
      </w:pP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br w:type="page"/>
      </w:r>
    </w:p>
    <w:p>
      <w:pPr>
        <w:pageBreakBefore/>
        <w:widowControl w:val="0"/>
        <w:spacing w:before="156" w:beforeLines="50" w:after="156" w:afterLines="50"/>
        <w:jc w:val="center"/>
        <w:outlineLvl w:val="0"/>
        <w:rPr>
          <w:rFonts w:hint="eastAsia" w:ascii="方正小标宋简体" w:hAnsi="方正小标宋简体" w:eastAsia="方正小标宋简体" w:cs="方正小标宋简体"/>
          <w:bCs/>
          <w:sz w:val="36"/>
          <w:szCs w:val="36"/>
        </w:rPr>
      </w:pPr>
      <w:bookmarkStart w:id="71" w:name="_Toc240990650"/>
      <w:r>
        <w:rPr>
          <w:rFonts w:hint="eastAsia" w:ascii="方正小标宋简体" w:hAnsi="方正小标宋简体" w:eastAsia="方正小标宋简体" w:cs="方正小标宋简体"/>
          <w:bCs/>
          <w:sz w:val="36"/>
          <w:szCs w:val="36"/>
        </w:rPr>
        <w:t>第六章  生态修复工程</w:t>
      </w:r>
      <w:bookmarkEnd w:id="71"/>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洛阳市地处黄河中游、伏牛山北麓，生态本底类型多样，黄河、伊洛河、北汝河、涧河等水系纵横交错，山地丘陵、平原、湿地并存。围绕“四区、四廊、一带、多斑块、多网络”的生态修复空间格局，本章立足“十五五”时期洛阳生态保护修复面临的新形势、新任务，聚焦生态系统退化、水土流失、矿山损毁、湿地萎缩、生物多样性受胁等突出问题，统筹生态、农业、城镇三类国土空间，以山体、河流、湿地、森林、土地、矿山为主要修复对象，分类施策、分区推进，全面提升生态系统韧性与服务功能，为洛阳高质量发展筑牢生态安全屏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72" w:name="_Toc240990651"/>
      <w:r>
        <w:rPr>
          <w:rFonts w:ascii="Times New Roman" w:hAnsi="Times New Roman" w:eastAsia="黑体"/>
          <w:bCs/>
          <w:sz w:val="32"/>
          <w:szCs w:val="32"/>
        </w:rPr>
        <w:t>第一节 黄河生态保护带修复工程</w:t>
      </w:r>
      <w:bookmarkEnd w:id="7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w:t>
      </w:r>
      <w:r>
        <w:rPr>
          <w:rFonts w:ascii="楷体" w:hAnsi="楷体" w:eastAsia="楷体"/>
          <w:bCs/>
          <w:sz w:val="32"/>
          <w:szCs w:val="32"/>
        </w:rPr>
        <w:t>生态空间生态保护和修复</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实施区域：</w:t>
      </w:r>
      <w:r>
        <w:rPr>
          <w:rFonts w:ascii="Times New Roman" w:hAnsi="Times New Roman" w:eastAsia="仿宋_GB2312"/>
          <w:sz w:val="32"/>
          <w:szCs w:val="32"/>
        </w:rPr>
        <w:t>本节工程位于黄河生态保护带核心段，覆盖孟津区、新安县沿黄地带，并延伸至嵩县陆浑水库周边区域，自西向东串联河南黄河湿地国家级自然保护区孟津段、新安段，沿黄生态廊道及北部黄河阶地平原区。区域内黄河滩涂、河心洲、库塘湿地与阶地平原交错分布，是洛阳段黄河生态功能最集中、生态敏感性最高的区段，也是候鸟迁飞通道和黄河下游生态安全的重要屏障。</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重点任务：</w:t>
      </w:r>
      <w:r>
        <w:rPr>
          <w:rFonts w:ascii="Times New Roman" w:hAnsi="Times New Roman" w:eastAsia="仿宋_GB2312"/>
          <w:sz w:val="32"/>
          <w:szCs w:val="32"/>
        </w:rPr>
        <w:t>针对滩涂湿地萎缩、水系连通性下降、外来物种入侵风险上升，以及黄河阶地平原区水土流失等问题，以恢复湿地生态功能、增强水土保持能力为主线，重点推进湿地生境修复与水系连通、外来有害生物防控、阶地平原及黄土丘陵区小流域综合治理。结合新安、嵩县等区域水土流失治理，减少入黄泥沙，提升水源涵养能力。</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主要策略：</w:t>
      </w:r>
      <w:r>
        <w:rPr>
          <w:rFonts w:ascii="Times New Roman" w:hAnsi="Times New Roman" w:eastAsia="仿宋_GB2312"/>
          <w:sz w:val="32"/>
          <w:szCs w:val="32"/>
        </w:rPr>
        <w:t>以封育保护为基础，对核心湿地实行严格管控，减少人为干扰；对退化区域采取近自然修复，通过微地形改造、水系连通和乡土植被恢复重建生境；对阶地平原区及黄土丘陵区以小流域为单元，实施坡改梯、沟道防护与林草恢复相结合的综合治理。项目实施与中央财政、省级财政等资金渠道衔接，强化后期管护责任，确保修复成效可持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w:t>
      </w:r>
      <w:r>
        <w:rPr>
          <w:rFonts w:ascii="楷体" w:hAnsi="楷体" w:eastAsia="楷体"/>
          <w:bCs/>
          <w:sz w:val="32"/>
          <w:szCs w:val="32"/>
        </w:rPr>
        <w:t>工程部署</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部署黄河湿地修复、水土流失治理等项目。实施湿地修复、河道生态治理、水土流失综合治理等工程。</w:t>
      </w:r>
    </w:p>
    <w:p>
      <w:pPr>
        <w:spacing w:line="560" w:lineRule="exact"/>
        <w:jc w:val="center"/>
        <w:rPr>
          <w:rFonts w:ascii="Times New Roman" w:hAnsi="Times New Roman" w:eastAsia="仿宋_GB2312"/>
          <w:b/>
          <w:bCs/>
          <w:sz w:val="28"/>
          <w:szCs w:val="28"/>
        </w:rPr>
      </w:pPr>
      <w:r>
        <w:rPr>
          <w:rFonts w:ascii="Times New Roman" w:hAnsi="Times New Roman" w:eastAsia="仿宋_GB2312"/>
          <w:b/>
          <w:bCs/>
          <w:sz w:val="28"/>
          <w:szCs w:val="28"/>
        </w:rPr>
        <w:t>专栏1 黄河生态保护带修复重点工程</w:t>
      </w:r>
    </w:p>
    <w:tbl>
      <w:tblPr>
        <w:tblStyle w:val="24"/>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170"/>
        <w:gridCol w:w="819"/>
        <w:gridCol w:w="3840"/>
        <w:gridCol w:w="1056"/>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0" w:type="auto"/>
            <w:vAlign w:val="center"/>
          </w:tcPr>
          <w:p>
            <w:pPr>
              <w:jc w:val="center"/>
              <w:rPr>
                <w:rFonts w:ascii="仿宋_GB2312" w:hAnsi="Times New Roman" w:eastAsia="仿宋_GB2312"/>
                <w:sz w:val="32"/>
                <w:szCs w:val="32"/>
              </w:rPr>
            </w:pPr>
            <w:r>
              <w:rPr>
                <w:rFonts w:hint="eastAsia" w:ascii="仿宋_GB2312" w:eastAsia="仿宋_GB2312"/>
                <w:b/>
                <w:bCs/>
                <w:sz w:val="24"/>
                <w:szCs w:val="24"/>
              </w:rPr>
              <w:t>序号</w:t>
            </w:r>
          </w:p>
        </w:tc>
        <w:tc>
          <w:tcPr>
            <w:tcW w:w="1211" w:type="dxa"/>
            <w:vAlign w:val="center"/>
          </w:tcPr>
          <w:p>
            <w:pPr>
              <w:jc w:val="center"/>
              <w:rPr>
                <w:rFonts w:ascii="仿宋_GB2312" w:hAnsi="Times New Roman" w:eastAsia="仿宋_GB2312"/>
                <w:sz w:val="32"/>
                <w:szCs w:val="32"/>
              </w:rPr>
            </w:pPr>
            <w:r>
              <w:rPr>
                <w:rFonts w:hint="eastAsia" w:ascii="仿宋_GB2312" w:eastAsia="仿宋_GB2312"/>
                <w:b/>
                <w:bCs/>
                <w:sz w:val="24"/>
                <w:szCs w:val="24"/>
              </w:rPr>
              <w:t>赋存空间</w:t>
            </w:r>
          </w:p>
        </w:tc>
        <w:tc>
          <w:tcPr>
            <w:tcW w:w="850" w:type="dxa"/>
            <w:vAlign w:val="center"/>
          </w:tcPr>
          <w:p>
            <w:pPr>
              <w:jc w:val="center"/>
              <w:rPr>
                <w:rFonts w:ascii="仿宋_GB2312" w:hAnsi="Times New Roman" w:eastAsia="仿宋_GB2312"/>
                <w:sz w:val="32"/>
                <w:szCs w:val="32"/>
              </w:rPr>
            </w:pPr>
            <w:r>
              <w:rPr>
                <w:rFonts w:hint="eastAsia" w:ascii="仿宋_GB2312" w:eastAsia="仿宋_GB2312"/>
                <w:b/>
                <w:bCs/>
                <w:sz w:val="24"/>
                <w:szCs w:val="24"/>
              </w:rPr>
              <w:t>修复对象</w:t>
            </w:r>
          </w:p>
        </w:tc>
        <w:tc>
          <w:tcPr>
            <w:tcW w:w="4040" w:type="dxa"/>
            <w:vAlign w:val="center"/>
          </w:tcPr>
          <w:p>
            <w:pPr>
              <w:jc w:val="center"/>
              <w:rPr>
                <w:rFonts w:ascii="仿宋_GB2312" w:hAnsi="Times New Roman" w:eastAsia="仿宋_GB2312"/>
                <w:sz w:val="32"/>
                <w:szCs w:val="32"/>
              </w:rPr>
            </w:pPr>
            <w:r>
              <w:rPr>
                <w:rFonts w:hint="eastAsia" w:ascii="仿宋_GB2312" w:eastAsia="仿宋_GB2312"/>
                <w:b/>
                <w:bCs/>
                <w:sz w:val="24"/>
                <w:szCs w:val="24"/>
              </w:rPr>
              <w:t>建设内容</w:t>
            </w:r>
          </w:p>
        </w:tc>
        <w:tc>
          <w:tcPr>
            <w:tcW w:w="1056" w:type="dxa"/>
            <w:vAlign w:val="center"/>
          </w:tcPr>
          <w:p>
            <w:pPr>
              <w:jc w:val="center"/>
              <w:rPr>
                <w:rFonts w:ascii="仿宋_GB2312" w:eastAsia="仿宋_GB2312"/>
                <w:b/>
                <w:bCs/>
                <w:sz w:val="24"/>
                <w:szCs w:val="24"/>
              </w:rPr>
            </w:pPr>
            <w:r>
              <w:rPr>
                <w:rFonts w:hint="eastAsia" w:ascii="仿宋_GB2312" w:eastAsia="仿宋_GB2312"/>
                <w:b/>
                <w:bCs/>
                <w:sz w:val="24"/>
                <w:szCs w:val="24"/>
              </w:rPr>
              <w:t>投资</w:t>
            </w:r>
          </w:p>
          <w:p>
            <w:pPr>
              <w:ind w:left="-82" w:leftChars="-39" w:right="-69" w:rightChars="-33"/>
              <w:jc w:val="center"/>
              <w:rPr>
                <w:rFonts w:ascii="仿宋_GB2312" w:hAnsi="Times New Roman" w:eastAsia="仿宋_GB2312"/>
                <w:sz w:val="32"/>
                <w:szCs w:val="32"/>
              </w:rPr>
            </w:pPr>
            <w:r>
              <w:rPr>
                <w:rFonts w:hint="eastAsia" w:ascii="仿宋_GB2312" w:eastAsia="仿宋_GB2312"/>
                <w:b/>
                <w:bCs/>
                <w:sz w:val="24"/>
                <w:szCs w:val="24"/>
              </w:rPr>
              <w:t>（万元）</w:t>
            </w:r>
          </w:p>
        </w:tc>
        <w:tc>
          <w:tcPr>
            <w:tcW w:w="1144" w:type="dxa"/>
            <w:vAlign w:val="center"/>
          </w:tcPr>
          <w:p>
            <w:pPr>
              <w:ind w:left="-141" w:leftChars="-67" w:right="-55" w:rightChars="-26"/>
              <w:jc w:val="center"/>
              <w:rPr>
                <w:rFonts w:ascii="仿宋_GB2312" w:eastAsia="仿宋_GB2312"/>
                <w:b/>
                <w:bCs/>
                <w:sz w:val="24"/>
                <w:szCs w:val="24"/>
              </w:rPr>
            </w:pPr>
            <w:r>
              <w:rPr>
                <w:rFonts w:hint="eastAsia" w:ascii="仿宋_GB2312" w:eastAsia="仿宋_GB2312"/>
                <w:b/>
                <w:bCs/>
                <w:sz w:val="24"/>
                <w:szCs w:val="24"/>
              </w:rPr>
              <w:t>时间安排</w:t>
            </w:r>
          </w:p>
          <w:p>
            <w:pPr>
              <w:rPr>
                <w:rFonts w:ascii="仿宋_GB2312" w:hAnsi="Times New Roman" w:eastAsia="仿宋_GB2312"/>
                <w:sz w:val="32"/>
                <w:szCs w:val="32"/>
              </w:rPr>
            </w:pPr>
            <w:r>
              <w:rPr>
                <w:rFonts w:hint="eastAsia" w:ascii="仿宋_GB2312" w:eastAsia="仿宋_GB2312"/>
                <w:b/>
                <w:bCs/>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hAnsi="Times New Roman" w:eastAsia="仿宋_GB2312"/>
                <w:sz w:val="32"/>
                <w:szCs w:val="32"/>
              </w:rPr>
            </w:pPr>
            <w:r>
              <w:rPr>
                <w:rFonts w:hint="eastAsia" w:ascii="仿宋_GB2312" w:eastAsia="仿宋_GB2312"/>
                <w:sz w:val="24"/>
                <w:szCs w:val="24"/>
              </w:rPr>
              <w:t>1</w:t>
            </w:r>
          </w:p>
        </w:tc>
        <w:tc>
          <w:tcPr>
            <w:tcW w:w="1211" w:type="dxa"/>
            <w:vAlign w:val="center"/>
          </w:tcPr>
          <w:p>
            <w:pPr>
              <w:jc w:val="center"/>
              <w:rPr>
                <w:rFonts w:ascii="仿宋_GB2312" w:hAnsi="Times New Roman" w:eastAsia="仿宋_GB2312"/>
                <w:sz w:val="32"/>
                <w:szCs w:val="32"/>
              </w:rPr>
            </w:pPr>
            <w:r>
              <w:rPr>
                <w:rFonts w:ascii="仿宋_GB2312" w:eastAsia="仿宋_GB2312"/>
                <w:sz w:val="24"/>
                <w:szCs w:val="24"/>
              </w:rPr>
              <w:t>四区（黄河阶地平原区）</w:t>
            </w:r>
          </w:p>
        </w:tc>
        <w:tc>
          <w:tcPr>
            <w:tcW w:w="850" w:type="dxa"/>
            <w:vAlign w:val="center"/>
          </w:tcPr>
          <w:p>
            <w:pPr>
              <w:jc w:val="center"/>
              <w:rPr>
                <w:rFonts w:ascii="仿宋_GB2312" w:hAnsi="Times New Roman" w:eastAsia="仿宋_GB2312"/>
                <w:sz w:val="32"/>
                <w:szCs w:val="32"/>
              </w:rPr>
            </w:pPr>
            <w:r>
              <w:rPr>
                <w:rFonts w:hint="eastAsia" w:ascii="仿宋_GB2312" w:eastAsia="仿宋_GB2312"/>
                <w:sz w:val="24"/>
                <w:szCs w:val="24"/>
              </w:rPr>
              <w:t>湿地</w:t>
            </w:r>
          </w:p>
        </w:tc>
        <w:tc>
          <w:tcPr>
            <w:tcW w:w="4040"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项目名称：河南黄河湿地国家级自然保护区（孟津北岸）生态保护和修复工程Ⅱ期项目；</w:t>
            </w:r>
          </w:p>
          <w:p>
            <w:pPr>
              <w:pStyle w:val="10"/>
              <w:ind w:left="0"/>
              <w:jc w:val="both"/>
              <w:rPr>
                <w:rFonts w:ascii="仿宋_GB2312" w:eastAsia="仿宋_GB2312"/>
                <w:sz w:val="24"/>
                <w:szCs w:val="24"/>
              </w:rPr>
            </w:pPr>
            <w:r>
              <w:rPr>
                <w:rFonts w:hint="eastAsia" w:ascii="仿宋_GB2312" w:eastAsia="仿宋_GB2312"/>
                <w:sz w:val="24"/>
                <w:szCs w:val="24"/>
              </w:rPr>
              <w:t>实施区域：孟津区；</w:t>
            </w:r>
          </w:p>
          <w:p>
            <w:pPr>
              <w:rPr>
                <w:rFonts w:ascii="仿宋_GB2312" w:hAnsi="Times New Roman" w:eastAsia="仿宋_GB2312"/>
                <w:sz w:val="32"/>
                <w:szCs w:val="32"/>
              </w:rPr>
            </w:pPr>
            <w:r>
              <w:rPr>
                <w:rFonts w:hint="eastAsia" w:ascii="仿宋_GB2312" w:eastAsia="仿宋_GB2312"/>
                <w:sz w:val="24"/>
                <w:szCs w:val="24"/>
              </w:rPr>
              <w:t>具体措施：环境整治、水系连通、自然生态驳岸及重点保护物种食源地营造、围栏、巡护道路与控水分水口修建、水生植被及乡土树木种植等。</w:t>
            </w:r>
          </w:p>
        </w:tc>
        <w:tc>
          <w:tcPr>
            <w:tcW w:w="1056" w:type="dxa"/>
            <w:vAlign w:val="center"/>
          </w:tcPr>
          <w:p>
            <w:pPr>
              <w:jc w:val="center"/>
              <w:rPr>
                <w:rFonts w:ascii="仿宋_GB2312" w:hAnsi="Times New Roman" w:eastAsia="仿宋_GB2312"/>
                <w:sz w:val="32"/>
                <w:szCs w:val="32"/>
              </w:rPr>
            </w:pPr>
            <w:r>
              <w:rPr>
                <w:rFonts w:hint="eastAsia" w:ascii="仿宋_GB2312" w:eastAsia="仿宋_GB2312"/>
                <w:sz w:val="24"/>
                <w:szCs w:val="24"/>
              </w:rPr>
              <w:t>1000</w:t>
            </w:r>
          </w:p>
        </w:tc>
        <w:tc>
          <w:tcPr>
            <w:tcW w:w="1144" w:type="dxa"/>
            <w:vAlign w:val="center"/>
          </w:tcPr>
          <w:p>
            <w:pPr>
              <w:jc w:val="center"/>
              <w:rPr>
                <w:rFonts w:ascii="仿宋_GB2312" w:hAnsi="Times New Roman" w:eastAsia="仿宋_GB2312"/>
                <w:sz w:val="32"/>
                <w:szCs w:val="32"/>
              </w:rPr>
            </w:pPr>
            <w:r>
              <w:rPr>
                <w:rFonts w:hint="eastAsia" w:ascii="仿宋_GB2312" w:eastAsia="仿宋_GB2312"/>
                <w:sz w:val="24"/>
                <w:szCs w:val="24"/>
              </w:rPr>
              <w:t>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hAnsi="Times New Roman" w:eastAsia="仿宋_GB2312"/>
                <w:sz w:val="32"/>
                <w:szCs w:val="32"/>
              </w:rPr>
            </w:pPr>
            <w:r>
              <w:rPr>
                <w:rFonts w:hint="eastAsia" w:ascii="仿宋_GB2312" w:eastAsia="仿宋_GB2312"/>
                <w:sz w:val="24"/>
                <w:szCs w:val="24"/>
              </w:rPr>
              <w:t>2</w:t>
            </w:r>
          </w:p>
        </w:tc>
        <w:tc>
          <w:tcPr>
            <w:tcW w:w="1211" w:type="dxa"/>
            <w:vAlign w:val="center"/>
          </w:tcPr>
          <w:p>
            <w:pPr>
              <w:jc w:val="center"/>
              <w:rPr>
                <w:rFonts w:ascii="仿宋_GB2312" w:hAnsi="Times New Roman" w:eastAsia="仿宋_GB2312"/>
                <w:sz w:val="32"/>
                <w:szCs w:val="32"/>
              </w:rPr>
            </w:pPr>
            <w:r>
              <w:rPr>
                <w:rFonts w:ascii="仿宋_GB2312" w:eastAsia="仿宋_GB2312"/>
                <w:sz w:val="24"/>
                <w:szCs w:val="24"/>
              </w:rPr>
              <w:t>四区（黄河阶地平原区）</w:t>
            </w:r>
          </w:p>
        </w:tc>
        <w:tc>
          <w:tcPr>
            <w:tcW w:w="850" w:type="dxa"/>
            <w:vAlign w:val="center"/>
          </w:tcPr>
          <w:p>
            <w:pPr>
              <w:jc w:val="center"/>
              <w:rPr>
                <w:rFonts w:ascii="仿宋_GB2312" w:hAnsi="Times New Roman" w:eastAsia="仿宋_GB2312"/>
                <w:sz w:val="32"/>
                <w:szCs w:val="32"/>
              </w:rPr>
            </w:pPr>
            <w:r>
              <w:rPr>
                <w:rFonts w:hint="eastAsia" w:ascii="仿宋_GB2312" w:eastAsia="仿宋_GB2312"/>
                <w:sz w:val="24"/>
                <w:szCs w:val="24"/>
              </w:rPr>
              <w:t>湿地</w:t>
            </w:r>
          </w:p>
        </w:tc>
        <w:tc>
          <w:tcPr>
            <w:tcW w:w="4040"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项目名称：孟津黄河湿地候鸟迁飞栖息地修复工程；</w:t>
            </w:r>
          </w:p>
          <w:p>
            <w:pPr>
              <w:pStyle w:val="10"/>
              <w:ind w:left="0"/>
              <w:jc w:val="both"/>
              <w:rPr>
                <w:rFonts w:ascii="仿宋_GB2312" w:eastAsia="仿宋_GB2312"/>
                <w:sz w:val="24"/>
                <w:szCs w:val="24"/>
              </w:rPr>
            </w:pPr>
            <w:r>
              <w:rPr>
                <w:rFonts w:hint="eastAsia" w:ascii="仿宋_GB2312" w:eastAsia="仿宋_GB2312"/>
                <w:sz w:val="24"/>
                <w:szCs w:val="24"/>
              </w:rPr>
              <w:t>实施区域：孟津区；</w:t>
            </w:r>
          </w:p>
          <w:p>
            <w:pPr>
              <w:pStyle w:val="10"/>
              <w:ind w:left="0"/>
              <w:jc w:val="both"/>
              <w:rPr>
                <w:rFonts w:ascii="仿宋_GB2312" w:eastAsia="仿宋_GB2312"/>
              </w:rPr>
            </w:pPr>
            <w:r>
              <w:rPr>
                <w:rFonts w:hint="eastAsia" w:ascii="仿宋_GB2312" w:eastAsia="仿宋_GB2312"/>
                <w:sz w:val="24"/>
                <w:szCs w:val="24"/>
              </w:rPr>
              <w:t>具体措施：在废弃坑塘、旱化草地进行地形修复，增加候鸟适宜栖息地面积，优化生境条件；建设疫源疫病监测点。</w:t>
            </w:r>
          </w:p>
        </w:tc>
        <w:tc>
          <w:tcPr>
            <w:tcW w:w="1056" w:type="dxa"/>
            <w:vAlign w:val="center"/>
          </w:tcPr>
          <w:p>
            <w:pPr>
              <w:jc w:val="center"/>
              <w:rPr>
                <w:rFonts w:ascii="仿宋_GB2312" w:hAnsi="Times New Roman" w:eastAsia="仿宋_GB2312"/>
                <w:sz w:val="32"/>
                <w:szCs w:val="32"/>
              </w:rPr>
            </w:pPr>
            <w:r>
              <w:rPr>
                <w:rFonts w:hint="eastAsia" w:ascii="仿宋_GB2312" w:eastAsia="仿宋_GB2312"/>
                <w:sz w:val="24"/>
                <w:szCs w:val="24"/>
              </w:rPr>
              <w:t>2100</w:t>
            </w:r>
          </w:p>
        </w:tc>
        <w:tc>
          <w:tcPr>
            <w:tcW w:w="1144" w:type="dxa"/>
            <w:vAlign w:val="center"/>
          </w:tcPr>
          <w:p>
            <w:pPr>
              <w:jc w:val="center"/>
              <w:rPr>
                <w:rFonts w:ascii="仿宋_GB2312" w:hAnsi="Times New Roman" w:eastAsia="仿宋_GB2312"/>
                <w:sz w:val="32"/>
                <w:szCs w:val="32"/>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0" w:type="auto"/>
            <w:vAlign w:val="center"/>
          </w:tcPr>
          <w:p>
            <w:pPr>
              <w:jc w:val="center"/>
              <w:rPr>
                <w:rFonts w:ascii="仿宋_GB2312" w:hAnsi="Times New Roman" w:eastAsia="仿宋_GB2312"/>
                <w:sz w:val="32"/>
                <w:szCs w:val="32"/>
              </w:rPr>
            </w:pPr>
            <w:r>
              <w:rPr>
                <w:rFonts w:hint="eastAsia" w:ascii="仿宋_GB2312" w:eastAsia="仿宋_GB2312"/>
                <w:sz w:val="24"/>
                <w:szCs w:val="24"/>
              </w:rPr>
              <w:t>3</w:t>
            </w:r>
          </w:p>
        </w:tc>
        <w:tc>
          <w:tcPr>
            <w:tcW w:w="1211" w:type="dxa"/>
            <w:vAlign w:val="center"/>
          </w:tcPr>
          <w:p>
            <w:pPr>
              <w:jc w:val="center"/>
              <w:rPr>
                <w:rFonts w:ascii="仿宋_GB2312" w:hAnsi="Times New Roman" w:eastAsia="仿宋_GB2312"/>
                <w:sz w:val="32"/>
                <w:szCs w:val="32"/>
              </w:rPr>
            </w:pPr>
            <w:r>
              <w:rPr>
                <w:rFonts w:ascii="仿宋_GB2312" w:eastAsia="仿宋_GB2312"/>
                <w:sz w:val="24"/>
                <w:szCs w:val="24"/>
              </w:rPr>
              <w:t>四区（黄土丘陵浅山区）</w:t>
            </w:r>
          </w:p>
        </w:tc>
        <w:tc>
          <w:tcPr>
            <w:tcW w:w="850" w:type="dxa"/>
            <w:vAlign w:val="center"/>
          </w:tcPr>
          <w:p>
            <w:pPr>
              <w:jc w:val="center"/>
              <w:rPr>
                <w:rFonts w:ascii="仿宋_GB2312" w:hAnsi="Times New Roman" w:eastAsia="仿宋_GB2312"/>
                <w:sz w:val="32"/>
                <w:szCs w:val="32"/>
              </w:rPr>
            </w:pPr>
            <w:r>
              <w:rPr>
                <w:rFonts w:hint="eastAsia" w:ascii="仿宋_GB2312" w:eastAsia="仿宋_GB2312"/>
                <w:sz w:val="24"/>
                <w:szCs w:val="24"/>
              </w:rPr>
              <w:t>水土流失</w:t>
            </w:r>
          </w:p>
        </w:tc>
        <w:tc>
          <w:tcPr>
            <w:tcW w:w="4040"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项目名称：水土流失治理项目；</w:t>
            </w:r>
          </w:p>
          <w:p>
            <w:pPr>
              <w:pStyle w:val="10"/>
              <w:ind w:left="0"/>
              <w:jc w:val="both"/>
              <w:rPr>
                <w:rFonts w:ascii="仿宋_GB2312" w:eastAsia="仿宋_GB2312"/>
                <w:sz w:val="24"/>
                <w:szCs w:val="24"/>
              </w:rPr>
            </w:pPr>
            <w:r>
              <w:rPr>
                <w:rFonts w:hint="eastAsia" w:ascii="仿宋_GB2312" w:eastAsia="仿宋_GB2312"/>
                <w:sz w:val="24"/>
                <w:szCs w:val="24"/>
              </w:rPr>
              <w:t>实施区域：新安县、嵩县；</w:t>
            </w:r>
          </w:p>
          <w:p>
            <w:pPr>
              <w:rPr>
                <w:rFonts w:ascii="仿宋_GB2312" w:hAnsi="Times New Roman" w:eastAsia="仿宋_GB2312"/>
                <w:sz w:val="32"/>
                <w:szCs w:val="32"/>
              </w:rPr>
            </w:pPr>
            <w:r>
              <w:rPr>
                <w:rFonts w:hint="eastAsia" w:ascii="仿宋_GB2312" w:eastAsia="仿宋_GB2312"/>
                <w:sz w:val="24"/>
                <w:szCs w:val="24"/>
              </w:rPr>
              <w:t>具体措施：治理水土流失面积356.2km</w:t>
            </w:r>
            <w:r>
              <w:rPr>
                <w:rFonts w:eastAsia="仿宋_GB2312" w:cs="Calibri"/>
                <w:sz w:val="24"/>
                <w:szCs w:val="24"/>
              </w:rPr>
              <w:t>²</w:t>
            </w:r>
            <w:r>
              <w:rPr>
                <w:rFonts w:hint="eastAsia" w:ascii="仿宋_GB2312" w:hAnsi="仿宋_GB2312" w:eastAsia="仿宋_GB2312" w:cs="仿宋_GB2312"/>
                <w:sz w:val="24"/>
                <w:szCs w:val="24"/>
              </w:rPr>
              <w:t>，淤地坝</w:t>
            </w:r>
            <w:r>
              <w:rPr>
                <w:rFonts w:hint="eastAsia" w:ascii="仿宋_GB2312" w:eastAsia="仿宋_GB2312"/>
                <w:sz w:val="24"/>
                <w:szCs w:val="24"/>
              </w:rPr>
              <w:t>20座，坡改梯3379.8hm</w:t>
            </w:r>
            <w:r>
              <w:rPr>
                <w:rFonts w:eastAsia="仿宋_GB2312" w:cs="Calibri"/>
                <w:sz w:val="24"/>
                <w:szCs w:val="24"/>
              </w:rPr>
              <w:t>²</w:t>
            </w:r>
            <w:r>
              <w:rPr>
                <w:rFonts w:hint="eastAsia" w:ascii="仿宋_GB2312" w:hAnsi="仿宋_GB2312" w:eastAsia="仿宋_GB2312" w:cs="仿宋_GB2312"/>
                <w:sz w:val="24"/>
                <w:szCs w:val="24"/>
              </w:rPr>
              <w:t>，沟道滩岸防护</w:t>
            </w:r>
            <w:r>
              <w:rPr>
                <w:rFonts w:hint="eastAsia" w:ascii="仿宋_GB2312" w:eastAsia="仿宋_GB2312"/>
                <w:sz w:val="24"/>
                <w:szCs w:val="24"/>
              </w:rPr>
              <w:t>87.5km，支毛沟治理220处，小型拦蓄60处，林草130hm</w:t>
            </w:r>
            <w:r>
              <w:rPr>
                <w:rFonts w:eastAsia="仿宋_GB2312" w:cs="Calibri"/>
                <w:sz w:val="24"/>
                <w:szCs w:val="24"/>
              </w:rPr>
              <w:t>²</w:t>
            </w:r>
            <w:r>
              <w:rPr>
                <w:rFonts w:hint="eastAsia" w:ascii="仿宋_GB2312" w:hAnsi="仿宋_GB2312" w:eastAsia="仿宋_GB2312" w:cs="仿宋_GB2312"/>
                <w:sz w:val="24"/>
                <w:szCs w:val="24"/>
              </w:rPr>
              <w:t>，封禁治理等。</w:t>
            </w:r>
          </w:p>
        </w:tc>
        <w:tc>
          <w:tcPr>
            <w:tcW w:w="1056" w:type="dxa"/>
            <w:vAlign w:val="center"/>
          </w:tcPr>
          <w:p>
            <w:pPr>
              <w:jc w:val="center"/>
              <w:rPr>
                <w:rFonts w:ascii="仿宋_GB2312" w:hAnsi="Times New Roman" w:eastAsia="仿宋_GB2312"/>
                <w:sz w:val="32"/>
                <w:szCs w:val="32"/>
              </w:rPr>
            </w:pPr>
            <w:r>
              <w:rPr>
                <w:rFonts w:hint="eastAsia" w:ascii="仿宋_GB2312" w:eastAsia="仿宋_GB2312"/>
                <w:sz w:val="24"/>
                <w:szCs w:val="24"/>
              </w:rPr>
              <w:t>59220.9</w:t>
            </w:r>
          </w:p>
        </w:tc>
        <w:tc>
          <w:tcPr>
            <w:tcW w:w="1144" w:type="dxa"/>
            <w:vAlign w:val="center"/>
          </w:tcPr>
          <w:p>
            <w:pPr>
              <w:jc w:val="center"/>
              <w:rPr>
                <w:rFonts w:ascii="仿宋_GB2312" w:hAnsi="Times New Roman" w:eastAsia="仿宋_GB2312"/>
                <w:sz w:val="32"/>
                <w:szCs w:val="32"/>
              </w:rPr>
            </w:pPr>
            <w:r>
              <w:rPr>
                <w:rFonts w:hint="eastAsia" w:ascii="仿宋_GB2312" w:eastAsia="仿宋_GB2312"/>
                <w:sz w:val="24"/>
                <w:szCs w:val="24"/>
              </w:rPr>
              <w:t>2026—2029</w:t>
            </w:r>
          </w:p>
        </w:tc>
      </w:tr>
    </w:tbl>
    <w:p>
      <w:pPr>
        <w:spacing w:line="560" w:lineRule="exact"/>
        <w:ind w:firstLine="640" w:firstLineChars="200"/>
        <w:rPr>
          <w:rFonts w:ascii="Times New Roman" w:hAnsi="Times New Roman" w:eastAsia="仿宋_GB2312"/>
          <w:sz w:val="32"/>
          <w:szCs w:val="32"/>
        </w:rPr>
      </w:pPr>
    </w:p>
    <w:p>
      <w:pPr>
        <w:widowControl w:val="0"/>
        <w:spacing w:line="360" w:lineRule="auto"/>
        <w:jc w:val="center"/>
        <w:outlineLvl w:val="1"/>
        <w:rPr>
          <w:rFonts w:ascii="Times New Roman" w:hAnsi="Times New Roman" w:eastAsia="黑体"/>
          <w:bCs/>
          <w:sz w:val="32"/>
          <w:szCs w:val="32"/>
        </w:rPr>
      </w:pPr>
      <w:bookmarkStart w:id="73" w:name="_Toc240990652"/>
      <w:r>
        <w:rPr>
          <w:rFonts w:ascii="Times New Roman" w:hAnsi="Times New Roman" w:eastAsia="黑体"/>
          <w:bCs/>
          <w:sz w:val="32"/>
          <w:szCs w:val="32"/>
        </w:rPr>
        <w:t>第二节 伊洛河生态廊道修复工程</w:t>
      </w:r>
      <w:bookmarkEnd w:id="7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w:t>
      </w:r>
      <w:r>
        <w:rPr>
          <w:rFonts w:ascii="楷体" w:hAnsi="楷体" w:eastAsia="楷体"/>
          <w:bCs/>
          <w:sz w:val="32"/>
          <w:szCs w:val="32"/>
        </w:rPr>
        <w:t>生态空间生态保护和修复</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实施区域：</w:t>
      </w:r>
      <w:r>
        <w:rPr>
          <w:rFonts w:ascii="Times New Roman" w:hAnsi="Times New Roman" w:eastAsia="仿宋_GB2312"/>
          <w:sz w:val="32"/>
          <w:szCs w:val="32"/>
        </w:rPr>
        <w:t>本节工程覆盖伊河、洛河、北汝河沿线，涉及偃师区、伊川县、嵩县、栾川县、洛宁县、汝阳县区域内伊、洛、北汝河干支流纵横，滨水空间与城镇、农田交错，是洛阳人口最密集、人类活动最频繁的生态廊道，也是连接南部山地涵养区与黄河生态保护带的重要纽带。</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重点任务：</w:t>
      </w:r>
      <w:r>
        <w:rPr>
          <w:rFonts w:ascii="Times New Roman" w:hAnsi="Times New Roman" w:eastAsia="仿宋_GB2312"/>
          <w:sz w:val="32"/>
          <w:szCs w:val="32"/>
        </w:rPr>
        <w:t>针对部分河段岸线硬化、滨水生境退化、支流水土流失等问题，以恢复河流生态功能、改善生物栖息生境为核心，重点推进伊河、洛河、北汝河干支流水生态保护修复、河道清淤疏浚、生态岸坡防护、生态节点建设、支沟水土流失防治、生态缓冲带建设，推进伊河流域水环境综合治理。同步推进范店水库周边、嵩县大章德亭闫庄、栾川小河流域及石宝沟、偃</w:t>
      </w:r>
      <w:r>
        <w:rPr>
          <w:rFonts w:ascii="仿宋" w:hAnsi="仿宋" w:eastAsia="仿宋"/>
          <w:sz w:val="32"/>
          <w:szCs w:val="32"/>
        </w:rPr>
        <w:t>师</w:t>
      </w:r>
      <w:r>
        <w:rPr>
          <w:rFonts w:hint="eastAsia" w:ascii="仿宋" w:hAnsi="仿宋" w:eastAsia="仿宋" w:cs="微软雅黑"/>
          <w:sz w:val="32"/>
          <w:szCs w:val="32"/>
        </w:rPr>
        <w:t>柏峪</w:t>
      </w:r>
      <w:r>
        <w:rPr>
          <w:rFonts w:hint="eastAsia" w:ascii="仿宋" w:hAnsi="仿宋" w:eastAsia="仿宋" w:cs="___WRD_EMBED_SUB_1523"/>
          <w:sz w:val="32"/>
          <w:szCs w:val="32"/>
        </w:rPr>
        <w:t>等</w:t>
      </w:r>
      <w:r>
        <w:rPr>
          <w:rFonts w:hint="eastAsia" w:ascii="___WRD_EMBED_SUB_1523" w:hAnsi="___WRD_EMBED_SUB_1523" w:eastAsia="___WRD_EMBED_SUB_1523" w:cs="___WRD_EMBED_SUB_1523"/>
          <w:sz w:val="32"/>
          <w:szCs w:val="32"/>
        </w:rPr>
        <w:t>小流域综合治理提质增效。推进地质灾害治理</w:t>
      </w:r>
      <w:r>
        <w:rPr>
          <w:rFonts w:ascii="Times New Roman" w:hAnsi="Times New Roman" w:eastAsia="仿宋_GB2312"/>
          <w:sz w:val="32"/>
          <w:szCs w:val="32"/>
        </w:rPr>
        <w:t>。</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主要策略：</w:t>
      </w:r>
      <w:r>
        <w:rPr>
          <w:rFonts w:ascii="Times New Roman" w:hAnsi="Times New Roman" w:eastAsia="仿宋_GB2312"/>
          <w:sz w:val="32"/>
          <w:szCs w:val="32"/>
        </w:rPr>
        <w:t>以保护保育与自然恢复为基础，对伊洛河汇合处等关键节点实施生态改善与修复；对退化河段采取近自然修复，恢复河流蜿蜒性和岸线生态功能；对小流域以小流域为单元，实施坡改梯、沟道滩岸防护、小型拦蓄、林草措施和封禁治理。项目实施与水利、生态环境等部门资金渠道衔接，强化流域统筹和系统治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w:t>
      </w:r>
      <w:r>
        <w:rPr>
          <w:rFonts w:ascii="楷体" w:hAnsi="楷体" w:eastAsia="楷体"/>
          <w:bCs/>
          <w:sz w:val="32"/>
          <w:szCs w:val="32"/>
        </w:rPr>
        <w:t>工程部署</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部署水环境综合治理、水生态保护修复、小流域综合治理、地质灾害治理、湿地生态修复等项目。实施河道生态治理、生态绿化、小流域综合治理、湿地公园建设等工程。</w:t>
      </w:r>
    </w:p>
    <w:p>
      <w:pPr>
        <w:pStyle w:val="10"/>
        <w:ind w:left="0"/>
        <w:jc w:val="center"/>
        <w:rPr>
          <w:b/>
          <w:bCs/>
          <w:sz w:val="28"/>
          <w:szCs w:val="28"/>
        </w:rPr>
      </w:pPr>
      <w:r>
        <w:rPr>
          <w:b/>
          <w:bCs/>
          <w:sz w:val="28"/>
          <w:szCs w:val="28"/>
        </w:rPr>
        <w:t>专栏2 伊洛河生态廊道修复重点工程</w:t>
      </w:r>
    </w:p>
    <w:tbl>
      <w:tblPr>
        <w:tblStyle w:val="24"/>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123"/>
        <w:gridCol w:w="763"/>
        <w:gridCol w:w="3943"/>
        <w:gridCol w:w="1056"/>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hAnsi="Times New Roman" w:eastAsia="仿宋_GB2312"/>
                <w:sz w:val="24"/>
                <w:szCs w:val="24"/>
              </w:rPr>
            </w:pPr>
            <w:r>
              <w:rPr>
                <w:rFonts w:hint="eastAsia" w:ascii="仿宋_GB2312" w:eastAsia="仿宋_GB2312"/>
                <w:b/>
                <w:bCs/>
                <w:sz w:val="24"/>
                <w:szCs w:val="24"/>
              </w:rPr>
              <w:t>序号</w:t>
            </w:r>
          </w:p>
        </w:tc>
        <w:tc>
          <w:tcPr>
            <w:tcW w:w="1126" w:type="dxa"/>
            <w:vAlign w:val="center"/>
          </w:tcPr>
          <w:p>
            <w:pPr>
              <w:jc w:val="center"/>
              <w:rPr>
                <w:rFonts w:ascii="仿宋_GB2312" w:eastAsia="仿宋_GB2312"/>
                <w:b/>
                <w:bCs/>
                <w:sz w:val="24"/>
                <w:szCs w:val="24"/>
              </w:rPr>
            </w:pPr>
            <w:r>
              <w:rPr>
                <w:rFonts w:hint="eastAsia" w:ascii="仿宋_GB2312" w:eastAsia="仿宋_GB2312"/>
                <w:b/>
                <w:bCs/>
                <w:sz w:val="24"/>
                <w:szCs w:val="24"/>
              </w:rPr>
              <w:t>赋存</w:t>
            </w:r>
          </w:p>
          <w:p>
            <w:pPr>
              <w:jc w:val="center"/>
              <w:rPr>
                <w:rFonts w:ascii="仿宋_GB2312" w:hAnsi="Times New Roman" w:eastAsia="仿宋_GB2312"/>
                <w:sz w:val="24"/>
                <w:szCs w:val="24"/>
              </w:rPr>
            </w:pPr>
            <w:r>
              <w:rPr>
                <w:rFonts w:hint="eastAsia" w:ascii="仿宋_GB2312" w:eastAsia="仿宋_GB2312"/>
                <w:b/>
                <w:bCs/>
                <w:sz w:val="24"/>
                <w:szCs w:val="24"/>
              </w:rPr>
              <w:t>空间</w:t>
            </w:r>
          </w:p>
        </w:tc>
        <w:tc>
          <w:tcPr>
            <w:tcW w:w="765"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修复对象</w:t>
            </w:r>
          </w:p>
        </w:tc>
        <w:tc>
          <w:tcPr>
            <w:tcW w:w="3962"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建设内容</w:t>
            </w:r>
          </w:p>
        </w:tc>
        <w:tc>
          <w:tcPr>
            <w:tcW w:w="1056" w:type="dxa"/>
            <w:vAlign w:val="center"/>
          </w:tcPr>
          <w:p>
            <w:pPr>
              <w:jc w:val="center"/>
              <w:rPr>
                <w:rFonts w:ascii="仿宋_GB2312" w:eastAsia="仿宋_GB2312"/>
                <w:b/>
                <w:bCs/>
                <w:sz w:val="24"/>
                <w:szCs w:val="24"/>
              </w:rPr>
            </w:pPr>
            <w:r>
              <w:rPr>
                <w:rFonts w:hint="eastAsia" w:ascii="仿宋_GB2312" w:eastAsia="仿宋_GB2312"/>
                <w:b/>
                <w:bCs/>
                <w:sz w:val="24"/>
                <w:szCs w:val="24"/>
              </w:rPr>
              <w:t>投资</w:t>
            </w:r>
          </w:p>
          <w:p>
            <w:pPr>
              <w:ind w:left="-82" w:leftChars="-39" w:right="-69" w:rightChars="-33"/>
              <w:jc w:val="center"/>
              <w:rPr>
                <w:rFonts w:ascii="仿宋_GB2312" w:hAnsi="Times New Roman" w:eastAsia="仿宋_GB2312"/>
                <w:sz w:val="24"/>
                <w:szCs w:val="24"/>
              </w:rPr>
            </w:pPr>
            <w:r>
              <w:rPr>
                <w:rFonts w:hint="eastAsia" w:ascii="仿宋_GB2312" w:eastAsia="仿宋_GB2312"/>
                <w:b/>
                <w:bCs/>
                <w:sz w:val="24"/>
                <w:szCs w:val="24"/>
              </w:rPr>
              <w:t>（万元）</w:t>
            </w:r>
          </w:p>
        </w:tc>
        <w:tc>
          <w:tcPr>
            <w:tcW w:w="1392" w:type="dxa"/>
            <w:vAlign w:val="center"/>
          </w:tcPr>
          <w:p>
            <w:pPr>
              <w:ind w:left="-141" w:leftChars="-67" w:right="-55" w:rightChars="-26"/>
              <w:jc w:val="center"/>
              <w:rPr>
                <w:rFonts w:ascii="仿宋_GB2312" w:eastAsia="仿宋_GB2312"/>
                <w:b/>
                <w:bCs/>
                <w:sz w:val="24"/>
                <w:szCs w:val="24"/>
              </w:rPr>
            </w:pPr>
            <w:r>
              <w:rPr>
                <w:rFonts w:hint="eastAsia" w:ascii="仿宋_GB2312" w:eastAsia="仿宋_GB2312"/>
                <w:b/>
                <w:bCs/>
                <w:sz w:val="24"/>
                <w:szCs w:val="24"/>
              </w:rPr>
              <w:t>时间安排</w:t>
            </w:r>
          </w:p>
          <w:p>
            <w:pPr>
              <w:jc w:val="center"/>
              <w:rPr>
                <w:rFonts w:ascii="仿宋_GB2312" w:hAnsi="Times New Roman" w:eastAsia="仿宋_GB2312"/>
                <w:sz w:val="24"/>
                <w:szCs w:val="24"/>
              </w:rPr>
            </w:pPr>
            <w:r>
              <w:rPr>
                <w:rFonts w:hint="eastAsia" w:ascii="仿宋_GB2312" w:eastAsia="仿宋_GB2312"/>
                <w:b/>
                <w:bCs/>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0" w:type="auto"/>
            <w:vAlign w:val="center"/>
          </w:tcPr>
          <w:p>
            <w:pPr>
              <w:jc w:val="center"/>
              <w:rPr>
                <w:rFonts w:ascii="仿宋_GB2312" w:eastAsia="仿宋_GB2312"/>
                <w:b/>
                <w:bCs/>
                <w:sz w:val="24"/>
                <w:szCs w:val="24"/>
              </w:rPr>
            </w:pPr>
            <w:r>
              <w:rPr>
                <w:rFonts w:hint="eastAsia" w:ascii="仿宋_GB2312" w:eastAsia="仿宋_GB2312"/>
                <w:sz w:val="24"/>
                <w:szCs w:val="24"/>
              </w:rPr>
              <w:t>1</w:t>
            </w:r>
          </w:p>
        </w:tc>
        <w:tc>
          <w:tcPr>
            <w:tcW w:w="1126" w:type="dxa"/>
            <w:vAlign w:val="center"/>
          </w:tcPr>
          <w:p>
            <w:pPr>
              <w:jc w:val="center"/>
              <w:rPr>
                <w:rFonts w:ascii="仿宋_GB2312" w:eastAsia="仿宋_GB2312"/>
                <w:b/>
                <w:bCs/>
                <w:sz w:val="24"/>
                <w:szCs w:val="24"/>
              </w:rPr>
            </w:pPr>
            <w:r>
              <w:rPr>
                <w:rFonts w:ascii="仿宋_GB2312" w:eastAsia="仿宋_GB2312"/>
                <w:sz w:val="24"/>
                <w:szCs w:val="24"/>
              </w:rPr>
              <w:t>四廊（伊河）</w:t>
            </w:r>
          </w:p>
        </w:tc>
        <w:tc>
          <w:tcPr>
            <w:tcW w:w="765" w:type="dxa"/>
            <w:vAlign w:val="center"/>
          </w:tcPr>
          <w:p>
            <w:pPr>
              <w:jc w:val="center"/>
              <w:rPr>
                <w:rFonts w:ascii="仿宋_GB2312" w:eastAsia="仿宋_GB2312"/>
                <w:b/>
                <w:bCs/>
                <w:sz w:val="24"/>
                <w:szCs w:val="24"/>
              </w:rPr>
            </w:pPr>
            <w:r>
              <w:rPr>
                <w:rFonts w:hint="eastAsia" w:ascii="仿宋_GB2312" w:eastAsia="仿宋_GB2312"/>
                <w:sz w:val="24"/>
                <w:szCs w:val="24"/>
              </w:rPr>
              <w:t>水环境</w:t>
            </w:r>
          </w:p>
        </w:tc>
        <w:tc>
          <w:tcPr>
            <w:tcW w:w="396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项目名称：栾川县伊河流域水环境综合治理与绿色生态产业融合发展项目；</w:t>
            </w:r>
          </w:p>
          <w:p>
            <w:pPr>
              <w:pStyle w:val="10"/>
              <w:ind w:left="0"/>
              <w:jc w:val="both"/>
              <w:rPr>
                <w:rFonts w:ascii="仿宋_GB2312" w:eastAsia="仿宋_GB2312"/>
                <w:sz w:val="24"/>
                <w:szCs w:val="24"/>
              </w:rPr>
            </w:pPr>
            <w:r>
              <w:rPr>
                <w:rFonts w:hint="eastAsia" w:ascii="仿宋_GB2312" w:eastAsia="仿宋_GB2312"/>
                <w:sz w:val="24"/>
                <w:szCs w:val="24"/>
              </w:rPr>
              <w:t>实施区域：栾川县；</w:t>
            </w:r>
          </w:p>
          <w:p>
            <w:pPr>
              <w:rPr>
                <w:rFonts w:ascii="仿宋_GB2312" w:hAnsi="Times New Roman" w:eastAsia="仿宋_GB2312"/>
                <w:kern w:val="0"/>
                <w:sz w:val="24"/>
                <w:szCs w:val="24"/>
              </w:rPr>
            </w:pPr>
            <w:r>
              <w:rPr>
                <w:rFonts w:hint="eastAsia" w:ascii="仿宋_GB2312" w:hAnsi="Times New Roman" w:eastAsia="仿宋_GB2312"/>
                <w:kern w:val="0"/>
                <w:sz w:val="24"/>
                <w:szCs w:val="24"/>
              </w:rPr>
              <w:t>具体措施：对伊河流域栾川段进行综合治理，配套发展绿色生态产业。每年去除水环境中常规污染物化学需氧量1975.29吨、氨氮118.83吨、总磷176.54吨。</w:t>
            </w:r>
          </w:p>
        </w:tc>
        <w:tc>
          <w:tcPr>
            <w:tcW w:w="1056" w:type="dxa"/>
            <w:vAlign w:val="center"/>
          </w:tcPr>
          <w:p>
            <w:pPr>
              <w:jc w:val="center"/>
              <w:rPr>
                <w:rFonts w:ascii="仿宋_GB2312" w:eastAsia="仿宋_GB2312"/>
                <w:b/>
                <w:bCs/>
                <w:sz w:val="24"/>
                <w:szCs w:val="24"/>
              </w:rPr>
            </w:pPr>
            <w:r>
              <w:rPr>
                <w:rFonts w:hint="eastAsia" w:ascii="仿宋_GB2312" w:eastAsia="仿宋_GB2312"/>
                <w:sz w:val="24"/>
                <w:szCs w:val="24"/>
              </w:rPr>
              <w:t>143200</w:t>
            </w:r>
          </w:p>
        </w:tc>
        <w:tc>
          <w:tcPr>
            <w:tcW w:w="1392" w:type="dxa"/>
            <w:vAlign w:val="center"/>
          </w:tcPr>
          <w:p>
            <w:pPr>
              <w:ind w:left="-141" w:leftChars="-67" w:right="-55" w:rightChars="-26"/>
              <w:jc w:val="center"/>
              <w:rPr>
                <w:rFonts w:ascii="仿宋_GB2312" w:eastAsia="仿宋_GB2312"/>
                <w:b/>
                <w:bCs/>
                <w:sz w:val="24"/>
                <w:szCs w:val="24"/>
              </w:rPr>
            </w:pPr>
            <w:r>
              <w:rPr>
                <w:rFonts w:hint="eastAsia" w:ascii="仿宋_GB2312" w:eastAsia="仿宋_GB2312"/>
                <w:sz w:val="24"/>
                <w:szCs w:val="24"/>
              </w:rPr>
              <w:t>2027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2</w:t>
            </w:r>
          </w:p>
        </w:tc>
        <w:tc>
          <w:tcPr>
            <w:tcW w:w="1126" w:type="dxa"/>
            <w:vAlign w:val="center"/>
          </w:tcPr>
          <w:p>
            <w:pPr>
              <w:jc w:val="center"/>
              <w:rPr>
                <w:rFonts w:ascii="仿宋_GB2312" w:hAnsi="Times New Roman" w:eastAsia="仿宋_GB2312"/>
                <w:sz w:val="24"/>
                <w:szCs w:val="24"/>
              </w:rPr>
            </w:pPr>
            <w:r>
              <w:rPr>
                <w:rFonts w:ascii="仿宋_GB2312" w:eastAsia="仿宋_GB2312"/>
                <w:sz w:val="24"/>
                <w:szCs w:val="24"/>
              </w:rPr>
              <w:t>四区（南部山地涵养区）</w:t>
            </w:r>
          </w:p>
        </w:tc>
        <w:tc>
          <w:tcPr>
            <w:tcW w:w="765" w:type="dxa"/>
            <w:vAlign w:val="center"/>
          </w:tcPr>
          <w:p>
            <w:pPr>
              <w:jc w:val="center"/>
              <w:rPr>
                <w:rFonts w:ascii="仿宋_GB2312" w:hAnsi="Times New Roman" w:eastAsia="仿宋_GB2312"/>
                <w:sz w:val="24"/>
                <w:szCs w:val="24"/>
              </w:rPr>
            </w:pPr>
            <w:r>
              <w:rPr>
                <w:rFonts w:hint="eastAsia" w:ascii="仿宋_GB2312" w:eastAsia="仿宋_GB2312"/>
                <w:sz w:val="24"/>
                <w:szCs w:val="24"/>
              </w:rPr>
              <w:t>河流</w:t>
            </w:r>
          </w:p>
        </w:tc>
        <w:tc>
          <w:tcPr>
            <w:tcW w:w="396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项目名称：老灌河源头段干支流水生态保护修复工程；</w:t>
            </w:r>
          </w:p>
          <w:p>
            <w:pPr>
              <w:pStyle w:val="10"/>
              <w:ind w:left="0"/>
              <w:jc w:val="both"/>
              <w:rPr>
                <w:rFonts w:ascii="仿宋_GB2312" w:eastAsia="仿宋_GB2312"/>
                <w:sz w:val="24"/>
                <w:szCs w:val="24"/>
              </w:rPr>
            </w:pPr>
            <w:r>
              <w:rPr>
                <w:rFonts w:hint="eastAsia" w:ascii="仿宋_GB2312" w:eastAsia="仿宋_GB2312"/>
                <w:sz w:val="24"/>
                <w:szCs w:val="24"/>
              </w:rPr>
              <w:t>实施区域：栾川县；</w:t>
            </w:r>
          </w:p>
          <w:p>
            <w:pPr>
              <w:rPr>
                <w:rFonts w:ascii="仿宋_GB2312" w:hAnsi="Times New Roman" w:eastAsia="仿宋_GB2312"/>
                <w:sz w:val="24"/>
                <w:szCs w:val="24"/>
              </w:rPr>
            </w:pPr>
            <w:r>
              <w:rPr>
                <w:rFonts w:hint="eastAsia" w:ascii="仿宋_GB2312" w:eastAsia="仿宋_GB2312"/>
                <w:sz w:val="24"/>
                <w:szCs w:val="24"/>
              </w:rPr>
              <w:t>具体措施：河道清淤疏浚、生态岸坡防护、生态节点建设、支沟水土流失防治、生态缓冲带建设，实现河流水环境治理70.92hm</w:t>
            </w:r>
            <w:r>
              <w:rPr>
                <w:rFonts w:eastAsia="仿宋_GB2312" w:cs="Calibri"/>
                <w:sz w:val="24"/>
                <w:szCs w:val="24"/>
              </w:rPr>
              <w:t>²</w:t>
            </w:r>
            <w:r>
              <w:rPr>
                <w:rFonts w:hint="eastAsia" w:ascii="仿宋_GB2312" w:hAnsi="仿宋_GB2312" w:eastAsia="仿宋_GB2312" w:cs="仿宋_GB2312"/>
                <w:sz w:val="24"/>
                <w:szCs w:val="24"/>
              </w:rPr>
              <w:t>，河道修复长度</w:t>
            </w:r>
            <w:r>
              <w:rPr>
                <w:rFonts w:hint="eastAsia" w:ascii="仿宋_GB2312" w:eastAsia="仿宋_GB2312"/>
                <w:sz w:val="24"/>
                <w:szCs w:val="24"/>
              </w:rPr>
              <w:t>29.75km。</w:t>
            </w:r>
          </w:p>
        </w:tc>
        <w:tc>
          <w:tcPr>
            <w:tcW w:w="1056" w:type="dxa"/>
            <w:vAlign w:val="center"/>
          </w:tcPr>
          <w:p>
            <w:pPr>
              <w:jc w:val="center"/>
              <w:rPr>
                <w:rFonts w:ascii="仿宋_GB2312" w:hAnsi="Times New Roman" w:eastAsia="仿宋_GB2312"/>
                <w:sz w:val="24"/>
                <w:szCs w:val="24"/>
              </w:rPr>
            </w:pPr>
            <w:r>
              <w:rPr>
                <w:rFonts w:hint="eastAsia" w:ascii="仿宋_GB2312" w:eastAsia="仿宋_GB2312"/>
                <w:sz w:val="24"/>
                <w:szCs w:val="24"/>
              </w:rPr>
              <w:t>2844</w:t>
            </w:r>
          </w:p>
        </w:tc>
        <w:tc>
          <w:tcPr>
            <w:tcW w:w="1392" w:type="dxa"/>
            <w:vAlign w:val="center"/>
          </w:tcPr>
          <w:p>
            <w:pPr>
              <w:jc w:val="center"/>
              <w:rPr>
                <w:rFonts w:ascii="仿宋_GB2312" w:hAnsi="Times New Roman" w:eastAsia="仿宋_GB2312"/>
                <w:sz w:val="24"/>
                <w:szCs w:val="24"/>
              </w:rPr>
            </w:pPr>
            <w:r>
              <w:rPr>
                <w:rFonts w:hint="eastAsia" w:ascii="仿宋_GB2312" w:eastAsia="仿宋_GB2312"/>
                <w:sz w:val="24"/>
                <w:szCs w:val="24"/>
              </w:rPr>
              <w:t>2026—2029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3</w:t>
            </w:r>
          </w:p>
        </w:tc>
        <w:tc>
          <w:tcPr>
            <w:tcW w:w="1126" w:type="dxa"/>
            <w:vAlign w:val="center"/>
          </w:tcPr>
          <w:p>
            <w:pPr>
              <w:jc w:val="center"/>
              <w:rPr>
                <w:rFonts w:ascii="仿宋_GB2312" w:eastAsia="仿宋_GB2312"/>
                <w:sz w:val="24"/>
                <w:szCs w:val="24"/>
              </w:rPr>
            </w:pPr>
            <w:r>
              <w:rPr>
                <w:rFonts w:ascii="仿宋_GB2312" w:eastAsia="仿宋_GB2312"/>
                <w:sz w:val="24"/>
                <w:szCs w:val="24"/>
              </w:rPr>
              <w:t>四区（南部山地涵养区</w:t>
            </w:r>
            <w:r>
              <w:rPr>
                <w:rFonts w:hint="eastAsia" w:ascii="仿宋_GB2312" w:eastAsia="仿宋_GB2312"/>
                <w:sz w:val="24"/>
                <w:szCs w:val="24"/>
              </w:rPr>
              <w:t>、</w:t>
            </w:r>
            <w:r>
              <w:rPr>
                <w:rFonts w:ascii="仿宋_GB2312" w:eastAsia="仿宋_GB2312"/>
                <w:sz w:val="24"/>
                <w:szCs w:val="24"/>
              </w:rPr>
              <w:t>黄土丘陵浅山区）</w:t>
            </w:r>
          </w:p>
        </w:tc>
        <w:tc>
          <w:tcPr>
            <w:tcW w:w="765" w:type="dxa"/>
            <w:vAlign w:val="center"/>
          </w:tcPr>
          <w:p>
            <w:pPr>
              <w:jc w:val="center"/>
              <w:rPr>
                <w:rFonts w:ascii="仿宋_GB2312" w:eastAsia="仿宋_GB2312"/>
                <w:sz w:val="24"/>
                <w:szCs w:val="24"/>
              </w:rPr>
            </w:pPr>
            <w:r>
              <w:rPr>
                <w:rFonts w:hint="eastAsia" w:ascii="仿宋_GB2312" w:eastAsia="仿宋_GB2312"/>
                <w:sz w:val="24"/>
                <w:szCs w:val="24"/>
              </w:rPr>
              <w:t>水土流失</w:t>
            </w:r>
          </w:p>
        </w:tc>
        <w:tc>
          <w:tcPr>
            <w:tcW w:w="396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项目名称：小流域综合治理提质增效项目；</w:t>
            </w:r>
          </w:p>
          <w:p>
            <w:pPr>
              <w:pStyle w:val="10"/>
              <w:ind w:left="0"/>
              <w:jc w:val="both"/>
              <w:rPr>
                <w:rFonts w:ascii="仿宋_GB2312" w:eastAsia="仿宋_GB2312"/>
                <w:sz w:val="24"/>
                <w:szCs w:val="24"/>
              </w:rPr>
            </w:pPr>
            <w:r>
              <w:rPr>
                <w:rFonts w:hint="eastAsia" w:ascii="仿宋_GB2312" w:eastAsia="仿宋_GB2312"/>
                <w:sz w:val="24"/>
                <w:szCs w:val="24"/>
              </w:rPr>
              <w:t>实施区域：嵩县大章镇、德亭镇、闫庄镇；栾川县石庙镇、秋扒乡、狮子庙镇、白土镇；偃师区府店镇；</w:t>
            </w:r>
          </w:p>
          <w:p>
            <w:pPr>
              <w:pStyle w:val="10"/>
              <w:ind w:left="0"/>
              <w:jc w:val="both"/>
              <w:rPr>
                <w:rFonts w:ascii="仿宋_GB2312" w:eastAsia="仿宋_GB2312"/>
                <w:sz w:val="24"/>
                <w:szCs w:val="24"/>
              </w:rPr>
            </w:pPr>
            <w:r>
              <w:rPr>
                <w:rFonts w:hint="eastAsia" w:ascii="仿宋_GB2312" w:eastAsia="仿宋_GB2312"/>
                <w:sz w:val="24"/>
                <w:szCs w:val="24"/>
              </w:rPr>
              <w:t>具体措施：修筑土坎梯田、石坎梯田、老旧梯田改造，配套生产道路、排水沟、蓄水池、沉沙池、滚水坝、护地堤，栽植水保林、经济林，实施封禁治理等。</w:t>
            </w:r>
          </w:p>
        </w:tc>
        <w:tc>
          <w:tcPr>
            <w:tcW w:w="1056" w:type="dxa"/>
            <w:vAlign w:val="center"/>
          </w:tcPr>
          <w:p>
            <w:pPr>
              <w:jc w:val="center"/>
              <w:rPr>
                <w:rFonts w:ascii="仿宋_GB2312" w:eastAsia="仿宋_GB2312"/>
                <w:sz w:val="24"/>
                <w:szCs w:val="24"/>
              </w:rPr>
            </w:pPr>
            <w:r>
              <w:rPr>
                <w:rFonts w:hint="eastAsia" w:ascii="仿宋_GB2312" w:eastAsia="仿宋_GB2312"/>
                <w:sz w:val="24"/>
                <w:szCs w:val="24"/>
              </w:rPr>
              <w:t>3616.56</w:t>
            </w:r>
          </w:p>
        </w:tc>
        <w:tc>
          <w:tcPr>
            <w:tcW w:w="1392" w:type="dxa"/>
            <w:vAlign w:val="center"/>
          </w:tcPr>
          <w:p>
            <w:pPr>
              <w:jc w:val="center"/>
              <w:rPr>
                <w:rFonts w:ascii="仿宋_GB2312" w:eastAsia="仿宋_GB2312"/>
                <w:sz w:val="24"/>
                <w:szCs w:val="24"/>
              </w:rPr>
            </w:pPr>
            <w:r>
              <w:rPr>
                <w:rFonts w:hint="eastAsia" w:ascii="仿宋_GB2312" w:eastAsia="仿宋_GB2312"/>
                <w:sz w:val="24"/>
                <w:szCs w:val="24"/>
              </w:rPr>
              <w:t>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4</w:t>
            </w:r>
          </w:p>
        </w:tc>
        <w:tc>
          <w:tcPr>
            <w:tcW w:w="1126" w:type="dxa"/>
            <w:vAlign w:val="center"/>
          </w:tcPr>
          <w:p>
            <w:pPr>
              <w:jc w:val="center"/>
              <w:rPr>
                <w:rFonts w:ascii="仿宋_GB2312" w:eastAsia="仿宋_GB2312"/>
                <w:sz w:val="24"/>
                <w:szCs w:val="24"/>
              </w:rPr>
            </w:pPr>
            <w:r>
              <w:rPr>
                <w:rFonts w:ascii="仿宋_GB2312" w:eastAsia="仿宋_GB2312"/>
                <w:sz w:val="24"/>
                <w:szCs w:val="24"/>
              </w:rPr>
              <w:t>四区（黄土丘陵浅山区）</w:t>
            </w:r>
          </w:p>
        </w:tc>
        <w:tc>
          <w:tcPr>
            <w:tcW w:w="765" w:type="dxa"/>
            <w:vAlign w:val="center"/>
          </w:tcPr>
          <w:p>
            <w:pPr>
              <w:jc w:val="center"/>
              <w:rPr>
                <w:rFonts w:ascii="仿宋_GB2312" w:eastAsia="仿宋_GB2312"/>
                <w:sz w:val="24"/>
                <w:szCs w:val="24"/>
              </w:rPr>
            </w:pPr>
            <w:r>
              <w:rPr>
                <w:rFonts w:hint="eastAsia" w:ascii="仿宋_GB2312" w:eastAsia="仿宋_GB2312"/>
                <w:sz w:val="24"/>
                <w:szCs w:val="24"/>
              </w:rPr>
              <w:t>水土流失</w:t>
            </w:r>
          </w:p>
        </w:tc>
        <w:tc>
          <w:tcPr>
            <w:tcW w:w="396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项目名称：范店水库周边区域水土流失治理项目；</w:t>
            </w:r>
          </w:p>
          <w:p>
            <w:pPr>
              <w:pStyle w:val="10"/>
              <w:ind w:left="0"/>
              <w:jc w:val="both"/>
              <w:rPr>
                <w:rFonts w:ascii="仿宋_GB2312" w:eastAsia="仿宋_GB2312"/>
                <w:sz w:val="24"/>
                <w:szCs w:val="24"/>
              </w:rPr>
            </w:pPr>
            <w:r>
              <w:rPr>
                <w:rFonts w:hint="eastAsia" w:ascii="仿宋_GB2312" w:eastAsia="仿宋_GB2312"/>
                <w:sz w:val="24"/>
                <w:szCs w:val="24"/>
              </w:rPr>
              <w:t>实施区域：伊川县；</w:t>
            </w:r>
          </w:p>
          <w:p>
            <w:pPr>
              <w:pStyle w:val="10"/>
              <w:ind w:left="0"/>
              <w:jc w:val="both"/>
              <w:rPr>
                <w:rFonts w:ascii="仿宋_GB2312" w:eastAsia="仿宋_GB2312"/>
                <w:sz w:val="24"/>
                <w:szCs w:val="24"/>
              </w:rPr>
            </w:pPr>
            <w:r>
              <w:rPr>
                <w:rFonts w:hint="eastAsia" w:ascii="仿宋_GB2312" w:eastAsia="仿宋_GB2312"/>
                <w:sz w:val="24"/>
                <w:szCs w:val="24"/>
              </w:rPr>
              <w:t>具体措施：治理水土流失面积55km</w:t>
            </w:r>
            <w:r>
              <w:rPr>
                <w:rFonts w:ascii="仿宋_GB2312" w:eastAsia="仿宋_GB2312"/>
                <w:sz w:val="24"/>
                <w:szCs w:val="24"/>
              </w:rPr>
              <w:t>²</w:t>
            </w:r>
            <w:r>
              <w:rPr>
                <w:rFonts w:hint="eastAsia" w:ascii="仿宋_GB2312" w:eastAsia="仿宋_GB2312"/>
                <w:sz w:val="24"/>
                <w:szCs w:val="24"/>
              </w:rPr>
              <w:t>，淤地坝10座，坡改梯900hm</w:t>
            </w:r>
            <w:r>
              <w:rPr>
                <w:rFonts w:ascii="仿宋_GB2312" w:eastAsia="仿宋_GB2312"/>
                <w:sz w:val="24"/>
                <w:szCs w:val="24"/>
              </w:rPr>
              <w:t>²</w:t>
            </w:r>
            <w:r>
              <w:rPr>
                <w:rFonts w:hint="eastAsia" w:ascii="仿宋_GB2312" w:eastAsia="仿宋_GB2312"/>
                <w:sz w:val="24"/>
                <w:szCs w:val="24"/>
              </w:rPr>
              <w:t>，沟道滩岸防护30km，支毛沟治理20处，小型拦蓄25处，林草200hm</w:t>
            </w:r>
            <w:r>
              <w:rPr>
                <w:rFonts w:ascii="仿宋_GB2312" w:eastAsia="仿宋_GB2312"/>
                <w:sz w:val="24"/>
                <w:szCs w:val="24"/>
              </w:rPr>
              <w:t>²</w:t>
            </w:r>
            <w:r>
              <w:rPr>
                <w:rFonts w:hint="eastAsia" w:ascii="仿宋_GB2312" w:eastAsia="仿宋_GB2312"/>
                <w:sz w:val="24"/>
                <w:szCs w:val="24"/>
              </w:rPr>
              <w:t>，封禁治理等。</w:t>
            </w:r>
          </w:p>
        </w:tc>
        <w:tc>
          <w:tcPr>
            <w:tcW w:w="1056" w:type="dxa"/>
            <w:vAlign w:val="center"/>
          </w:tcPr>
          <w:p>
            <w:pPr>
              <w:jc w:val="center"/>
              <w:rPr>
                <w:rFonts w:ascii="仿宋_GB2312" w:eastAsia="仿宋_GB2312"/>
                <w:sz w:val="24"/>
                <w:szCs w:val="24"/>
              </w:rPr>
            </w:pPr>
            <w:r>
              <w:rPr>
                <w:rFonts w:hint="eastAsia" w:ascii="仿宋_GB2312" w:eastAsia="仿宋_GB2312"/>
                <w:sz w:val="24"/>
                <w:szCs w:val="24"/>
              </w:rPr>
              <w:t>32890</w:t>
            </w:r>
          </w:p>
        </w:tc>
        <w:tc>
          <w:tcPr>
            <w:tcW w:w="1392" w:type="dxa"/>
            <w:vAlign w:val="center"/>
          </w:tcPr>
          <w:p>
            <w:pPr>
              <w:jc w:val="center"/>
              <w:rPr>
                <w:rFonts w:ascii="仿宋_GB2312" w:eastAsia="仿宋_GB2312"/>
                <w:sz w:val="24"/>
                <w:szCs w:val="24"/>
              </w:rPr>
            </w:pPr>
            <w:r>
              <w:rPr>
                <w:rFonts w:hint="eastAsia" w:ascii="仿宋_GB2312" w:eastAsia="仿宋_GB2312"/>
                <w:sz w:val="24"/>
                <w:szCs w:val="24"/>
              </w:rPr>
              <w:t>2026—2028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5</w:t>
            </w:r>
          </w:p>
        </w:tc>
        <w:tc>
          <w:tcPr>
            <w:tcW w:w="1126" w:type="dxa"/>
            <w:vAlign w:val="center"/>
          </w:tcPr>
          <w:p>
            <w:pPr>
              <w:jc w:val="center"/>
              <w:rPr>
                <w:rFonts w:ascii="仿宋_GB2312" w:hAnsi="Times New Roman" w:eastAsia="仿宋_GB2312"/>
                <w:sz w:val="24"/>
                <w:szCs w:val="24"/>
              </w:rPr>
            </w:pPr>
            <w:r>
              <w:rPr>
                <w:rFonts w:ascii="仿宋_GB2312" w:eastAsia="仿宋_GB2312"/>
                <w:sz w:val="24"/>
                <w:szCs w:val="24"/>
              </w:rPr>
              <w:t>四区（黄土丘陵浅山区）</w:t>
            </w:r>
          </w:p>
        </w:tc>
        <w:tc>
          <w:tcPr>
            <w:tcW w:w="765" w:type="dxa"/>
            <w:vAlign w:val="center"/>
          </w:tcPr>
          <w:p>
            <w:pPr>
              <w:jc w:val="center"/>
              <w:rPr>
                <w:rFonts w:ascii="仿宋_GB2312" w:hAnsi="Times New Roman" w:eastAsia="仿宋_GB2312"/>
                <w:sz w:val="24"/>
                <w:szCs w:val="24"/>
              </w:rPr>
            </w:pPr>
            <w:r>
              <w:rPr>
                <w:rFonts w:hint="eastAsia" w:ascii="仿宋_GB2312" w:eastAsia="仿宋_GB2312"/>
                <w:sz w:val="24"/>
                <w:szCs w:val="24"/>
              </w:rPr>
              <w:t>地质灾害</w:t>
            </w:r>
          </w:p>
        </w:tc>
        <w:tc>
          <w:tcPr>
            <w:tcW w:w="396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项目名称：地质灾害治理工程；</w:t>
            </w:r>
          </w:p>
          <w:p>
            <w:pPr>
              <w:pStyle w:val="10"/>
              <w:ind w:left="0"/>
              <w:jc w:val="both"/>
              <w:rPr>
                <w:rFonts w:ascii="仿宋_GB2312" w:eastAsia="仿宋_GB2312"/>
                <w:sz w:val="24"/>
                <w:szCs w:val="24"/>
              </w:rPr>
            </w:pPr>
            <w:r>
              <w:rPr>
                <w:rFonts w:hint="eastAsia" w:ascii="仿宋_GB2312" w:eastAsia="仿宋_GB2312"/>
                <w:sz w:val="24"/>
                <w:szCs w:val="24"/>
              </w:rPr>
              <w:t>实施区域：嵩县何村乡、旧县镇、大章镇、陆浑镇、田湖镇；偃师区山化镇；</w:t>
            </w:r>
          </w:p>
          <w:p>
            <w:pPr>
              <w:rPr>
                <w:rFonts w:ascii="仿宋_GB2312" w:hAnsi="Times New Roman" w:eastAsia="仿宋_GB2312"/>
                <w:sz w:val="24"/>
                <w:szCs w:val="24"/>
              </w:rPr>
            </w:pPr>
            <w:r>
              <w:rPr>
                <w:rFonts w:hint="eastAsia" w:ascii="仿宋_GB2312" w:eastAsia="仿宋_GB2312"/>
                <w:sz w:val="24"/>
                <w:szCs w:val="24"/>
              </w:rPr>
              <w:t>具体措施：对滑坡、崩塌等地质灾害隐患点实施工程治理，消除地质灾害隐患，保障人民群众生命财产安全。</w:t>
            </w:r>
          </w:p>
        </w:tc>
        <w:tc>
          <w:tcPr>
            <w:tcW w:w="1056" w:type="dxa"/>
            <w:vAlign w:val="center"/>
          </w:tcPr>
          <w:p>
            <w:pPr>
              <w:jc w:val="center"/>
              <w:rPr>
                <w:rFonts w:ascii="仿宋_GB2312" w:hAnsi="Times New Roman" w:eastAsia="仿宋_GB2312"/>
                <w:sz w:val="24"/>
                <w:szCs w:val="24"/>
              </w:rPr>
            </w:pPr>
            <w:r>
              <w:rPr>
                <w:rFonts w:hint="eastAsia" w:ascii="仿宋_GB2312" w:eastAsia="仿宋_GB2312"/>
                <w:sz w:val="24"/>
                <w:szCs w:val="24"/>
              </w:rPr>
              <w:t>3600</w:t>
            </w:r>
          </w:p>
        </w:tc>
        <w:tc>
          <w:tcPr>
            <w:tcW w:w="1392" w:type="dxa"/>
            <w:vAlign w:val="center"/>
          </w:tcPr>
          <w:p>
            <w:pPr>
              <w:jc w:val="center"/>
              <w:rPr>
                <w:rFonts w:ascii="仿宋_GB2312" w:hAnsi="Times New Roman" w:eastAsia="仿宋_GB2312"/>
                <w:sz w:val="24"/>
                <w:szCs w:val="24"/>
              </w:rPr>
            </w:pPr>
            <w:r>
              <w:rPr>
                <w:rFonts w:hint="eastAsia" w:ascii="仿宋_GB2312" w:eastAsia="仿宋_GB2312"/>
                <w:sz w:val="24"/>
                <w:szCs w:val="24"/>
              </w:rPr>
              <w:t>2026—2029</w:t>
            </w:r>
          </w:p>
        </w:tc>
      </w:tr>
    </w:tbl>
    <w:p>
      <w:pPr>
        <w:pStyle w:val="10"/>
        <w:ind w:left="2520"/>
        <w:jc w:val="center"/>
        <w:rPr>
          <w:b/>
          <w:bCs/>
          <w:sz w:val="28"/>
          <w:szCs w:val="28"/>
        </w:rPr>
      </w:pPr>
    </w:p>
    <w:p>
      <w:pPr>
        <w:widowControl w:val="0"/>
        <w:spacing w:line="360" w:lineRule="auto"/>
        <w:jc w:val="center"/>
        <w:outlineLvl w:val="1"/>
        <w:rPr>
          <w:rFonts w:ascii="Times New Roman" w:hAnsi="Times New Roman" w:eastAsia="黑体"/>
          <w:bCs/>
          <w:sz w:val="32"/>
          <w:szCs w:val="32"/>
        </w:rPr>
      </w:pPr>
      <w:bookmarkStart w:id="74" w:name="_Toc240990653"/>
      <w:r>
        <w:rPr>
          <w:rFonts w:ascii="Times New Roman" w:hAnsi="Times New Roman" w:eastAsia="黑体"/>
          <w:bCs/>
          <w:sz w:val="32"/>
          <w:szCs w:val="32"/>
        </w:rPr>
        <w:t>第三节 北汝河与涧河生态廊道修复工程</w:t>
      </w:r>
      <w:bookmarkEnd w:id="74"/>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w:t>
      </w:r>
      <w:r>
        <w:rPr>
          <w:rFonts w:ascii="楷体" w:hAnsi="楷体" w:eastAsia="楷体"/>
          <w:bCs/>
          <w:sz w:val="32"/>
          <w:szCs w:val="32"/>
        </w:rPr>
        <w:t>生态空间生态保护和修复</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实施区域：</w:t>
      </w:r>
      <w:r>
        <w:rPr>
          <w:rFonts w:ascii="Times New Roman" w:hAnsi="Times New Roman" w:eastAsia="仿宋_GB2312"/>
          <w:sz w:val="32"/>
          <w:szCs w:val="32"/>
        </w:rPr>
        <w:t>本节工程覆盖北汝河、涧河沿线，涉及汝阳县、洛宁县区域内北汝河、涧河水系</w:t>
      </w:r>
      <w:r>
        <w:rPr>
          <w:rFonts w:hint="eastAsia" w:ascii="Times New Roman" w:hAnsi="Times New Roman" w:eastAsia="仿宋_GB2312"/>
          <w:sz w:val="32"/>
          <w:szCs w:val="32"/>
          <w:lang w:eastAsia="zh-CN"/>
        </w:rPr>
        <w:t>，</w:t>
      </w:r>
      <w:r>
        <w:rPr>
          <w:rFonts w:ascii="Times New Roman" w:hAnsi="Times New Roman" w:eastAsia="仿宋_GB2312"/>
          <w:sz w:val="32"/>
          <w:szCs w:val="32"/>
        </w:rPr>
        <w:t>与湿地、农田交错分布，是洛阳南部和西部重要的水源涵养与水土保持功能区，也是连接南部山地涵养区与伊洛河生态廊道的重要纽带。</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重点任务：</w:t>
      </w:r>
      <w:r>
        <w:rPr>
          <w:rFonts w:ascii="Times New Roman" w:hAnsi="Times New Roman" w:eastAsia="仿宋_GB2312"/>
          <w:sz w:val="32"/>
          <w:szCs w:val="32"/>
        </w:rPr>
        <w:t>针对部分河段水源涵养能力下降、湿地生态功能退化等问题，以提高水源涵养与水土保持、维护生物多样性为核心，重点推进北汝河湿地公园生态修复、洛宁洛河湿地公园建设，提升湿地蓄水保土、净化水质功能。</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主要策略：</w:t>
      </w:r>
      <w:r>
        <w:rPr>
          <w:rFonts w:ascii="Times New Roman" w:hAnsi="Times New Roman" w:eastAsia="仿宋_GB2312"/>
          <w:sz w:val="32"/>
          <w:szCs w:val="32"/>
        </w:rPr>
        <w:t>以自然恢复与保育保护为基础，将森林、河流、饮用水水源地一级保护区划入生态保护红线严格保护，对自然保护地实行封禁保护；对退化湿地采取近自然修复，恢复湿地植被和水系连通。项目实施与水利、林业等部门资金渠道衔接，强化流域统筹和系统治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w:t>
      </w:r>
      <w:r>
        <w:rPr>
          <w:rFonts w:ascii="楷体" w:hAnsi="楷体" w:eastAsia="楷体"/>
          <w:bCs/>
          <w:sz w:val="32"/>
          <w:szCs w:val="32"/>
        </w:rPr>
        <w:t>工程部署</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部署湿地修复、湿地公园建设等项目。实施湿地生态修复、湿地公园建设等工程。</w:t>
      </w:r>
    </w:p>
    <w:p>
      <w:pPr>
        <w:pStyle w:val="10"/>
        <w:ind w:left="0"/>
        <w:jc w:val="center"/>
        <w:rPr>
          <w:b/>
          <w:bCs/>
          <w:sz w:val="28"/>
          <w:szCs w:val="28"/>
        </w:rPr>
      </w:pPr>
      <w:r>
        <w:rPr>
          <w:b/>
          <w:bCs/>
          <w:sz w:val="28"/>
          <w:szCs w:val="28"/>
        </w:rPr>
        <w:t>专栏3 北汝河与涧河生态廊道修复重点工程</w:t>
      </w:r>
    </w:p>
    <w:tbl>
      <w:tblPr>
        <w:tblStyle w:val="24"/>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097"/>
        <w:gridCol w:w="744"/>
        <w:gridCol w:w="4077"/>
        <w:gridCol w:w="967"/>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0" w:type="auto"/>
            <w:vAlign w:val="center"/>
          </w:tcPr>
          <w:p>
            <w:pPr>
              <w:jc w:val="center"/>
              <w:rPr>
                <w:rFonts w:ascii="仿宋_GB2312" w:hAnsi="Times New Roman" w:eastAsia="仿宋_GB2312"/>
                <w:sz w:val="24"/>
                <w:szCs w:val="24"/>
              </w:rPr>
            </w:pPr>
            <w:r>
              <w:rPr>
                <w:rFonts w:hint="eastAsia" w:ascii="仿宋_GB2312" w:eastAsia="仿宋_GB2312"/>
                <w:b/>
                <w:bCs/>
                <w:sz w:val="24"/>
                <w:szCs w:val="24"/>
              </w:rPr>
              <w:t>序号</w:t>
            </w:r>
          </w:p>
        </w:tc>
        <w:tc>
          <w:tcPr>
            <w:tcW w:w="1123" w:type="dxa"/>
            <w:vAlign w:val="center"/>
          </w:tcPr>
          <w:p>
            <w:pPr>
              <w:jc w:val="center"/>
              <w:rPr>
                <w:rFonts w:ascii="仿宋_GB2312" w:eastAsia="仿宋_GB2312"/>
                <w:b/>
                <w:bCs/>
                <w:sz w:val="24"/>
                <w:szCs w:val="24"/>
              </w:rPr>
            </w:pPr>
            <w:r>
              <w:rPr>
                <w:rFonts w:hint="eastAsia" w:ascii="仿宋_GB2312" w:eastAsia="仿宋_GB2312"/>
                <w:b/>
                <w:bCs/>
                <w:sz w:val="24"/>
                <w:szCs w:val="24"/>
              </w:rPr>
              <w:t>赋存</w:t>
            </w:r>
          </w:p>
          <w:p>
            <w:pPr>
              <w:jc w:val="center"/>
              <w:rPr>
                <w:rFonts w:ascii="仿宋_GB2312" w:hAnsi="Times New Roman" w:eastAsia="仿宋_GB2312"/>
                <w:sz w:val="24"/>
                <w:szCs w:val="24"/>
              </w:rPr>
            </w:pPr>
            <w:r>
              <w:rPr>
                <w:rFonts w:hint="eastAsia" w:ascii="仿宋_GB2312" w:eastAsia="仿宋_GB2312"/>
                <w:b/>
                <w:bCs/>
                <w:sz w:val="24"/>
                <w:szCs w:val="24"/>
              </w:rPr>
              <w:t>空间</w:t>
            </w:r>
          </w:p>
        </w:tc>
        <w:tc>
          <w:tcPr>
            <w:tcW w:w="762"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修复对象</w:t>
            </w:r>
          </w:p>
        </w:tc>
        <w:tc>
          <w:tcPr>
            <w:tcW w:w="4287"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建设内容</w:t>
            </w:r>
          </w:p>
        </w:tc>
        <w:tc>
          <w:tcPr>
            <w:tcW w:w="992" w:type="dxa"/>
            <w:vAlign w:val="center"/>
          </w:tcPr>
          <w:p>
            <w:pPr>
              <w:jc w:val="center"/>
              <w:rPr>
                <w:rFonts w:ascii="仿宋_GB2312" w:eastAsia="仿宋_GB2312"/>
                <w:b/>
                <w:bCs/>
                <w:sz w:val="24"/>
                <w:szCs w:val="24"/>
              </w:rPr>
            </w:pPr>
            <w:r>
              <w:rPr>
                <w:rFonts w:hint="eastAsia" w:ascii="仿宋_GB2312" w:eastAsia="仿宋_GB2312"/>
                <w:b/>
                <w:bCs/>
                <w:sz w:val="24"/>
                <w:szCs w:val="24"/>
              </w:rPr>
              <w:t>投资</w:t>
            </w:r>
          </w:p>
          <w:p>
            <w:pPr>
              <w:ind w:left="-82" w:leftChars="-39" w:right="-69" w:rightChars="-33"/>
              <w:jc w:val="center"/>
              <w:rPr>
                <w:rFonts w:ascii="仿宋_GB2312" w:hAnsi="Times New Roman" w:eastAsia="仿宋_GB2312"/>
                <w:sz w:val="24"/>
                <w:szCs w:val="24"/>
              </w:rPr>
            </w:pPr>
            <w:r>
              <w:rPr>
                <w:rFonts w:hint="eastAsia" w:ascii="仿宋_GB2312" w:eastAsia="仿宋_GB2312"/>
                <w:b/>
                <w:bCs/>
                <w:sz w:val="24"/>
                <w:szCs w:val="24"/>
              </w:rPr>
              <w:t>（万元）</w:t>
            </w:r>
          </w:p>
        </w:tc>
        <w:tc>
          <w:tcPr>
            <w:tcW w:w="1137" w:type="dxa"/>
            <w:vAlign w:val="center"/>
          </w:tcPr>
          <w:p>
            <w:pPr>
              <w:ind w:left="-141" w:leftChars="-67" w:right="-55" w:rightChars="-26"/>
              <w:jc w:val="center"/>
              <w:rPr>
                <w:rFonts w:ascii="仿宋_GB2312" w:eastAsia="仿宋_GB2312"/>
                <w:b/>
                <w:bCs/>
                <w:sz w:val="24"/>
                <w:szCs w:val="24"/>
              </w:rPr>
            </w:pPr>
            <w:r>
              <w:rPr>
                <w:rFonts w:hint="eastAsia" w:ascii="仿宋_GB2312" w:eastAsia="仿宋_GB2312"/>
                <w:b/>
                <w:bCs/>
                <w:sz w:val="24"/>
                <w:szCs w:val="24"/>
              </w:rPr>
              <w:t>时间安排</w:t>
            </w:r>
          </w:p>
          <w:p>
            <w:pPr>
              <w:jc w:val="center"/>
              <w:rPr>
                <w:rFonts w:ascii="仿宋_GB2312" w:hAnsi="Times New Roman" w:eastAsia="仿宋_GB2312"/>
                <w:sz w:val="24"/>
                <w:szCs w:val="24"/>
              </w:rPr>
            </w:pPr>
            <w:r>
              <w:rPr>
                <w:rFonts w:hint="eastAsia" w:ascii="仿宋_GB2312" w:eastAsia="仿宋_GB2312"/>
                <w:b/>
                <w:bCs/>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hAnsi="Times New Roman" w:eastAsia="仿宋_GB2312"/>
                <w:sz w:val="24"/>
                <w:szCs w:val="24"/>
              </w:rPr>
            </w:pPr>
            <w:r>
              <w:rPr>
                <w:rFonts w:hint="eastAsia" w:ascii="仿宋_GB2312" w:eastAsia="仿宋_GB2312"/>
                <w:sz w:val="24"/>
                <w:szCs w:val="24"/>
              </w:rPr>
              <w:t>1</w:t>
            </w:r>
          </w:p>
        </w:tc>
        <w:tc>
          <w:tcPr>
            <w:tcW w:w="1123" w:type="dxa"/>
            <w:vAlign w:val="center"/>
          </w:tcPr>
          <w:p>
            <w:pPr>
              <w:jc w:val="center"/>
              <w:rPr>
                <w:rFonts w:ascii="仿宋_GB2312" w:hAnsi="Times New Roman" w:eastAsia="仿宋_GB2312"/>
                <w:sz w:val="24"/>
                <w:szCs w:val="24"/>
              </w:rPr>
            </w:pPr>
            <w:r>
              <w:rPr>
                <w:rFonts w:hint="eastAsia" w:ascii="仿宋_GB2312" w:eastAsia="仿宋_GB2312"/>
                <w:sz w:val="24"/>
                <w:szCs w:val="24"/>
              </w:rPr>
              <w:t>四廊（北汝河）</w:t>
            </w:r>
          </w:p>
        </w:tc>
        <w:tc>
          <w:tcPr>
            <w:tcW w:w="762" w:type="dxa"/>
            <w:vAlign w:val="center"/>
          </w:tcPr>
          <w:p>
            <w:pPr>
              <w:jc w:val="center"/>
              <w:rPr>
                <w:rFonts w:ascii="仿宋_GB2312" w:hAnsi="Times New Roman" w:eastAsia="仿宋_GB2312"/>
                <w:sz w:val="24"/>
                <w:szCs w:val="24"/>
              </w:rPr>
            </w:pPr>
            <w:r>
              <w:rPr>
                <w:rFonts w:hint="eastAsia" w:ascii="仿宋_GB2312" w:eastAsia="仿宋_GB2312"/>
                <w:sz w:val="24"/>
                <w:szCs w:val="24"/>
              </w:rPr>
              <w:t>湿地</w:t>
            </w:r>
          </w:p>
        </w:tc>
        <w:tc>
          <w:tcPr>
            <w:tcW w:w="4287"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项目名称：北汝河湿地公园生态修复与科普配套工程；</w:t>
            </w:r>
          </w:p>
          <w:p>
            <w:pPr>
              <w:pStyle w:val="10"/>
              <w:ind w:left="0"/>
              <w:jc w:val="both"/>
              <w:rPr>
                <w:rFonts w:ascii="仿宋_GB2312" w:eastAsia="仿宋_GB2312"/>
                <w:sz w:val="24"/>
                <w:szCs w:val="24"/>
              </w:rPr>
            </w:pPr>
            <w:r>
              <w:rPr>
                <w:rFonts w:hint="eastAsia" w:ascii="仿宋_GB2312" w:eastAsia="仿宋_GB2312"/>
                <w:sz w:val="24"/>
                <w:szCs w:val="24"/>
              </w:rPr>
              <w:t>实施区域：汝阳县；</w:t>
            </w:r>
          </w:p>
          <w:p>
            <w:pPr>
              <w:rPr>
                <w:rFonts w:ascii="仿宋_GB2312" w:hAnsi="Times New Roman" w:eastAsia="仿宋_GB2312"/>
                <w:sz w:val="24"/>
                <w:szCs w:val="24"/>
              </w:rPr>
            </w:pPr>
            <w:r>
              <w:rPr>
                <w:rFonts w:hint="eastAsia" w:ascii="仿宋_GB2312" w:eastAsia="仿宋_GB2312"/>
                <w:sz w:val="24"/>
                <w:szCs w:val="24"/>
              </w:rPr>
              <w:t>具体措施：建设规模20亩，补植水生及湿生植物15亩；配套建设湿地监测高塔1座、水文水质自动监测站2处，巡护栈道6km、管理服务区1处，开展湿地生物多样性监测，湿地率保持在75%以上。</w:t>
            </w:r>
          </w:p>
        </w:tc>
        <w:tc>
          <w:tcPr>
            <w:tcW w:w="992" w:type="dxa"/>
            <w:vAlign w:val="center"/>
          </w:tcPr>
          <w:p>
            <w:pPr>
              <w:jc w:val="center"/>
              <w:rPr>
                <w:rFonts w:ascii="仿宋_GB2312" w:hAnsi="Times New Roman" w:eastAsia="仿宋_GB2312"/>
                <w:sz w:val="24"/>
                <w:szCs w:val="24"/>
              </w:rPr>
            </w:pPr>
            <w:r>
              <w:rPr>
                <w:rFonts w:hint="eastAsia" w:ascii="仿宋_GB2312" w:eastAsia="仿宋_GB2312"/>
                <w:sz w:val="24"/>
                <w:szCs w:val="24"/>
              </w:rPr>
              <w:t>300</w:t>
            </w:r>
          </w:p>
        </w:tc>
        <w:tc>
          <w:tcPr>
            <w:tcW w:w="1137" w:type="dxa"/>
            <w:vAlign w:val="center"/>
          </w:tcPr>
          <w:p>
            <w:pPr>
              <w:jc w:val="center"/>
              <w:rPr>
                <w:rFonts w:ascii="仿宋_GB2312" w:hAnsi="Times New Roman"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2</w:t>
            </w:r>
          </w:p>
        </w:tc>
        <w:tc>
          <w:tcPr>
            <w:tcW w:w="1123" w:type="dxa"/>
            <w:vAlign w:val="center"/>
          </w:tcPr>
          <w:p>
            <w:pPr>
              <w:jc w:val="center"/>
              <w:rPr>
                <w:rFonts w:ascii="仿宋_GB2312" w:eastAsia="仿宋_GB2312"/>
                <w:sz w:val="24"/>
                <w:szCs w:val="24"/>
              </w:rPr>
            </w:pPr>
            <w:r>
              <w:rPr>
                <w:rFonts w:hint="eastAsia" w:ascii="仿宋_GB2312" w:eastAsia="仿宋_GB2312"/>
                <w:sz w:val="24"/>
                <w:szCs w:val="24"/>
              </w:rPr>
              <w:t>四廊（洛河）</w:t>
            </w:r>
          </w:p>
        </w:tc>
        <w:tc>
          <w:tcPr>
            <w:tcW w:w="762" w:type="dxa"/>
            <w:vAlign w:val="center"/>
          </w:tcPr>
          <w:p>
            <w:pPr>
              <w:jc w:val="center"/>
              <w:rPr>
                <w:rFonts w:ascii="仿宋_GB2312" w:eastAsia="仿宋_GB2312"/>
                <w:sz w:val="24"/>
                <w:szCs w:val="24"/>
              </w:rPr>
            </w:pPr>
            <w:r>
              <w:rPr>
                <w:rFonts w:hint="eastAsia" w:ascii="仿宋_GB2312" w:eastAsia="仿宋_GB2312"/>
                <w:sz w:val="24"/>
                <w:szCs w:val="24"/>
              </w:rPr>
              <w:t>湿地</w:t>
            </w:r>
          </w:p>
        </w:tc>
        <w:tc>
          <w:tcPr>
            <w:tcW w:w="4287"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项目名称：河南洛宁洛河湿地公园建设项目；</w:t>
            </w:r>
          </w:p>
          <w:p>
            <w:pPr>
              <w:pStyle w:val="10"/>
              <w:ind w:left="0"/>
              <w:jc w:val="both"/>
              <w:rPr>
                <w:rFonts w:ascii="仿宋_GB2312" w:eastAsia="仿宋_GB2312"/>
                <w:sz w:val="24"/>
                <w:szCs w:val="24"/>
              </w:rPr>
            </w:pPr>
            <w:r>
              <w:rPr>
                <w:rFonts w:hint="eastAsia" w:ascii="仿宋_GB2312" w:eastAsia="仿宋_GB2312"/>
                <w:sz w:val="24"/>
                <w:szCs w:val="24"/>
              </w:rPr>
              <w:t>实施区域：洛宁县；</w:t>
            </w:r>
          </w:p>
          <w:p>
            <w:pPr>
              <w:pStyle w:val="10"/>
              <w:ind w:left="0"/>
              <w:jc w:val="both"/>
              <w:rPr>
                <w:rFonts w:ascii="仿宋_GB2312" w:eastAsia="仿宋_GB2312"/>
                <w:sz w:val="24"/>
                <w:szCs w:val="24"/>
              </w:rPr>
            </w:pPr>
            <w:r>
              <w:rPr>
                <w:rFonts w:hint="eastAsia" w:ascii="仿宋_GB2312" w:eastAsia="仿宋_GB2312"/>
                <w:sz w:val="24"/>
                <w:szCs w:val="24"/>
              </w:rPr>
              <w:t>具体措施：建设湿地公园科普宣教中心、宣传广场、湿地科研监测站、访客中心，湿地保护生态恢复等。</w:t>
            </w:r>
          </w:p>
        </w:tc>
        <w:tc>
          <w:tcPr>
            <w:tcW w:w="992" w:type="dxa"/>
            <w:vAlign w:val="center"/>
          </w:tcPr>
          <w:p>
            <w:pPr>
              <w:jc w:val="center"/>
              <w:rPr>
                <w:rFonts w:ascii="仿宋_GB2312" w:eastAsia="仿宋_GB2312"/>
                <w:sz w:val="24"/>
                <w:szCs w:val="24"/>
              </w:rPr>
            </w:pPr>
            <w:r>
              <w:rPr>
                <w:rFonts w:hint="eastAsia" w:ascii="仿宋_GB2312" w:eastAsia="仿宋_GB2312"/>
                <w:sz w:val="24"/>
                <w:szCs w:val="24"/>
              </w:rPr>
              <w:t>600</w:t>
            </w:r>
          </w:p>
        </w:tc>
        <w:tc>
          <w:tcPr>
            <w:tcW w:w="1137" w:type="dxa"/>
            <w:vAlign w:val="center"/>
          </w:tcPr>
          <w:p>
            <w:pPr>
              <w:jc w:val="center"/>
              <w:rPr>
                <w:rFonts w:ascii="仿宋_GB2312" w:eastAsia="仿宋_GB2312"/>
                <w:sz w:val="24"/>
                <w:szCs w:val="24"/>
              </w:rPr>
            </w:pPr>
            <w:r>
              <w:rPr>
                <w:rFonts w:hint="eastAsia" w:ascii="仿宋_GB2312" w:eastAsia="仿宋_GB2312"/>
                <w:sz w:val="24"/>
                <w:szCs w:val="24"/>
              </w:rPr>
              <w:t>2026—2030</w:t>
            </w:r>
          </w:p>
        </w:tc>
      </w:tr>
    </w:tbl>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75" w:name="_Toc240990654"/>
      <w:r>
        <w:rPr>
          <w:rFonts w:ascii="Times New Roman" w:hAnsi="Times New Roman" w:eastAsia="黑体"/>
          <w:bCs/>
          <w:sz w:val="32"/>
          <w:szCs w:val="32"/>
        </w:rPr>
        <w:t>第四节 黄土丘陵浅山区水土保持与矿山修复工程</w:t>
      </w:r>
      <w:bookmarkEnd w:id="7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w:t>
      </w:r>
      <w:r>
        <w:rPr>
          <w:rFonts w:ascii="楷体" w:hAnsi="楷体" w:eastAsia="楷体"/>
          <w:bCs/>
          <w:sz w:val="32"/>
          <w:szCs w:val="32"/>
        </w:rPr>
        <w:t>生态空间生态保护和修复</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实施区域：</w:t>
      </w:r>
      <w:r>
        <w:rPr>
          <w:rFonts w:ascii="Times New Roman" w:hAnsi="Times New Roman" w:eastAsia="仿宋_GB2312"/>
          <w:sz w:val="32"/>
          <w:szCs w:val="32"/>
        </w:rPr>
        <w:t>本节工程覆盖新安、宜阳、洛宁黄土丘陵区以及嵩县陆浑湿地、伊川伊河湿地等</w:t>
      </w:r>
      <w:r>
        <w:rPr>
          <w:rFonts w:hint="eastAsia" w:ascii="Times New Roman" w:hAnsi="Times New Roman" w:eastAsia="仿宋_GB2312"/>
          <w:sz w:val="32"/>
          <w:szCs w:val="32"/>
          <w:lang w:eastAsia="zh-CN"/>
        </w:rPr>
        <w:t>。</w:t>
      </w:r>
      <w:r>
        <w:rPr>
          <w:rFonts w:ascii="Times New Roman" w:hAnsi="Times New Roman" w:eastAsia="仿宋_GB2312"/>
          <w:sz w:val="32"/>
          <w:szCs w:val="32"/>
        </w:rPr>
        <w:t>区域内黄土丘陵广布，沟壑纵横，水土流失较为突出，部分裸露山体影响区域景观和生态功能。</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重点任务：</w:t>
      </w:r>
      <w:r>
        <w:rPr>
          <w:rFonts w:ascii="Times New Roman" w:hAnsi="Times New Roman" w:eastAsia="仿宋_GB2312"/>
          <w:sz w:val="32"/>
          <w:szCs w:val="32"/>
        </w:rPr>
        <w:t>针对黄土丘陵区水土流失、裸露山体景观受损、矿山生态系统受损等问题，以增强水土保持能力、恢复山体生态功能为核心，重点推进历史遗留废弃矿山生态修复、新安黄土丘陵区及裸露山体绿化、森林质量提升。</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sz w:val="32"/>
          <w:szCs w:val="32"/>
          <w:lang w:eastAsia="zh-CN"/>
        </w:rPr>
      </w:pPr>
      <w:r>
        <w:rPr>
          <w:rFonts w:ascii="Times New Roman" w:hAnsi="Times New Roman" w:eastAsia="仿宋_GB2312"/>
          <w:b/>
          <w:bCs/>
          <w:sz w:val="32"/>
          <w:szCs w:val="32"/>
        </w:rPr>
        <w:t>主要策略：</w:t>
      </w:r>
      <w:r>
        <w:rPr>
          <w:rFonts w:ascii="Times New Roman" w:hAnsi="Times New Roman" w:eastAsia="仿宋_GB2312"/>
          <w:sz w:val="32"/>
          <w:szCs w:val="32"/>
        </w:rPr>
        <w:t>以自然恢复与辅助修复为基础，对低山、沟壑、坡耕地进行综合整治，逐步恢复山体生态功能；采用联合修复技术进行土壤生态重塑；结合小流域综合治理提质增效，实施坡改梯、沟道滩岸防护、林草措施和封禁治理。项目实施与自然资源、水利、林业等部门资金渠道衔接，强化系统治理和后期管护</w:t>
      </w:r>
      <w:r>
        <w:rPr>
          <w:rFonts w:hint="eastAsia" w:ascii="Times New Roman" w:hAnsi="Times New Roman"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w:t>
      </w:r>
      <w:r>
        <w:rPr>
          <w:rFonts w:ascii="楷体" w:hAnsi="楷体" w:eastAsia="楷体"/>
          <w:bCs/>
          <w:sz w:val="32"/>
          <w:szCs w:val="32"/>
        </w:rPr>
        <w:t>工程部署</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部署历史遗留矿山治理、森林质量提升等项目。实施矿山修复、森林抚育等工程。</w:t>
      </w:r>
    </w:p>
    <w:p>
      <w:pPr>
        <w:pStyle w:val="10"/>
        <w:ind w:left="0"/>
        <w:jc w:val="center"/>
        <w:rPr>
          <w:b/>
          <w:bCs/>
          <w:sz w:val="28"/>
          <w:szCs w:val="28"/>
        </w:rPr>
      </w:pPr>
      <w:r>
        <w:rPr>
          <w:b/>
          <w:bCs/>
          <w:sz w:val="28"/>
          <w:szCs w:val="28"/>
        </w:rPr>
        <w:t>专栏4 黄土丘陵浅山区水土保持与矿山修复重点工程</w:t>
      </w:r>
    </w:p>
    <w:tbl>
      <w:tblPr>
        <w:tblStyle w:val="24"/>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195"/>
        <w:gridCol w:w="700"/>
        <w:gridCol w:w="3818"/>
        <w:gridCol w:w="1172"/>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0" w:type="auto"/>
            <w:vAlign w:val="center"/>
          </w:tcPr>
          <w:p>
            <w:pPr>
              <w:jc w:val="center"/>
              <w:rPr>
                <w:rFonts w:ascii="仿宋_GB2312" w:hAnsi="Times New Roman" w:eastAsia="仿宋_GB2312"/>
                <w:sz w:val="24"/>
                <w:szCs w:val="24"/>
              </w:rPr>
            </w:pPr>
            <w:r>
              <w:rPr>
                <w:rFonts w:hint="eastAsia" w:ascii="仿宋_GB2312" w:eastAsia="仿宋_GB2312"/>
                <w:b/>
                <w:bCs/>
                <w:sz w:val="24"/>
                <w:szCs w:val="24"/>
              </w:rPr>
              <w:t>序号</w:t>
            </w:r>
          </w:p>
        </w:tc>
        <w:tc>
          <w:tcPr>
            <w:tcW w:w="1211" w:type="dxa"/>
            <w:vAlign w:val="center"/>
          </w:tcPr>
          <w:p>
            <w:pPr>
              <w:jc w:val="center"/>
              <w:rPr>
                <w:rFonts w:ascii="仿宋_GB2312" w:eastAsia="仿宋_GB2312"/>
                <w:b/>
                <w:bCs/>
                <w:sz w:val="24"/>
                <w:szCs w:val="24"/>
              </w:rPr>
            </w:pPr>
            <w:r>
              <w:rPr>
                <w:rFonts w:hint="eastAsia" w:ascii="仿宋_GB2312" w:eastAsia="仿宋_GB2312"/>
                <w:b/>
                <w:bCs/>
                <w:sz w:val="24"/>
                <w:szCs w:val="24"/>
              </w:rPr>
              <w:t>赋存</w:t>
            </w:r>
          </w:p>
          <w:p>
            <w:pPr>
              <w:jc w:val="center"/>
              <w:rPr>
                <w:rFonts w:ascii="仿宋_GB2312" w:hAnsi="Times New Roman" w:eastAsia="仿宋_GB2312"/>
                <w:sz w:val="24"/>
                <w:szCs w:val="24"/>
              </w:rPr>
            </w:pPr>
            <w:r>
              <w:rPr>
                <w:rFonts w:hint="eastAsia" w:ascii="仿宋_GB2312" w:eastAsia="仿宋_GB2312"/>
                <w:b/>
                <w:bCs/>
                <w:sz w:val="24"/>
                <w:szCs w:val="24"/>
              </w:rPr>
              <w:t>空间</w:t>
            </w:r>
          </w:p>
        </w:tc>
        <w:tc>
          <w:tcPr>
            <w:tcW w:w="708"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修复对象</w:t>
            </w:r>
          </w:p>
        </w:tc>
        <w:tc>
          <w:tcPr>
            <w:tcW w:w="3910"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建设内容</w:t>
            </w:r>
          </w:p>
        </w:tc>
        <w:tc>
          <w:tcPr>
            <w:tcW w:w="1176" w:type="dxa"/>
            <w:vAlign w:val="center"/>
          </w:tcPr>
          <w:p>
            <w:pPr>
              <w:jc w:val="center"/>
              <w:rPr>
                <w:rFonts w:ascii="仿宋_GB2312" w:eastAsia="仿宋_GB2312"/>
                <w:b/>
                <w:bCs/>
                <w:sz w:val="24"/>
                <w:szCs w:val="24"/>
              </w:rPr>
            </w:pPr>
            <w:r>
              <w:rPr>
                <w:rFonts w:hint="eastAsia" w:ascii="仿宋_GB2312" w:eastAsia="仿宋_GB2312"/>
                <w:b/>
                <w:bCs/>
                <w:sz w:val="24"/>
                <w:szCs w:val="24"/>
              </w:rPr>
              <w:t>投资</w:t>
            </w:r>
          </w:p>
          <w:p>
            <w:pPr>
              <w:ind w:left="-82" w:leftChars="-39" w:right="-69" w:rightChars="-33"/>
              <w:jc w:val="center"/>
              <w:rPr>
                <w:rFonts w:ascii="仿宋_GB2312" w:hAnsi="Times New Roman" w:eastAsia="仿宋_GB2312"/>
                <w:sz w:val="24"/>
                <w:szCs w:val="24"/>
              </w:rPr>
            </w:pPr>
            <w:r>
              <w:rPr>
                <w:rFonts w:hint="eastAsia" w:ascii="仿宋_GB2312" w:eastAsia="仿宋_GB2312"/>
                <w:b/>
                <w:bCs/>
                <w:sz w:val="24"/>
                <w:szCs w:val="24"/>
              </w:rPr>
              <w:t>（万元）</w:t>
            </w:r>
          </w:p>
        </w:tc>
        <w:tc>
          <w:tcPr>
            <w:tcW w:w="1296" w:type="dxa"/>
            <w:vAlign w:val="center"/>
          </w:tcPr>
          <w:p>
            <w:pPr>
              <w:ind w:left="-141" w:leftChars="-67" w:right="-55" w:rightChars="-26"/>
              <w:jc w:val="center"/>
              <w:rPr>
                <w:rFonts w:ascii="仿宋_GB2312" w:eastAsia="仿宋_GB2312"/>
                <w:b/>
                <w:bCs/>
                <w:sz w:val="24"/>
                <w:szCs w:val="24"/>
              </w:rPr>
            </w:pPr>
            <w:r>
              <w:rPr>
                <w:rFonts w:hint="eastAsia" w:ascii="仿宋_GB2312" w:eastAsia="仿宋_GB2312"/>
                <w:b/>
                <w:bCs/>
                <w:sz w:val="24"/>
                <w:szCs w:val="24"/>
              </w:rPr>
              <w:t>时间安排</w:t>
            </w:r>
          </w:p>
          <w:p>
            <w:pPr>
              <w:jc w:val="center"/>
              <w:rPr>
                <w:rFonts w:ascii="仿宋_GB2312" w:hAnsi="Times New Roman" w:eastAsia="仿宋_GB2312"/>
                <w:sz w:val="24"/>
                <w:szCs w:val="24"/>
              </w:rPr>
            </w:pPr>
            <w:r>
              <w:rPr>
                <w:rFonts w:hint="eastAsia" w:ascii="仿宋_GB2312" w:eastAsia="仿宋_GB2312"/>
                <w:b/>
                <w:bCs/>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hAnsi="Times New Roman" w:eastAsia="仿宋_GB2312"/>
                <w:sz w:val="24"/>
                <w:szCs w:val="24"/>
              </w:rPr>
            </w:pPr>
            <w:r>
              <w:rPr>
                <w:rFonts w:hint="eastAsia" w:ascii="仿宋_GB2312" w:eastAsia="仿宋_GB2312"/>
                <w:sz w:val="24"/>
                <w:szCs w:val="24"/>
              </w:rPr>
              <w:t>1</w:t>
            </w:r>
          </w:p>
        </w:tc>
        <w:tc>
          <w:tcPr>
            <w:tcW w:w="1211" w:type="dxa"/>
            <w:vAlign w:val="center"/>
          </w:tcPr>
          <w:p>
            <w:pPr>
              <w:jc w:val="center"/>
              <w:rPr>
                <w:rFonts w:ascii="仿宋_GB2312" w:hAnsi="Times New Roman" w:eastAsia="仿宋_GB2312"/>
                <w:sz w:val="24"/>
                <w:szCs w:val="24"/>
              </w:rPr>
            </w:pPr>
            <w:r>
              <w:rPr>
                <w:rFonts w:ascii="仿宋_GB2312" w:eastAsia="仿宋_GB2312"/>
                <w:sz w:val="24"/>
                <w:szCs w:val="24"/>
              </w:rPr>
              <w:t>四区（黄土丘陵浅山区）</w:t>
            </w:r>
          </w:p>
        </w:tc>
        <w:tc>
          <w:tcPr>
            <w:tcW w:w="708" w:type="dxa"/>
            <w:vAlign w:val="center"/>
          </w:tcPr>
          <w:p>
            <w:pPr>
              <w:jc w:val="center"/>
              <w:rPr>
                <w:rFonts w:ascii="仿宋_GB2312" w:hAnsi="Times New Roman" w:eastAsia="仿宋_GB2312"/>
                <w:sz w:val="24"/>
                <w:szCs w:val="24"/>
              </w:rPr>
            </w:pPr>
            <w:r>
              <w:rPr>
                <w:rFonts w:hint="eastAsia" w:ascii="仿宋_GB2312" w:eastAsia="仿宋_GB2312"/>
                <w:sz w:val="24"/>
                <w:szCs w:val="24"/>
              </w:rPr>
              <w:t>矿山</w:t>
            </w:r>
          </w:p>
        </w:tc>
        <w:tc>
          <w:tcPr>
            <w:tcW w:w="3910" w:type="dxa"/>
            <w:vAlign w:val="center"/>
          </w:tcPr>
          <w:p>
            <w:pPr>
              <w:rPr>
                <w:rFonts w:ascii="仿宋_GB2312" w:eastAsia="仿宋_GB2312"/>
                <w:sz w:val="24"/>
                <w:szCs w:val="24"/>
              </w:rPr>
            </w:pPr>
            <w:r>
              <w:rPr>
                <w:rFonts w:hint="eastAsia" w:ascii="仿宋_GB2312" w:eastAsia="仿宋_GB2312"/>
                <w:sz w:val="24"/>
                <w:szCs w:val="24"/>
              </w:rPr>
              <w:t>项目名称：</w:t>
            </w:r>
            <w:r>
              <w:rPr>
                <w:rFonts w:ascii="仿宋_GB2312" w:eastAsia="仿宋_GB2312"/>
                <w:sz w:val="24"/>
                <w:szCs w:val="24"/>
              </w:rPr>
              <w:t>新安县矿山生态修复子项目；</w:t>
            </w:r>
          </w:p>
          <w:p>
            <w:pPr>
              <w:rPr>
                <w:rFonts w:ascii="仿宋_GB2312" w:eastAsia="仿宋_GB2312"/>
                <w:sz w:val="24"/>
                <w:szCs w:val="24"/>
              </w:rPr>
            </w:pPr>
            <w:r>
              <w:rPr>
                <w:rFonts w:ascii="仿宋_GB2312" w:eastAsia="仿宋_GB2312"/>
                <w:sz w:val="24"/>
                <w:szCs w:val="24"/>
              </w:rPr>
              <w:t>实施区域：新安县；</w:t>
            </w:r>
          </w:p>
          <w:p>
            <w:pPr>
              <w:rPr>
                <w:rFonts w:ascii="仿宋_GB2312" w:hAnsi="Times New Roman" w:eastAsia="仿宋_GB2312"/>
                <w:sz w:val="24"/>
                <w:szCs w:val="24"/>
              </w:rPr>
            </w:pPr>
            <w:r>
              <w:rPr>
                <w:rFonts w:ascii="仿宋_GB2312" w:eastAsia="仿宋_GB2312"/>
                <w:sz w:val="24"/>
                <w:szCs w:val="24"/>
              </w:rPr>
              <w:t>具体措施：历史遗留废弃矿山地质安全隐患消除、边坡整治、场地平整、土壤重构、植被重建等</w:t>
            </w:r>
            <w:r>
              <w:rPr>
                <w:rFonts w:hint="eastAsia" w:ascii="仿宋_GB2312" w:eastAsia="仿宋_GB2312"/>
                <w:sz w:val="24"/>
                <w:szCs w:val="24"/>
              </w:rPr>
              <w:t>。</w:t>
            </w:r>
          </w:p>
        </w:tc>
        <w:tc>
          <w:tcPr>
            <w:tcW w:w="1176" w:type="dxa"/>
            <w:vAlign w:val="center"/>
          </w:tcPr>
          <w:p>
            <w:pPr>
              <w:jc w:val="center"/>
              <w:rPr>
                <w:rFonts w:ascii="仿宋_GB2312" w:hAnsi="Times New Roman" w:eastAsia="仿宋_GB2312"/>
                <w:sz w:val="24"/>
                <w:szCs w:val="24"/>
              </w:rPr>
            </w:pPr>
            <w:r>
              <w:rPr>
                <w:rFonts w:hint="eastAsia" w:ascii="仿宋_GB2312" w:eastAsia="仿宋_GB2312"/>
                <w:sz w:val="24"/>
                <w:szCs w:val="24"/>
              </w:rPr>
              <w:t>2460.46</w:t>
            </w:r>
          </w:p>
        </w:tc>
        <w:tc>
          <w:tcPr>
            <w:tcW w:w="1296" w:type="dxa"/>
            <w:vAlign w:val="center"/>
          </w:tcPr>
          <w:p>
            <w:pPr>
              <w:jc w:val="center"/>
              <w:rPr>
                <w:rFonts w:ascii="仿宋_GB2312" w:hAnsi="Times New Roman"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2</w:t>
            </w:r>
          </w:p>
        </w:tc>
        <w:tc>
          <w:tcPr>
            <w:tcW w:w="1211" w:type="dxa"/>
            <w:vAlign w:val="center"/>
          </w:tcPr>
          <w:p>
            <w:pPr>
              <w:jc w:val="center"/>
              <w:rPr>
                <w:rFonts w:ascii="仿宋_GB2312" w:eastAsia="仿宋_GB2312"/>
                <w:sz w:val="24"/>
                <w:szCs w:val="24"/>
              </w:rPr>
            </w:pPr>
            <w:r>
              <w:rPr>
                <w:rFonts w:ascii="仿宋_GB2312" w:eastAsia="仿宋_GB2312"/>
                <w:sz w:val="24"/>
                <w:szCs w:val="24"/>
              </w:rPr>
              <w:t>四区（黄土丘陵浅山区）</w:t>
            </w:r>
          </w:p>
        </w:tc>
        <w:tc>
          <w:tcPr>
            <w:tcW w:w="708"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3910" w:type="dxa"/>
            <w:vAlign w:val="center"/>
          </w:tcPr>
          <w:p>
            <w:pPr>
              <w:rPr>
                <w:rFonts w:ascii="仿宋_GB2312" w:hAnsi="Times New Roman" w:eastAsia="仿宋_GB2312"/>
                <w:kern w:val="0"/>
                <w:sz w:val="24"/>
                <w:szCs w:val="24"/>
              </w:rPr>
            </w:pPr>
            <w:r>
              <w:rPr>
                <w:rFonts w:hint="eastAsia" w:ascii="仿宋_GB2312" w:eastAsia="仿宋_GB2312"/>
                <w:sz w:val="24"/>
                <w:szCs w:val="24"/>
              </w:rPr>
              <w:t>项目名称：</w:t>
            </w:r>
            <w:r>
              <w:rPr>
                <w:rFonts w:ascii="仿宋_GB2312" w:hAnsi="Times New Roman" w:eastAsia="仿宋_GB2312"/>
                <w:kern w:val="0"/>
                <w:sz w:val="24"/>
                <w:szCs w:val="24"/>
              </w:rPr>
              <w:t>宜阳县中央财政森林可持续经营项目；</w:t>
            </w:r>
          </w:p>
          <w:p>
            <w:pPr>
              <w:rPr>
                <w:rFonts w:ascii="仿宋_GB2312" w:hAnsi="Times New Roman" w:eastAsia="仿宋_GB2312"/>
                <w:kern w:val="0"/>
                <w:sz w:val="24"/>
                <w:szCs w:val="24"/>
              </w:rPr>
            </w:pPr>
            <w:r>
              <w:rPr>
                <w:rFonts w:ascii="仿宋_GB2312" w:hAnsi="Times New Roman" w:eastAsia="仿宋_GB2312"/>
                <w:kern w:val="0"/>
                <w:sz w:val="24"/>
                <w:szCs w:val="24"/>
              </w:rPr>
              <w:t>实施区域：宜阳县；</w:t>
            </w:r>
          </w:p>
          <w:p>
            <w:pPr>
              <w:rPr>
                <w:rFonts w:ascii="仿宋_GB2312" w:eastAsia="仿宋_GB2312"/>
                <w:sz w:val="24"/>
                <w:szCs w:val="24"/>
              </w:rPr>
            </w:pPr>
            <w:r>
              <w:rPr>
                <w:rFonts w:ascii="仿宋_GB2312" w:hAnsi="Times New Roman" w:eastAsia="仿宋_GB2312"/>
                <w:kern w:val="0"/>
                <w:sz w:val="24"/>
                <w:szCs w:val="24"/>
              </w:rPr>
              <w:t>具体措施：森林可持续经营8万亩，幼龄林、中龄林抚育。</w:t>
            </w:r>
          </w:p>
        </w:tc>
        <w:tc>
          <w:tcPr>
            <w:tcW w:w="1176" w:type="dxa"/>
            <w:vAlign w:val="center"/>
          </w:tcPr>
          <w:p>
            <w:pPr>
              <w:jc w:val="center"/>
              <w:rPr>
                <w:rFonts w:ascii="仿宋_GB2312" w:eastAsia="仿宋_GB2312"/>
                <w:sz w:val="24"/>
                <w:szCs w:val="24"/>
              </w:rPr>
            </w:pPr>
            <w:r>
              <w:rPr>
                <w:rFonts w:ascii="仿宋_GB2312" w:eastAsia="仿宋_GB2312"/>
                <w:sz w:val="24"/>
                <w:szCs w:val="24"/>
              </w:rPr>
              <w:t>3530</w:t>
            </w:r>
          </w:p>
        </w:tc>
        <w:tc>
          <w:tcPr>
            <w:tcW w:w="1296" w:type="dxa"/>
            <w:vAlign w:val="center"/>
          </w:tcPr>
          <w:p>
            <w:pPr>
              <w:jc w:val="center"/>
              <w:rPr>
                <w:rFonts w:ascii="仿宋_GB2312" w:eastAsia="仿宋_GB2312"/>
                <w:sz w:val="24"/>
                <w:szCs w:val="24"/>
              </w:rPr>
            </w:pPr>
            <w:r>
              <w:rPr>
                <w:rFonts w:ascii="仿宋_GB2312" w:eastAsia="仿宋_GB2312"/>
                <w:sz w:val="24"/>
                <w:szCs w:val="24"/>
              </w:rPr>
              <w:t>2028—2030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3</w:t>
            </w:r>
          </w:p>
        </w:tc>
        <w:tc>
          <w:tcPr>
            <w:tcW w:w="1211" w:type="dxa"/>
            <w:vAlign w:val="center"/>
          </w:tcPr>
          <w:p>
            <w:pPr>
              <w:jc w:val="center"/>
              <w:rPr>
                <w:rFonts w:ascii="仿宋_GB2312" w:eastAsia="仿宋_GB2312"/>
                <w:sz w:val="24"/>
                <w:szCs w:val="24"/>
              </w:rPr>
            </w:pPr>
            <w:r>
              <w:rPr>
                <w:rFonts w:hint="eastAsia" w:ascii="仿宋_GB2312" w:eastAsia="仿宋_GB2312"/>
                <w:sz w:val="24"/>
                <w:szCs w:val="24"/>
              </w:rPr>
              <w:t>四区</w:t>
            </w:r>
            <w:r>
              <w:rPr>
                <w:rFonts w:ascii="仿宋_GB2312" w:eastAsia="仿宋_GB2312"/>
                <w:sz w:val="24"/>
                <w:szCs w:val="24"/>
              </w:rPr>
              <w:t>（黄土丘陵浅山区）</w:t>
            </w:r>
          </w:p>
        </w:tc>
        <w:tc>
          <w:tcPr>
            <w:tcW w:w="708"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3910" w:type="dxa"/>
            <w:vAlign w:val="center"/>
          </w:tcPr>
          <w:p>
            <w:pPr>
              <w:rPr>
                <w:rFonts w:ascii="仿宋_GB2312" w:hAnsi="Times New Roman" w:eastAsia="仿宋_GB2312"/>
                <w:kern w:val="0"/>
                <w:sz w:val="24"/>
                <w:szCs w:val="24"/>
              </w:rPr>
            </w:pPr>
            <w:r>
              <w:rPr>
                <w:rFonts w:hint="eastAsia" w:ascii="仿宋_GB2312" w:eastAsia="仿宋_GB2312"/>
                <w:sz w:val="24"/>
                <w:szCs w:val="24"/>
              </w:rPr>
              <w:t>项目名称：</w:t>
            </w:r>
            <w:r>
              <w:rPr>
                <w:rFonts w:ascii="仿宋_GB2312" w:hAnsi="Times New Roman" w:eastAsia="仿宋_GB2312"/>
                <w:kern w:val="0"/>
                <w:sz w:val="24"/>
                <w:szCs w:val="24"/>
              </w:rPr>
              <w:t>宜阳县中央财政国土绿化综合项目；</w:t>
            </w:r>
          </w:p>
          <w:p>
            <w:pPr>
              <w:rPr>
                <w:rFonts w:ascii="仿宋_GB2312" w:hAnsi="Times New Roman" w:eastAsia="仿宋_GB2312"/>
                <w:kern w:val="0"/>
                <w:sz w:val="24"/>
                <w:szCs w:val="24"/>
              </w:rPr>
            </w:pPr>
            <w:r>
              <w:rPr>
                <w:rFonts w:ascii="仿宋_GB2312" w:hAnsi="Times New Roman" w:eastAsia="仿宋_GB2312"/>
                <w:kern w:val="0"/>
                <w:sz w:val="24"/>
                <w:szCs w:val="24"/>
              </w:rPr>
              <w:t>实施区域：宜阳县；</w:t>
            </w:r>
          </w:p>
          <w:p>
            <w:pPr>
              <w:rPr>
                <w:rFonts w:ascii="仿宋_GB2312" w:eastAsia="仿宋_GB2312"/>
                <w:sz w:val="24"/>
                <w:szCs w:val="24"/>
              </w:rPr>
            </w:pPr>
            <w:r>
              <w:rPr>
                <w:rFonts w:ascii="仿宋_GB2312" w:hAnsi="Times New Roman" w:eastAsia="仿宋_GB2312"/>
                <w:kern w:val="0"/>
                <w:sz w:val="24"/>
                <w:szCs w:val="24"/>
              </w:rPr>
              <w:t>具体措施：森林改培3万亩。</w:t>
            </w:r>
          </w:p>
        </w:tc>
        <w:tc>
          <w:tcPr>
            <w:tcW w:w="1176" w:type="dxa"/>
            <w:vAlign w:val="center"/>
          </w:tcPr>
          <w:p>
            <w:pPr>
              <w:jc w:val="center"/>
              <w:rPr>
                <w:rFonts w:ascii="仿宋_GB2312" w:eastAsia="仿宋_GB2312"/>
                <w:sz w:val="24"/>
                <w:szCs w:val="24"/>
              </w:rPr>
            </w:pPr>
            <w:r>
              <w:rPr>
                <w:rFonts w:hint="eastAsia" w:ascii="仿宋_GB2312" w:eastAsia="仿宋_GB2312"/>
                <w:sz w:val="24"/>
                <w:szCs w:val="24"/>
              </w:rPr>
              <w:t>3600</w:t>
            </w:r>
          </w:p>
        </w:tc>
        <w:tc>
          <w:tcPr>
            <w:tcW w:w="1296" w:type="dxa"/>
            <w:vAlign w:val="center"/>
          </w:tcPr>
          <w:p>
            <w:pPr>
              <w:jc w:val="center"/>
              <w:rPr>
                <w:rFonts w:ascii="仿宋_GB2312" w:eastAsia="仿宋_GB2312"/>
                <w:sz w:val="24"/>
                <w:szCs w:val="24"/>
              </w:rPr>
            </w:pPr>
            <w:r>
              <w:rPr>
                <w:rFonts w:hint="eastAsia" w:ascii="仿宋_GB2312" w:eastAsia="仿宋_GB2312"/>
                <w:sz w:val="24"/>
                <w:szCs w:val="24"/>
              </w:rPr>
              <w:t>2026—2027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b/>
                <w:bCs/>
                <w:sz w:val="24"/>
                <w:szCs w:val="24"/>
              </w:rPr>
            </w:pPr>
            <w:r>
              <w:rPr>
                <w:rFonts w:hint="eastAsia" w:ascii="仿宋_GB2312" w:eastAsia="仿宋_GB2312"/>
                <w:sz w:val="24"/>
                <w:szCs w:val="24"/>
              </w:rPr>
              <w:t>4</w:t>
            </w:r>
          </w:p>
        </w:tc>
        <w:tc>
          <w:tcPr>
            <w:tcW w:w="1211" w:type="dxa"/>
            <w:vAlign w:val="center"/>
          </w:tcPr>
          <w:p>
            <w:pPr>
              <w:jc w:val="center"/>
              <w:rPr>
                <w:rFonts w:ascii="仿宋_GB2312" w:eastAsia="仿宋_GB2312"/>
                <w:b/>
                <w:bCs/>
                <w:sz w:val="24"/>
                <w:szCs w:val="24"/>
              </w:rPr>
            </w:pPr>
            <w:r>
              <w:rPr>
                <w:rFonts w:hint="eastAsia" w:ascii="仿宋_GB2312" w:eastAsia="仿宋_GB2312"/>
                <w:sz w:val="24"/>
                <w:szCs w:val="24"/>
              </w:rPr>
              <w:t>四区</w:t>
            </w:r>
            <w:r>
              <w:rPr>
                <w:rFonts w:ascii="仿宋_GB2312" w:eastAsia="仿宋_GB2312"/>
                <w:sz w:val="24"/>
                <w:szCs w:val="24"/>
              </w:rPr>
              <w:t>（黄土丘陵浅山区）</w:t>
            </w:r>
          </w:p>
        </w:tc>
        <w:tc>
          <w:tcPr>
            <w:tcW w:w="708" w:type="dxa"/>
            <w:vAlign w:val="center"/>
          </w:tcPr>
          <w:p>
            <w:pPr>
              <w:jc w:val="center"/>
              <w:rPr>
                <w:rFonts w:ascii="仿宋_GB2312" w:eastAsia="仿宋_GB2312"/>
                <w:b/>
                <w:bCs/>
                <w:sz w:val="24"/>
                <w:szCs w:val="24"/>
              </w:rPr>
            </w:pPr>
            <w:r>
              <w:rPr>
                <w:rFonts w:hint="eastAsia" w:ascii="仿宋_GB2312" w:eastAsia="仿宋_GB2312"/>
                <w:sz w:val="24"/>
                <w:szCs w:val="24"/>
              </w:rPr>
              <w:t>森林</w:t>
            </w:r>
          </w:p>
        </w:tc>
        <w:tc>
          <w:tcPr>
            <w:tcW w:w="3910"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项目名称：森林河南国土绿化项目；</w:t>
            </w:r>
          </w:p>
          <w:p>
            <w:pPr>
              <w:pStyle w:val="10"/>
              <w:ind w:left="0"/>
              <w:jc w:val="both"/>
              <w:rPr>
                <w:rFonts w:ascii="仿宋_GB2312" w:eastAsia="仿宋_GB2312"/>
                <w:sz w:val="24"/>
                <w:szCs w:val="24"/>
              </w:rPr>
            </w:pPr>
            <w:r>
              <w:rPr>
                <w:rFonts w:hint="eastAsia" w:ascii="仿宋_GB2312" w:eastAsia="仿宋_GB2312"/>
                <w:sz w:val="24"/>
                <w:szCs w:val="24"/>
              </w:rPr>
              <w:t>实施区域：宜阳县、新安县、偃师区、伊川县；</w:t>
            </w:r>
          </w:p>
          <w:p>
            <w:pPr>
              <w:rPr>
                <w:rFonts w:ascii="仿宋_GB2312" w:eastAsia="仿宋_GB2312"/>
                <w:b/>
                <w:bCs/>
                <w:sz w:val="24"/>
                <w:szCs w:val="24"/>
              </w:rPr>
            </w:pPr>
            <w:r>
              <w:rPr>
                <w:rFonts w:hint="eastAsia" w:ascii="仿宋_GB2312" w:eastAsia="仿宋_GB2312"/>
                <w:sz w:val="24"/>
                <w:szCs w:val="24"/>
              </w:rPr>
              <w:t>具体措施：森林质量提升、森林抚育、造林等（宜阳5万亩、新安4.6万亩、偃师5000亩及造林1000亩、伊川造林3300亩及森林质量提升5万亩）。</w:t>
            </w:r>
          </w:p>
        </w:tc>
        <w:tc>
          <w:tcPr>
            <w:tcW w:w="1176" w:type="dxa"/>
            <w:vAlign w:val="center"/>
          </w:tcPr>
          <w:p>
            <w:pPr>
              <w:jc w:val="center"/>
              <w:rPr>
                <w:rFonts w:ascii="仿宋_GB2312" w:eastAsia="仿宋_GB2312"/>
                <w:sz w:val="24"/>
                <w:szCs w:val="24"/>
              </w:rPr>
            </w:pPr>
            <w:r>
              <w:rPr>
                <w:rFonts w:hint="eastAsia" w:ascii="仿宋_GB2312" w:eastAsia="仿宋_GB2312"/>
                <w:sz w:val="24"/>
                <w:szCs w:val="24"/>
              </w:rPr>
              <w:t>7766</w:t>
            </w:r>
          </w:p>
        </w:tc>
        <w:tc>
          <w:tcPr>
            <w:tcW w:w="1296" w:type="dxa"/>
            <w:vAlign w:val="center"/>
          </w:tcPr>
          <w:p>
            <w:pPr>
              <w:jc w:val="center"/>
              <w:rPr>
                <w:rFonts w:ascii="仿宋_GB2312"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5</w:t>
            </w:r>
          </w:p>
        </w:tc>
        <w:tc>
          <w:tcPr>
            <w:tcW w:w="1211" w:type="dxa"/>
            <w:vAlign w:val="center"/>
          </w:tcPr>
          <w:p>
            <w:pPr>
              <w:jc w:val="center"/>
              <w:rPr>
                <w:rFonts w:ascii="仿宋_GB2312" w:eastAsia="仿宋_GB2312"/>
                <w:sz w:val="24"/>
                <w:szCs w:val="24"/>
              </w:rPr>
            </w:pPr>
            <w:r>
              <w:rPr>
                <w:rFonts w:hint="eastAsia" w:ascii="仿宋_GB2312" w:eastAsia="仿宋_GB2312"/>
                <w:sz w:val="24"/>
                <w:szCs w:val="24"/>
              </w:rPr>
              <w:t>四区</w:t>
            </w:r>
            <w:r>
              <w:rPr>
                <w:rFonts w:ascii="仿宋_GB2312" w:eastAsia="仿宋_GB2312"/>
                <w:sz w:val="24"/>
                <w:szCs w:val="24"/>
              </w:rPr>
              <w:t>（黄土丘陵浅山区）</w:t>
            </w:r>
          </w:p>
        </w:tc>
        <w:tc>
          <w:tcPr>
            <w:tcW w:w="708"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3910"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项目名称：伊川县乡村绿化美化示范项目；</w:t>
            </w:r>
          </w:p>
          <w:p>
            <w:pPr>
              <w:pStyle w:val="10"/>
              <w:ind w:left="0"/>
              <w:jc w:val="both"/>
              <w:rPr>
                <w:rFonts w:ascii="仿宋_GB2312" w:eastAsia="仿宋_GB2312"/>
                <w:sz w:val="24"/>
                <w:szCs w:val="24"/>
              </w:rPr>
            </w:pPr>
            <w:r>
              <w:rPr>
                <w:rFonts w:hint="eastAsia" w:ascii="仿宋_GB2312" w:eastAsia="仿宋_GB2312"/>
                <w:sz w:val="24"/>
                <w:szCs w:val="24"/>
              </w:rPr>
              <w:t>实施区域：伊川县；</w:t>
            </w:r>
          </w:p>
          <w:p>
            <w:pPr>
              <w:pStyle w:val="10"/>
              <w:ind w:left="0"/>
              <w:jc w:val="both"/>
              <w:rPr>
                <w:rFonts w:ascii="仿宋_GB2312" w:eastAsia="仿宋_GB2312"/>
                <w:sz w:val="24"/>
                <w:szCs w:val="24"/>
              </w:rPr>
            </w:pPr>
            <w:r>
              <w:rPr>
                <w:rFonts w:hint="eastAsia" w:ascii="仿宋_GB2312" w:eastAsia="仿宋_GB2312"/>
                <w:sz w:val="24"/>
                <w:szCs w:val="24"/>
              </w:rPr>
              <w:t>具体措施：绿化美化乡村15个。</w:t>
            </w:r>
          </w:p>
        </w:tc>
        <w:tc>
          <w:tcPr>
            <w:tcW w:w="1176" w:type="dxa"/>
            <w:vAlign w:val="center"/>
          </w:tcPr>
          <w:p>
            <w:pPr>
              <w:jc w:val="center"/>
              <w:rPr>
                <w:rFonts w:ascii="仿宋_GB2312" w:eastAsia="仿宋_GB2312"/>
                <w:sz w:val="24"/>
                <w:szCs w:val="24"/>
              </w:rPr>
            </w:pPr>
            <w:r>
              <w:rPr>
                <w:rFonts w:hint="eastAsia" w:ascii="仿宋_GB2312" w:eastAsia="仿宋_GB2312"/>
                <w:sz w:val="24"/>
                <w:szCs w:val="24"/>
              </w:rPr>
              <w:t>1200</w:t>
            </w:r>
          </w:p>
        </w:tc>
        <w:tc>
          <w:tcPr>
            <w:tcW w:w="1296" w:type="dxa"/>
            <w:vAlign w:val="center"/>
          </w:tcPr>
          <w:p>
            <w:pPr>
              <w:jc w:val="center"/>
              <w:rPr>
                <w:rFonts w:ascii="仿宋_GB2312"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6</w:t>
            </w:r>
          </w:p>
        </w:tc>
        <w:tc>
          <w:tcPr>
            <w:tcW w:w="1211" w:type="dxa"/>
            <w:vAlign w:val="center"/>
          </w:tcPr>
          <w:p>
            <w:pPr>
              <w:jc w:val="center"/>
              <w:rPr>
                <w:rFonts w:ascii="仿宋_GB2312" w:eastAsia="仿宋_GB2312"/>
                <w:sz w:val="24"/>
                <w:szCs w:val="24"/>
              </w:rPr>
            </w:pPr>
            <w:r>
              <w:rPr>
                <w:rFonts w:hint="eastAsia" w:ascii="仿宋_GB2312" w:eastAsia="仿宋_GB2312"/>
                <w:sz w:val="24"/>
                <w:szCs w:val="24"/>
              </w:rPr>
              <w:t>四区</w:t>
            </w:r>
            <w:r>
              <w:rPr>
                <w:rFonts w:ascii="仿宋_GB2312" w:eastAsia="仿宋_GB2312"/>
                <w:sz w:val="24"/>
                <w:szCs w:val="24"/>
              </w:rPr>
              <w:t>（黄土丘陵浅山区）</w:t>
            </w:r>
          </w:p>
        </w:tc>
        <w:tc>
          <w:tcPr>
            <w:tcW w:w="708"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3910"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项目名称：省级森林乡村建设；</w:t>
            </w:r>
          </w:p>
          <w:p>
            <w:pPr>
              <w:pStyle w:val="10"/>
              <w:ind w:left="0"/>
              <w:jc w:val="both"/>
              <w:rPr>
                <w:rFonts w:ascii="仿宋_GB2312" w:eastAsia="仿宋_GB2312"/>
                <w:sz w:val="24"/>
                <w:szCs w:val="24"/>
              </w:rPr>
            </w:pPr>
            <w:r>
              <w:rPr>
                <w:rFonts w:hint="eastAsia" w:ascii="仿宋_GB2312" w:eastAsia="仿宋_GB2312"/>
                <w:sz w:val="24"/>
                <w:szCs w:val="24"/>
              </w:rPr>
              <w:t>实施区域：汝阳县、偃师区；</w:t>
            </w:r>
          </w:p>
          <w:p>
            <w:pPr>
              <w:pStyle w:val="10"/>
              <w:ind w:left="0"/>
              <w:jc w:val="both"/>
              <w:rPr>
                <w:rFonts w:ascii="仿宋_GB2312" w:eastAsia="仿宋_GB2312"/>
                <w:sz w:val="24"/>
                <w:szCs w:val="24"/>
              </w:rPr>
            </w:pPr>
            <w:r>
              <w:rPr>
                <w:rFonts w:hint="eastAsia" w:ascii="仿宋_GB2312" w:eastAsia="仿宋_GB2312"/>
                <w:sz w:val="24"/>
                <w:szCs w:val="24"/>
              </w:rPr>
              <w:t>具体措施：建设森林乡村（汝阳县130个、偃师区66个）。</w:t>
            </w:r>
          </w:p>
        </w:tc>
        <w:tc>
          <w:tcPr>
            <w:tcW w:w="1176" w:type="dxa"/>
            <w:vAlign w:val="center"/>
          </w:tcPr>
          <w:p>
            <w:pPr>
              <w:jc w:val="center"/>
              <w:rPr>
                <w:rFonts w:ascii="仿宋_GB2312" w:eastAsia="仿宋_GB2312"/>
                <w:sz w:val="24"/>
                <w:szCs w:val="24"/>
              </w:rPr>
            </w:pPr>
            <w:r>
              <w:rPr>
                <w:rFonts w:hint="eastAsia" w:ascii="仿宋_GB2312" w:eastAsia="仿宋_GB2312"/>
                <w:sz w:val="24"/>
                <w:szCs w:val="24"/>
              </w:rPr>
              <w:t>3920</w:t>
            </w:r>
          </w:p>
        </w:tc>
        <w:tc>
          <w:tcPr>
            <w:tcW w:w="1296" w:type="dxa"/>
            <w:vAlign w:val="center"/>
          </w:tcPr>
          <w:p>
            <w:pPr>
              <w:jc w:val="center"/>
              <w:rPr>
                <w:rFonts w:ascii="仿宋_GB2312" w:eastAsia="仿宋_GB2312"/>
                <w:sz w:val="24"/>
                <w:szCs w:val="24"/>
              </w:rPr>
            </w:pPr>
            <w:r>
              <w:rPr>
                <w:rFonts w:hint="eastAsia" w:ascii="仿宋_GB2312" w:eastAsia="仿宋_GB2312"/>
                <w:sz w:val="24"/>
                <w:szCs w:val="24"/>
              </w:rPr>
              <w:t>2026—2030</w:t>
            </w:r>
          </w:p>
        </w:tc>
      </w:tr>
    </w:tbl>
    <w:p>
      <w:pPr>
        <w:pStyle w:val="10"/>
        <w:ind w:left="2520"/>
        <w:jc w:val="center"/>
        <w:rPr>
          <w:b/>
          <w:bCs/>
          <w:sz w:val="28"/>
          <w:szCs w:val="28"/>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76" w:name="_Toc240990655"/>
      <w:r>
        <w:rPr>
          <w:rFonts w:ascii="Times New Roman" w:hAnsi="Times New Roman" w:eastAsia="黑体"/>
          <w:bCs/>
          <w:sz w:val="32"/>
          <w:szCs w:val="32"/>
        </w:rPr>
        <w:t>第五节 南部山地涵养区森林生态与生物多样性保护工程</w:t>
      </w:r>
      <w:bookmarkEnd w:id="76"/>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w:t>
      </w:r>
      <w:r>
        <w:rPr>
          <w:rFonts w:ascii="楷体" w:hAnsi="楷体" w:eastAsia="楷体"/>
          <w:bCs/>
          <w:sz w:val="32"/>
          <w:szCs w:val="32"/>
        </w:rPr>
        <w:t>生态空间生态保护和修复</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实施区域：</w:t>
      </w:r>
      <w:r>
        <w:rPr>
          <w:rFonts w:ascii="Times New Roman" w:hAnsi="Times New Roman" w:eastAsia="仿宋_GB2312"/>
          <w:sz w:val="32"/>
          <w:szCs w:val="32"/>
        </w:rPr>
        <w:t>本节工程覆盖嵩县、栾川县、洛宁县、汝阳县南部山地涵养区，涉及伏牛山、熊耳山等山脉，以及伊河、洛河上游干支流。区域内森林资源丰富，是洛阳重要的水源涵养区和生物多样性富集区，也是黄河、淮河、长江三大流域的重要分水岭地带。</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重点任务：</w:t>
      </w:r>
      <w:r>
        <w:rPr>
          <w:rFonts w:ascii="Times New Roman" w:hAnsi="Times New Roman" w:eastAsia="仿宋_GB2312"/>
          <w:sz w:val="32"/>
          <w:szCs w:val="32"/>
        </w:rPr>
        <w:t>针对部分林分质量不高、森林生态系统稳定性不足、水土流失和生物多样性受胁等问题，以提高森林质量、增强水源涵养能力、保护生物多样性为核心，重点推进森林可持续经营、国土绿化、森林抚育、退化林修复、森林改培，推进老灌河源头区矿山生态修复和土壤污染源头治理。</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主要策略：</w:t>
      </w:r>
      <w:r>
        <w:rPr>
          <w:rFonts w:ascii="Times New Roman" w:hAnsi="Times New Roman" w:eastAsia="仿宋_GB2312"/>
          <w:sz w:val="32"/>
          <w:szCs w:val="32"/>
        </w:rPr>
        <w:t>以保育保护与自然恢复为基础，提升林地、草地质量；对退化林分采取近自然修复，优化林分结构，增强森林生态系统稳定性；对伊、洛河上游支流采取自然恢复与辅助修复相结合，开展河道整治疏浚，改善鱼类栖息地生境；结合中央财政森林可持续经营、国土绿化综合项目、秦岭东麓双重项目等，实施森林质量精准提升。项目实施与林业、水利等部门资金渠道衔接，强化后期管护和监测评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w:t>
      </w:r>
      <w:r>
        <w:rPr>
          <w:rFonts w:ascii="楷体" w:hAnsi="楷体" w:eastAsia="楷体"/>
          <w:bCs/>
          <w:sz w:val="32"/>
          <w:szCs w:val="32"/>
        </w:rPr>
        <w:t>工程部署</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部署森林可持续经营、国土绿化、森林抚育、退化林修复、森林改培、小流域综合治理、矿山生态修复、土壤污染治理等项目。</w:t>
      </w:r>
    </w:p>
    <w:p>
      <w:pPr>
        <w:pStyle w:val="10"/>
        <w:ind w:left="0"/>
        <w:jc w:val="center"/>
        <w:rPr>
          <w:b/>
          <w:bCs/>
          <w:sz w:val="28"/>
          <w:szCs w:val="28"/>
        </w:rPr>
      </w:pPr>
      <w:r>
        <w:rPr>
          <w:b/>
          <w:bCs/>
          <w:sz w:val="28"/>
          <w:szCs w:val="28"/>
        </w:rPr>
        <w:t>专栏5 南部山地涵养区森林生态与生物多样性保护重点工程</w:t>
      </w:r>
    </w:p>
    <w:tbl>
      <w:tblPr>
        <w:tblStyle w:val="24"/>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056"/>
        <w:gridCol w:w="701"/>
        <w:gridCol w:w="4158"/>
        <w:gridCol w:w="970"/>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0" w:type="auto"/>
            <w:vAlign w:val="center"/>
          </w:tcPr>
          <w:p>
            <w:pPr>
              <w:jc w:val="center"/>
              <w:rPr>
                <w:rFonts w:ascii="仿宋_GB2312" w:hAnsi="Times New Roman" w:eastAsia="仿宋_GB2312"/>
                <w:sz w:val="24"/>
                <w:szCs w:val="24"/>
              </w:rPr>
            </w:pPr>
            <w:r>
              <w:rPr>
                <w:rFonts w:hint="eastAsia" w:ascii="仿宋_GB2312" w:eastAsia="仿宋_GB2312"/>
                <w:b/>
                <w:bCs/>
                <w:sz w:val="24"/>
                <w:szCs w:val="24"/>
              </w:rPr>
              <w:t>序号</w:t>
            </w:r>
          </w:p>
        </w:tc>
        <w:tc>
          <w:tcPr>
            <w:tcW w:w="1069" w:type="dxa"/>
            <w:vAlign w:val="center"/>
          </w:tcPr>
          <w:p>
            <w:pPr>
              <w:jc w:val="center"/>
              <w:rPr>
                <w:rFonts w:ascii="仿宋_GB2312" w:eastAsia="仿宋_GB2312"/>
                <w:b/>
                <w:bCs/>
                <w:sz w:val="24"/>
                <w:szCs w:val="24"/>
              </w:rPr>
            </w:pPr>
            <w:r>
              <w:rPr>
                <w:rFonts w:hint="eastAsia" w:ascii="仿宋_GB2312" w:eastAsia="仿宋_GB2312"/>
                <w:b/>
                <w:bCs/>
                <w:sz w:val="24"/>
                <w:szCs w:val="24"/>
              </w:rPr>
              <w:t>赋存</w:t>
            </w:r>
          </w:p>
          <w:p>
            <w:pPr>
              <w:jc w:val="center"/>
              <w:rPr>
                <w:rFonts w:ascii="仿宋_GB2312" w:hAnsi="Times New Roman" w:eastAsia="仿宋_GB2312"/>
                <w:sz w:val="24"/>
                <w:szCs w:val="24"/>
              </w:rPr>
            </w:pPr>
            <w:r>
              <w:rPr>
                <w:rFonts w:hint="eastAsia" w:ascii="仿宋_GB2312" w:eastAsia="仿宋_GB2312"/>
                <w:b/>
                <w:bCs/>
                <w:sz w:val="24"/>
                <w:szCs w:val="24"/>
              </w:rPr>
              <w:t>空间</w:t>
            </w:r>
          </w:p>
        </w:tc>
        <w:tc>
          <w:tcPr>
            <w:tcW w:w="709"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修复对象</w:t>
            </w:r>
          </w:p>
        </w:tc>
        <w:tc>
          <w:tcPr>
            <w:tcW w:w="4252"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建设内容</w:t>
            </w:r>
          </w:p>
        </w:tc>
        <w:tc>
          <w:tcPr>
            <w:tcW w:w="975" w:type="dxa"/>
            <w:vAlign w:val="center"/>
          </w:tcPr>
          <w:p>
            <w:pPr>
              <w:jc w:val="center"/>
              <w:rPr>
                <w:rFonts w:ascii="仿宋_GB2312" w:eastAsia="仿宋_GB2312"/>
                <w:b/>
                <w:bCs/>
                <w:sz w:val="24"/>
                <w:szCs w:val="24"/>
              </w:rPr>
            </w:pPr>
            <w:r>
              <w:rPr>
                <w:rFonts w:hint="eastAsia" w:ascii="仿宋_GB2312" w:eastAsia="仿宋_GB2312"/>
                <w:b/>
                <w:bCs/>
                <w:sz w:val="24"/>
                <w:szCs w:val="24"/>
              </w:rPr>
              <w:t>投资</w:t>
            </w:r>
          </w:p>
          <w:p>
            <w:pPr>
              <w:ind w:left="-82" w:leftChars="-39" w:right="-69" w:rightChars="-33"/>
              <w:jc w:val="center"/>
              <w:rPr>
                <w:rFonts w:ascii="仿宋_GB2312" w:hAnsi="Times New Roman" w:eastAsia="仿宋_GB2312"/>
                <w:sz w:val="24"/>
                <w:szCs w:val="24"/>
              </w:rPr>
            </w:pPr>
            <w:r>
              <w:rPr>
                <w:rFonts w:hint="eastAsia" w:ascii="仿宋_GB2312" w:eastAsia="仿宋_GB2312"/>
                <w:b/>
                <w:bCs/>
                <w:sz w:val="24"/>
                <w:szCs w:val="24"/>
              </w:rPr>
              <w:t>（万元）</w:t>
            </w:r>
          </w:p>
        </w:tc>
        <w:tc>
          <w:tcPr>
            <w:tcW w:w="1296" w:type="dxa"/>
            <w:vAlign w:val="center"/>
          </w:tcPr>
          <w:p>
            <w:pPr>
              <w:ind w:left="-141" w:leftChars="-67" w:right="-55" w:rightChars="-26"/>
              <w:jc w:val="center"/>
              <w:rPr>
                <w:rFonts w:ascii="仿宋_GB2312" w:eastAsia="仿宋_GB2312"/>
                <w:b/>
                <w:bCs/>
                <w:sz w:val="24"/>
                <w:szCs w:val="24"/>
              </w:rPr>
            </w:pPr>
            <w:r>
              <w:rPr>
                <w:rFonts w:hint="eastAsia" w:ascii="仿宋_GB2312" w:eastAsia="仿宋_GB2312"/>
                <w:b/>
                <w:bCs/>
                <w:sz w:val="24"/>
                <w:szCs w:val="24"/>
              </w:rPr>
              <w:t>时间安排</w:t>
            </w:r>
          </w:p>
          <w:p>
            <w:pPr>
              <w:jc w:val="center"/>
              <w:rPr>
                <w:rFonts w:ascii="仿宋_GB2312" w:hAnsi="Times New Roman" w:eastAsia="仿宋_GB2312"/>
                <w:sz w:val="24"/>
                <w:szCs w:val="24"/>
              </w:rPr>
            </w:pPr>
            <w:r>
              <w:rPr>
                <w:rFonts w:hint="eastAsia" w:ascii="仿宋_GB2312" w:eastAsia="仿宋_GB2312"/>
                <w:b/>
                <w:bCs/>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hAnsi="Times New Roman" w:eastAsia="仿宋_GB2312"/>
                <w:sz w:val="24"/>
                <w:szCs w:val="24"/>
              </w:rPr>
            </w:pPr>
            <w:r>
              <w:rPr>
                <w:rFonts w:hint="eastAsia" w:ascii="仿宋_GB2312" w:eastAsia="仿宋_GB2312"/>
                <w:sz w:val="24"/>
                <w:szCs w:val="24"/>
              </w:rPr>
              <w:t>1</w:t>
            </w:r>
          </w:p>
        </w:tc>
        <w:tc>
          <w:tcPr>
            <w:tcW w:w="1069" w:type="dxa"/>
            <w:vAlign w:val="center"/>
          </w:tcPr>
          <w:p>
            <w:pPr>
              <w:jc w:val="center"/>
              <w:rPr>
                <w:rFonts w:ascii="仿宋_GB2312" w:hAnsi="Times New Roman" w:eastAsia="仿宋_GB2312"/>
                <w:sz w:val="24"/>
                <w:szCs w:val="24"/>
              </w:rPr>
            </w:pPr>
            <w:r>
              <w:rPr>
                <w:rFonts w:hint="eastAsia" w:ascii="仿宋_GB2312" w:eastAsia="仿宋_GB2312"/>
                <w:sz w:val="24"/>
                <w:szCs w:val="24"/>
              </w:rPr>
              <w:t>四区（南部山地涵养区）</w:t>
            </w:r>
          </w:p>
        </w:tc>
        <w:tc>
          <w:tcPr>
            <w:tcW w:w="709" w:type="dxa"/>
            <w:vAlign w:val="center"/>
          </w:tcPr>
          <w:p>
            <w:pPr>
              <w:jc w:val="center"/>
              <w:rPr>
                <w:rFonts w:ascii="仿宋_GB2312" w:hAnsi="Times New Roman" w:eastAsia="仿宋_GB2312"/>
                <w:sz w:val="24"/>
                <w:szCs w:val="24"/>
              </w:rPr>
            </w:pPr>
            <w:r>
              <w:rPr>
                <w:rFonts w:hint="eastAsia" w:ascii="仿宋_GB2312" w:eastAsia="仿宋_GB2312"/>
                <w:sz w:val="24"/>
                <w:szCs w:val="24"/>
              </w:rPr>
              <w:t>森林</w:t>
            </w:r>
          </w:p>
        </w:tc>
        <w:tc>
          <w:tcPr>
            <w:tcW w:w="425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项目名称：中央财政森林可持续经营项目；</w:t>
            </w:r>
          </w:p>
          <w:p>
            <w:pPr>
              <w:pStyle w:val="10"/>
              <w:ind w:left="0"/>
              <w:jc w:val="both"/>
              <w:rPr>
                <w:rFonts w:ascii="仿宋_GB2312" w:eastAsia="仿宋_GB2312"/>
                <w:sz w:val="24"/>
                <w:szCs w:val="24"/>
              </w:rPr>
            </w:pPr>
            <w:r>
              <w:rPr>
                <w:rFonts w:hint="eastAsia" w:ascii="仿宋_GB2312" w:eastAsia="仿宋_GB2312"/>
                <w:sz w:val="24"/>
                <w:szCs w:val="24"/>
              </w:rPr>
              <w:t>实施区域：栾川县、嵩县、汝阳县；</w:t>
            </w:r>
          </w:p>
          <w:p>
            <w:pPr>
              <w:rPr>
                <w:rFonts w:ascii="仿宋_GB2312" w:hAnsi="Times New Roman" w:eastAsia="仿宋_GB2312"/>
                <w:sz w:val="24"/>
                <w:szCs w:val="24"/>
              </w:rPr>
            </w:pPr>
            <w:r>
              <w:rPr>
                <w:rFonts w:hint="eastAsia" w:ascii="仿宋_GB2312" w:eastAsia="仿宋_GB2312"/>
                <w:sz w:val="24"/>
                <w:szCs w:val="24"/>
              </w:rPr>
              <w:t>具体措施：森林可持续经营41万亩，主要实施幼龄林、中龄林抚育（栾川11万亩、嵩县10万亩、汝阳20万亩）。</w:t>
            </w:r>
          </w:p>
        </w:tc>
        <w:tc>
          <w:tcPr>
            <w:tcW w:w="975" w:type="dxa"/>
            <w:vAlign w:val="center"/>
          </w:tcPr>
          <w:p>
            <w:pPr>
              <w:jc w:val="center"/>
              <w:rPr>
                <w:rFonts w:ascii="仿宋_GB2312" w:hAnsi="Times New Roman" w:eastAsia="仿宋_GB2312"/>
                <w:sz w:val="24"/>
                <w:szCs w:val="24"/>
              </w:rPr>
            </w:pPr>
            <w:r>
              <w:rPr>
                <w:rFonts w:hint="eastAsia" w:ascii="仿宋_GB2312" w:eastAsia="仿宋_GB2312"/>
                <w:sz w:val="24"/>
                <w:szCs w:val="24"/>
              </w:rPr>
              <w:t>19260</w:t>
            </w:r>
          </w:p>
        </w:tc>
        <w:tc>
          <w:tcPr>
            <w:tcW w:w="1296" w:type="dxa"/>
            <w:vAlign w:val="center"/>
          </w:tcPr>
          <w:p>
            <w:pPr>
              <w:jc w:val="center"/>
              <w:rPr>
                <w:rFonts w:ascii="仿宋_GB2312" w:hAnsi="Times New Roman"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2</w:t>
            </w:r>
          </w:p>
        </w:tc>
        <w:tc>
          <w:tcPr>
            <w:tcW w:w="1069" w:type="dxa"/>
            <w:vAlign w:val="center"/>
          </w:tcPr>
          <w:p>
            <w:pPr>
              <w:jc w:val="center"/>
              <w:rPr>
                <w:rFonts w:ascii="仿宋_GB2312" w:eastAsia="仿宋_GB2312"/>
                <w:sz w:val="24"/>
                <w:szCs w:val="24"/>
              </w:rPr>
            </w:pPr>
            <w:r>
              <w:rPr>
                <w:rFonts w:hint="eastAsia" w:ascii="仿宋_GB2312" w:eastAsia="仿宋_GB2312"/>
                <w:sz w:val="24"/>
                <w:szCs w:val="24"/>
              </w:rPr>
              <w:t>四区（南部山地涵养区）</w:t>
            </w:r>
          </w:p>
        </w:tc>
        <w:tc>
          <w:tcPr>
            <w:tcW w:w="709"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425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项目名称：中央财政国土绿化综合项目；</w:t>
            </w:r>
          </w:p>
          <w:p>
            <w:pPr>
              <w:pStyle w:val="10"/>
              <w:ind w:left="0"/>
              <w:jc w:val="both"/>
              <w:rPr>
                <w:rFonts w:ascii="仿宋_GB2312" w:eastAsia="仿宋_GB2312"/>
                <w:sz w:val="24"/>
                <w:szCs w:val="24"/>
              </w:rPr>
            </w:pPr>
            <w:r>
              <w:rPr>
                <w:rFonts w:hint="eastAsia" w:ascii="仿宋_GB2312" w:eastAsia="仿宋_GB2312"/>
                <w:sz w:val="24"/>
                <w:szCs w:val="24"/>
              </w:rPr>
              <w:t>实施区域：栾川县、嵩县、洛宁县；</w:t>
            </w:r>
          </w:p>
          <w:p>
            <w:pPr>
              <w:pStyle w:val="10"/>
              <w:ind w:left="0"/>
              <w:jc w:val="both"/>
              <w:rPr>
                <w:rFonts w:ascii="仿宋_GB2312" w:eastAsia="仿宋_GB2312"/>
                <w:sz w:val="24"/>
                <w:szCs w:val="24"/>
              </w:rPr>
            </w:pPr>
            <w:r>
              <w:rPr>
                <w:rFonts w:hint="eastAsia" w:ascii="仿宋_GB2312" w:eastAsia="仿宋_GB2312"/>
                <w:sz w:val="24"/>
                <w:szCs w:val="24"/>
              </w:rPr>
              <w:t>具体措施：森林抚育、森林改培、退化林修复等（栾川森林抚育9万亩、嵩县森林质量提升20万亩、洛宁退化林修复5万亩及森林改培5万亩）。</w:t>
            </w:r>
          </w:p>
        </w:tc>
        <w:tc>
          <w:tcPr>
            <w:tcW w:w="975" w:type="dxa"/>
            <w:vAlign w:val="center"/>
          </w:tcPr>
          <w:p>
            <w:pPr>
              <w:jc w:val="center"/>
              <w:rPr>
                <w:rFonts w:ascii="仿宋_GB2312" w:eastAsia="仿宋_GB2312"/>
                <w:sz w:val="24"/>
                <w:szCs w:val="24"/>
              </w:rPr>
            </w:pPr>
            <w:r>
              <w:rPr>
                <w:rFonts w:hint="eastAsia" w:ascii="仿宋_GB2312" w:eastAsia="仿宋_GB2312"/>
                <w:sz w:val="24"/>
                <w:szCs w:val="24"/>
              </w:rPr>
              <w:t>25600</w:t>
            </w:r>
          </w:p>
        </w:tc>
        <w:tc>
          <w:tcPr>
            <w:tcW w:w="1296" w:type="dxa"/>
            <w:vAlign w:val="center"/>
          </w:tcPr>
          <w:p>
            <w:pPr>
              <w:jc w:val="center"/>
              <w:rPr>
                <w:rFonts w:ascii="仿宋_GB2312"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3</w:t>
            </w:r>
          </w:p>
        </w:tc>
        <w:tc>
          <w:tcPr>
            <w:tcW w:w="1069" w:type="dxa"/>
            <w:vAlign w:val="center"/>
          </w:tcPr>
          <w:p>
            <w:pPr>
              <w:jc w:val="center"/>
              <w:rPr>
                <w:rFonts w:ascii="仿宋_GB2312" w:eastAsia="仿宋_GB2312"/>
                <w:sz w:val="24"/>
                <w:szCs w:val="24"/>
              </w:rPr>
            </w:pPr>
            <w:r>
              <w:rPr>
                <w:rFonts w:hint="eastAsia" w:ascii="仿宋_GB2312" w:eastAsia="仿宋_GB2312"/>
                <w:sz w:val="24"/>
                <w:szCs w:val="24"/>
              </w:rPr>
              <w:t>四区（南部山地涵养区）</w:t>
            </w:r>
          </w:p>
        </w:tc>
        <w:tc>
          <w:tcPr>
            <w:tcW w:w="709"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425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项目名称：中央预算内国土绿化综合项目（双重）；</w:t>
            </w:r>
          </w:p>
          <w:p>
            <w:pPr>
              <w:pStyle w:val="10"/>
              <w:ind w:left="0"/>
              <w:jc w:val="both"/>
              <w:rPr>
                <w:rFonts w:ascii="仿宋_GB2312" w:eastAsia="仿宋_GB2312"/>
                <w:sz w:val="24"/>
                <w:szCs w:val="24"/>
              </w:rPr>
            </w:pPr>
            <w:r>
              <w:rPr>
                <w:rFonts w:hint="eastAsia" w:ascii="仿宋_GB2312" w:eastAsia="仿宋_GB2312"/>
                <w:sz w:val="24"/>
                <w:szCs w:val="24"/>
              </w:rPr>
              <w:t>实施区域：栾川县、嵩县、洛宁县；</w:t>
            </w:r>
          </w:p>
          <w:p>
            <w:pPr>
              <w:rPr>
                <w:rFonts w:ascii="仿宋_GB2312" w:eastAsia="仿宋_GB2312"/>
                <w:sz w:val="24"/>
                <w:szCs w:val="24"/>
              </w:rPr>
            </w:pPr>
            <w:r>
              <w:rPr>
                <w:rFonts w:hint="eastAsia" w:ascii="仿宋_GB2312" w:eastAsia="仿宋_GB2312"/>
                <w:sz w:val="24"/>
                <w:szCs w:val="24"/>
              </w:rPr>
              <w:t>具体措施：森林质量提升、退化林修复、森林改培等（栾川8万亩、嵩县10万亩、洛宁退化林修复4万亩及森林改培6万亩）。</w:t>
            </w:r>
          </w:p>
        </w:tc>
        <w:tc>
          <w:tcPr>
            <w:tcW w:w="975" w:type="dxa"/>
            <w:vAlign w:val="center"/>
          </w:tcPr>
          <w:p>
            <w:pPr>
              <w:jc w:val="center"/>
              <w:rPr>
                <w:rFonts w:ascii="仿宋_GB2312" w:eastAsia="仿宋_GB2312"/>
                <w:sz w:val="24"/>
                <w:szCs w:val="24"/>
              </w:rPr>
            </w:pPr>
            <w:r>
              <w:rPr>
                <w:rFonts w:hint="eastAsia" w:ascii="仿宋_GB2312" w:eastAsia="仿宋_GB2312"/>
                <w:sz w:val="24"/>
                <w:szCs w:val="24"/>
              </w:rPr>
              <w:t>21000</w:t>
            </w:r>
          </w:p>
        </w:tc>
        <w:tc>
          <w:tcPr>
            <w:tcW w:w="1296" w:type="dxa"/>
            <w:vAlign w:val="center"/>
          </w:tcPr>
          <w:p>
            <w:pPr>
              <w:jc w:val="center"/>
              <w:rPr>
                <w:rFonts w:ascii="仿宋_GB2312"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4</w:t>
            </w:r>
          </w:p>
        </w:tc>
        <w:tc>
          <w:tcPr>
            <w:tcW w:w="1069" w:type="dxa"/>
            <w:vAlign w:val="center"/>
          </w:tcPr>
          <w:p>
            <w:pPr>
              <w:jc w:val="center"/>
              <w:rPr>
                <w:rFonts w:ascii="仿宋_GB2312" w:eastAsia="仿宋_GB2312"/>
                <w:sz w:val="24"/>
                <w:szCs w:val="24"/>
              </w:rPr>
            </w:pPr>
            <w:r>
              <w:rPr>
                <w:rFonts w:hint="eastAsia" w:ascii="仿宋_GB2312" w:eastAsia="仿宋_GB2312"/>
                <w:sz w:val="24"/>
                <w:szCs w:val="24"/>
              </w:rPr>
              <w:t>四区（南部山地涵养区）</w:t>
            </w:r>
          </w:p>
        </w:tc>
        <w:tc>
          <w:tcPr>
            <w:tcW w:w="709"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425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项目名称：森林河南国土绿化项目；</w:t>
            </w:r>
          </w:p>
          <w:p>
            <w:pPr>
              <w:pStyle w:val="10"/>
              <w:ind w:left="0"/>
              <w:jc w:val="both"/>
              <w:rPr>
                <w:rFonts w:ascii="仿宋_GB2312" w:eastAsia="仿宋_GB2312"/>
                <w:sz w:val="24"/>
                <w:szCs w:val="24"/>
              </w:rPr>
            </w:pPr>
            <w:r>
              <w:rPr>
                <w:rFonts w:hint="eastAsia" w:ascii="仿宋_GB2312" w:eastAsia="仿宋_GB2312"/>
                <w:sz w:val="24"/>
                <w:szCs w:val="24"/>
              </w:rPr>
              <w:t>实施区域：洛宁县、汝阳县；</w:t>
            </w:r>
          </w:p>
          <w:p>
            <w:pPr>
              <w:rPr>
                <w:rFonts w:ascii="仿宋_GB2312" w:eastAsia="仿宋_GB2312"/>
                <w:sz w:val="24"/>
                <w:szCs w:val="24"/>
              </w:rPr>
            </w:pPr>
            <w:r>
              <w:rPr>
                <w:rFonts w:hint="eastAsia" w:ascii="仿宋_GB2312" w:eastAsia="仿宋_GB2312"/>
                <w:sz w:val="24"/>
                <w:szCs w:val="24"/>
              </w:rPr>
              <w:t>具体措施：森林质量提升、森林抚育、造林等（洛宁10万亩、汝阳32万亩）。</w:t>
            </w:r>
          </w:p>
        </w:tc>
        <w:tc>
          <w:tcPr>
            <w:tcW w:w="975" w:type="dxa"/>
            <w:vAlign w:val="center"/>
          </w:tcPr>
          <w:p>
            <w:pPr>
              <w:jc w:val="center"/>
              <w:rPr>
                <w:rFonts w:ascii="仿宋_GB2312" w:eastAsia="仿宋_GB2312"/>
                <w:sz w:val="24"/>
                <w:szCs w:val="24"/>
              </w:rPr>
            </w:pPr>
            <w:r>
              <w:rPr>
                <w:rFonts w:hint="eastAsia" w:ascii="仿宋_GB2312" w:eastAsia="仿宋_GB2312"/>
                <w:sz w:val="24"/>
                <w:szCs w:val="24"/>
              </w:rPr>
              <w:t>16800</w:t>
            </w:r>
          </w:p>
        </w:tc>
        <w:tc>
          <w:tcPr>
            <w:tcW w:w="1296" w:type="dxa"/>
            <w:vAlign w:val="center"/>
          </w:tcPr>
          <w:p>
            <w:pPr>
              <w:jc w:val="center"/>
              <w:rPr>
                <w:rFonts w:ascii="仿宋_GB2312"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5</w:t>
            </w:r>
          </w:p>
        </w:tc>
        <w:tc>
          <w:tcPr>
            <w:tcW w:w="1069" w:type="dxa"/>
            <w:vAlign w:val="center"/>
          </w:tcPr>
          <w:p>
            <w:pPr>
              <w:jc w:val="center"/>
              <w:rPr>
                <w:rFonts w:ascii="仿宋_GB2312" w:eastAsia="仿宋_GB2312"/>
                <w:sz w:val="24"/>
                <w:szCs w:val="24"/>
              </w:rPr>
            </w:pPr>
            <w:r>
              <w:rPr>
                <w:rFonts w:hint="eastAsia" w:ascii="仿宋_GB2312" w:eastAsia="仿宋_GB2312"/>
                <w:sz w:val="24"/>
                <w:szCs w:val="24"/>
              </w:rPr>
              <w:t>四区（南部山地涵养区）</w:t>
            </w:r>
          </w:p>
        </w:tc>
        <w:tc>
          <w:tcPr>
            <w:tcW w:w="709" w:type="dxa"/>
            <w:vAlign w:val="center"/>
          </w:tcPr>
          <w:p>
            <w:pPr>
              <w:jc w:val="center"/>
              <w:rPr>
                <w:rFonts w:ascii="仿宋_GB2312" w:eastAsia="仿宋_GB2312"/>
                <w:sz w:val="24"/>
                <w:szCs w:val="24"/>
              </w:rPr>
            </w:pPr>
            <w:r>
              <w:rPr>
                <w:rFonts w:hint="eastAsia" w:ascii="仿宋_GB2312" w:eastAsia="仿宋_GB2312"/>
                <w:sz w:val="24"/>
                <w:szCs w:val="24"/>
              </w:rPr>
              <w:t>矿山</w:t>
            </w:r>
          </w:p>
        </w:tc>
        <w:tc>
          <w:tcPr>
            <w:tcW w:w="425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项目名称：老灌河源头区矿山生态修复工程；</w:t>
            </w:r>
          </w:p>
          <w:p>
            <w:pPr>
              <w:pStyle w:val="10"/>
              <w:ind w:left="0"/>
              <w:jc w:val="both"/>
              <w:rPr>
                <w:rFonts w:ascii="仿宋_GB2312" w:eastAsia="仿宋_GB2312"/>
                <w:sz w:val="24"/>
                <w:szCs w:val="24"/>
              </w:rPr>
            </w:pPr>
            <w:r>
              <w:rPr>
                <w:rFonts w:hint="eastAsia" w:ascii="仿宋_GB2312" w:eastAsia="仿宋_GB2312"/>
                <w:sz w:val="24"/>
                <w:szCs w:val="24"/>
              </w:rPr>
              <w:t>实施区域：栾川县；</w:t>
            </w:r>
          </w:p>
          <w:p>
            <w:pPr>
              <w:rPr>
                <w:rFonts w:ascii="仿宋_GB2312" w:hAnsi="Times New Roman" w:eastAsia="仿宋_GB2312"/>
                <w:kern w:val="0"/>
                <w:sz w:val="24"/>
                <w:szCs w:val="24"/>
              </w:rPr>
            </w:pPr>
            <w:r>
              <w:rPr>
                <w:rFonts w:hint="eastAsia" w:ascii="仿宋_GB2312" w:hAnsi="Times New Roman" w:eastAsia="仿宋_GB2312"/>
                <w:kern w:val="0"/>
                <w:sz w:val="24"/>
                <w:szCs w:val="24"/>
              </w:rPr>
              <w:t>具体措施：地质安全隐患消除、废弃洞口封堵、废弃构筑物拆除、场地整形、拦挡截排水、土壤重构、植被重建等，治理历史遗留废弃矿山图斑2个，矿山生态修复0.67hm</w:t>
            </w:r>
            <w:r>
              <w:rPr>
                <w:rFonts w:ascii="仿宋_GB2312" w:hAnsi="Times New Roman" w:eastAsia="仿宋_GB2312"/>
                <w:kern w:val="0"/>
                <w:sz w:val="24"/>
                <w:szCs w:val="24"/>
              </w:rPr>
              <w:t>²</w:t>
            </w:r>
            <w:r>
              <w:rPr>
                <w:rFonts w:hint="eastAsia" w:ascii="仿宋_GB2312" w:hAnsi="Times New Roman" w:eastAsia="仿宋_GB2312"/>
                <w:kern w:val="0"/>
                <w:sz w:val="24"/>
                <w:szCs w:val="24"/>
              </w:rPr>
              <w:t>，受损山体图斑19个，受损山体生态修复12.58hm</w:t>
            </w:r>
            <w:r>
              <w:rPr>
                <w:rFonts w:ascii="仿宋_GB2312" w:hAnsi="Times New Roman" w:eastAsia="仿宋_GB2312"/>
                <w:kern w:val="0"/>
                <w:sz w:val="24"/>
                <w:szCs w:val="24"/>
              </w:rPr>
              <w:t>²</w:t>
            </w:r>
            <w:r>
              <w:rPr>
                <w:rFonts w:hint="eastAsia" w:ascii="仿宋_GB2312" w:hAnsi="Times New Roman" w:eastAsia="仿宋_GB2312"/>
                <w:kern w:val="0"/>
                <w:sz w:val="24"/>
                <w:szCs w:val="24"/>
              </w:rPr>
              <w:t>。</w:t>
            </w:r>
          </w:p>
        </w:tc>
        <w:tc>
          <w:tcPr>
            <w:tcW w:w="975" w:type="dxa"/>
            <w:vAlign w:val="center"/>
          </w:tcPr>
          <w:p>
            <w:pPr>
              <w:jc w:val="center"/>
              <w:rPr>
                <w:rFonts w:ascii="仿宋_GB2312" w:eastAsia="仿宋_GB2312"/>
                <w:sz w:val="24"/>
                <w:szCs w:val="24"/>
              </w:rPr>
            </w:pPr>
            <w:r>
              <w:rPr>
                <w:rFonts w:hint="eastAsia" w:ascii="仿宋_GB2312" w:eastAsia="仿宋_GB2312"/>
                <w:sz w:val="24"/>
                <w:szCs w:val="24"/>
              </w:rPr>
              <w:t>1032</w:t>
            </w:r>
          </w:p>
        </w:tc>
        <w:tc>
          <w:tcPr>
            <w:tcW w:w="1296" w:type="dxa"/>
            <w:vAlign w:val="center"/>
          </w:tcPr>
          <w:p>
            <w:pPr>
              <w:jc w:val="center"/>
              <w:rPr>
                <w:rFonts w:ascii="仿宋_GB2312" w:eastAsia="仿宋_GB2312"/>
                <w:sz w:val="24"/>
                <w:szCs w:val="24"/>
              </w:rPr>
            </w:pPr>
            <w:r>
              <w:rPr>
                <w:rFonts w:hint="eastAsia" w:ascii="仿宋_GB2312" w:eastAsia="仿宋_GB2312"/>
                <w:sz w:val="24"/>
                <w:szCs w:val="24"/>
              </w:rPr>
              <w:t>2026—2027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6</w:t>
            </w:r>
          </w:p>
        </w:tc>
        <w:tc>
          <w:tcPr>
            <w:tcW w:w="1069" w:type="dxa"/>
            <w:vAlign w:val="center"/>
          </w:tcPr>
          <w:p>
            <w:pPr>
              <w:jc w:val="center"/>
              <w:rPr>
                <w:rFonts w:ascii="仿宋_GB2312" w:eastAsia="仿宋_GB2312"/>
                <w:sz w:val="24"/>
                <w:szCs w:val="24"/>
              </w:rPr>
            </w:pPr>
            <w:r>
              <w:rPr>
                <w:rFonts w:ascii="仿宋_GB2312" w:eastAsia="仿宋_GB2312"/>
                <w:sz w:val="24"/>
                <w:szCs w:val="24"/>
              </w:rPr>
              <w:t>四区（南部山地涵养区）</w:t>
            </w:r>
          </w:p>
        </w:tc>
        <w:tc>
          <w:tcPr>
            <w:tcW w:w="709" w:type="dxa"/>
            <w:vAlign w:val="center"/>
          </w:tcPr>
          <w:p>
            <w:pPr>
              <w:jc w:val="center"/>
              <w:rPr>
                <w:rFonts w:ascii="仿宋_GB2312" w:eastAsia="仿宋_GB2312"/>
                <w:sz w:val="24"/>
                <w:szCs w:val="24"/>
              </w:rPr>
            </w:pPr>
            <w:r>
              <w:rPr>
                <w:rFonts w:hint="eastAsia" w:ascii="仿宋_GB2312" w:eastAsia="仿宋_GB2312"/>
                <w:sz w:val="24"/>
                <w:szCs w:val="24"/>
              </w:rPr>
              <w:t>固废</w:t>
            </w:r>
          </w:p>
        </w:tc>
        <w:tc>
          <w:tcPr>
            <w:tcW w:w="4252"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项目名称：土壤污染源头治理项目；</w:t>
            </w:r>
          </w:p>
          <w:p>
            <w:pPr>
              <w:pStyle w:val="10"/>
              <w:ind w:left="0"/>
              <w:jc w:val="both"/>
              <w:rPr>
                <w:rFonts w:ascii="仿宋_GB2312" w:eastAsia="仿宋_GB2312"/>
                <w:sz w:val="24"/>
                <w:szCs w:val="24"/>
              </w:rPr>
            </w:pPr>
            <w:r>
              <w:rPr>
                <w:rFonts w:hint="eastAsia" w:ascii="仿宋_GB2312" w:eastAsia="仿宋_GB2312"/>
                <w:sz w:val="24"/>
                <w:szCs w:val="24"/>
              </w:rPr>
              <w:t>实施区域：栾川县冷水镇、石庙镇庄科村；</w:t>
            </w:r>
          </w:p>
          <w:p>
            <w:pPr>
              <w:pStyle w:val="10"/>
              <w:ind w:left="0"/>
              <w:jc w:val="both"/>
              <w:rPr>
                <w:rFonts w:ascii="仿宋_GB2312" w:eastAsia="仿宋_GB2312"/>
                <w:sz w:val="24"/>
                <w:szCs w:val="24"/>
              </w:rPr>
            </w:pPr>
            <w:r>
              <w:rPr>
                <w:rFonts w:hint="eastAsia" w:ascii="仿宋_GB2312" w:eastAsia="仿宋_GB2312"/>
                <w:sz w:val="24"/>
                <w:szCs w:val="24"/>
              </w:rPr>
              <w:t>具体措施：对冷水镇5处、石庙镇庄科村5处历史遗留废渣堆进行处理，对废渣进行资源化综合利用，原堆存场地进行生态修复。</w:t>
            </w:r>
          </w:p>
        </w:tc>
        <w:tc>
          <w:tcPr>
            <w:tcW w:w="975" w:type="dxa"/>
            <w:vAlign w:val="center"/>
          </w:tcPr>
          <w:p>
            <w:pPr>
              <w:jc w:val="center"/>
              <w:rPr>
                <w:rFonts w:ascii="仿宋_GB2312" w:eastAsia="仿宋_GB2312"/>
                <w:sz w:val="24"/>
                <w:szCs w:val="24"/>
              </w:rPr>
            </w:pPr>
            <w:r>
              <w:rPr>
                <w:rFonts w:hint="eastAsia" w:ascii="仿宋_GB2312" w:eastAsia="仿宋_GB2312"/>
                <w:sz w:val="24"/>
                <w:szCs w:val="24"/>
              </w:rPr>
              <w:t>6594</w:t>
            </w:r>
          </w:p>
        </w:tc>
        <w:tc>
          <w:tcPr>
            <w:tcW w:w="1296" w:type="dxa"/>
            <w:vAlign w:val="center"/>
          </w:tcPr>
          <w:p>
            <w:pPr>
              <w:jc w:val="center"/>
              <w:rPr>
                <w:rFonts w:ascii="仿宋_GB2312" w:eastAsia="仿宋_GB2312"/>
                <w:sz w:val="24"/>
                <w:szCs w:val="24"/>
              </w:rPr>
            </w:pPr>
            <w:r>
              <w:rPr>
                <w:rFonts w:hint="eastAsia" w:ascii="仿宋_GB2312" w:eastAsia="仿宋_GB2312"/>
                <w:sz w:val="24"/>
                <w:szCs w:val="24"/>
              </w:rPr>
              <w:t>2027-2028</w:t>
            </w:r>
          </w:p>
        </w:tc>
      </w:tr>
    </w:tbl>
    <w:p>
      <w:pPr>
        <w:pStyle w:val="10"/>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77" w:name="_Toc240990656"/>
      <w:r>
        <w:rPr>
          <w:rFonts w:ascii="Times New Roman" w:hAnsi="Times New Roman" w:eastAsia="黑体"/>
          <w:bCs/>
          <w:sz w:val="32"/>
          <w:szCs w:val="32"/>
        </w:rPr>
        <w:t>第六节 多斑块自然保护地与湿地生态修复工程</w:t>
      </w:r>
      <w:bookmarkEnd w:id="7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w:t>
      </w:r>
      <w:r>
        <w:rPr>
          <w:rFonts w:ascii="楷体" w:hAnsi="楷体" w:eastAsia="楷体"/>
          <w:bCs/>
          <w:sz w:val="32"/>
          <w:szCs w:val="32"/>
        </w:rPr>
        <w:t>自然保护地生态修复</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实施区域：</w:t>
      </w:r>
      <w:r>
        <w:rPr>
          <w:rFonts w:ascii="Times New Roman" w:hAnsi="Times New Roman" w:eastAsia="仿宋_GB2312"/>
          <w:sz w:val="32"/>
          <w:szCs w:val="32"/>
        </w:rPr>
        <w:t>本节工程覆盖河南黄河湿地国家级自然保护区、河南伏牛山国家级自然保护区、河南洛阳熊耳山省级自然保护区、河南新安青要山省级自然保护区、河南洛阳黛眉山国家地质公园、河南洛宁神灵寨国家森林公园、河南陆浑湖国家湿地公园等自然保护地，涉及孟津区、栾川县、嵩县、汝阳县、新安县、洛宁县等。同时覆盖河南陆浑湖国家湿地公园、河南伊川伊河国家湿地公园、河南洛宁洛河湿地公园、宜阳洛河省级湿地公园、北汝河湿地公园等湿地保护区域，以及伏牛山、熊耳山、黄河湿地等野生动植物重要栖息地。</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hint="eastAsia" w:ascii="仿宋_GB2312" w:hAnsi="Times New Roman" w:eastAsia="仿宋_GB2312"/>
          <w:sz w:val="32"/>
          <w:szCs w:val="32"/>
        </w:rPr>
      </w:pPr>
      <w:r>
        <w:rPr>
          <w:rFonts w:ascii="Times New Roman" w:hAnsi="Times New Roman" w:eastAsia="仿宋_GB2312"/>
          <w:b/>
          <w:bCs/>
          <w:sz w:val="32"/>
          <w:szCs w:val="32"/>
        </w:rPr>
        <w:t>重点任务：</w:t>
      </w:r>
      <w:r>
        <w:rPr>
          <w:rFonts w:hint="eastAsia" w:ascii="仿宋_GB2312" w:hAnsi="Times New Roman" w:eastAsia="仿宋_GB2312"/>
          <w:sz w:val="32"/>
          <w:szCs w:val="32"/>
        </w:rPr>
        <w:t>针对自然保护地管护能力不足、监测体系不完善、部分区域生态功能退化，部分湿地面积萎缩、生态功能退化，野生动植物资源本底不清、栖息地破</w:t>
      </w:r>
      <w:r>
        <w:rPr>
          <w:rFonts w:hint="eastAsia" w:ascii="仿宋_GB2312" w:hAnsi="微软雅黑" w:eastAsia="仿宋_GB2312" w:cs="微软雅黑"/>
          <w:sz w:val="32"/>
          <w:szCs w:val="32"/>
        </w:rPr>
        <w:t>碎</w:t>
      </w:r>
      <w:r>
        <w:rPr>
          <w:rFonts w:hint="eastAsia" w:ascii="仿宋_GB2312" w:hAnsi="___WRD_EMBED_SUB_1523" w:eastAsia="仿宋_GB2312" w:cs="___WRD_EMBED_SUB_1523"/>
          <w:sz w:val="32"/>
          <w:szCs w:val="32"/>
        </w:rPr>
        <w:t>化等问题，以封育保护为基础，对核心保护区实行严格管控，恢复原生植被和生境，提升自然保护地综合管护能力；对退化湿地采取近自然修复，恢复湿地植被和水系连通；对重要栖息地实行严格保护，恢复栖息地生态功能</w:t>
      </w:r>
      <w:r>
        <w:rPr>
          <w:rFonts w:hint="eastAsia" w:ascii="仿宋_GB2312" w:hAnsi="Times New Roman" w:eastAsia="仿宋_GB2312"/>
          <w:sz w:val="32"/>
          <w:szCs w:val="32"/>
        </w:rPr>
        <w:t>。</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主要策略：</w:t>
      </w:r>
      <w:r>
        <w:rPr>
          <w:rFonts w:ascii="Times New Roman" w:hAnsi="Times New Roman" w:eastAsia="仿宋_GB2312"/>
          <w:sz w:val="32"/>
          <w:szCs w:val="32"/>
        </w:rPr>
        <w:t>以封育保护为基础，对核心保护区实行严格管控；对退化区域采取近自然修复，恢复原生植被和生境；以自然恢复为主，对退化湿地采取近自然修复，恢复湿地植被和水系连通；以保护保育为基础，对重要栖息地实行严格保护，恢复栖息地生态功能。项目实施与林业、自然资源、水利、生态环境等部门资金渠道衔接，强化保护地整合优化、湿地总量管控和生物多样性保护网络建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w:t>
      </w:r>
      <w:r>
        <w:rPr>
          <w:rFonts w:ascii="楷体" w:hAnsi="楷体" w:eastAsia="楷体"/>
          <w:bCs/>
          <w:sz w:val="32"/>
          <w:szCs w:val="32"/>
        </w:rPr>
        <w:t>工程部署</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本节以封育保护、栖息地恢复为主，暂不部署重点工程项目。</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78" w:name="_Toc240990657"/>
      <w:r>
        <w:rPr>
          <w:rFonts w:ascii="Times New Roman" w:hAnsi="Times New Roman" w:eastAsia="黑体"/>
          <w:bCs/>
          <w:sz w:val="32"/>
          <w:szCs w:val="32"/>
        </w:rPr>
        <w:t>第七节 多网络绿色生态网络建设工程</w:t>
      </w:r>
      <w:bookmarkEnd w:id="78"/>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w:t>
      </w:r>
      <w:r>
        <w:rPr>
          <w:rFonts w:ascii="楷体" w:hAnsi="楷体" w:eastAsia="楷体"/>
          <w:bCs/>
          <w:sz w:val="32"/>
          <w:szCs w:val="32"/>
        </w:rPr>
        <w:t>生态廊道网络</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实施区域：</w:t>
      </w:r>
      <w:r>
        <w:rPr>
          <w:rFonts w:ascii="Times New Roman" w:hAnsi="Times New Roman" w:eastAsia="仿宋_GB2312"/>
          <w:sz w:val="32"/>
          <w:szCs w:val="32"/>
        </w:rPr>
        <w:t>本节工程覆盖利用流量较大支流水系、高速铁路、公路等构建的绿色生态网络体系，涉及全市域。</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重点任务：</w:t>
      </w:r>
      <w:r>
        <w:rPr>
          <w:rFonts w:ascii="Times New Roman" w:hAnsi="Times New Roman" w:eastAsia="仿宋_GB2312"/>
          <w:sz w:val="32"/>
          <w:szCs w:val="32"/>
        </w:rPr>
        <w:t>针对部分区域森林生态系统稳定性不足、林业有害生物威胁、古树名木保护不足等问题，以构建连通城乡的绿色生态网络、维护森林健康为核心，重点推进林业有害生物防治、科学绿化、古树名木保护。</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ascii="Times New Roman" w:hAnsi="Times New Roman" w:eastAsia="仿宋_GB2312"/>
          <w:sz w:val="32"/>
          <w:szCs w:val="32"/>
        </w:rPr>
      </w:pPr>
      <w:r>
        <w:rPr>
          <w:rFonts w:ascii="Times New Roman" w:hAnsi="Times New Roman" w:eastAsia="仿宋_GB2312"/>
          <w:b/>
          <w:bCs/>
          <w:sz w:val="32"/>
          <w:szCs w:val="32"/>
        </w:rPr>
        <w:t>主要策略：</w:t>
      </w:r>
      <w:r>
        <w:rPr>
          <w:rFonts w:ascii="Times New Roman" w:hAnsi="Times New Roman" w:eastAsia="仿宋_GB2312"/>
          <w:sz w:val="32"/>
          <w:szCs w:val="32"/>
        </w:rPr>
        <w:t>以自然恢复与辅助修复为基础，结合科学绿化、古树名木保护，提升绿色廊道质量；强化林业有害生物监测</w:t>
      </w:r>
      <w:r>
        <w:rPr>
          <w:rFonts w:hint="eastAsia" w:ascii="Times New Roman" w:hAnsi="Times New Roman" w:eastAsia="仿宋_GB2312"/>
          <w:sz w:val="32"/>
          <w:szCs w:val="32"/>
          <w:lang w:eastAsia="zh-CN"/>
        </w:rPr>
        <w:t>预警</w:t>
      </w:r>
      <w:r>
        <w:rPr>
          <w:rFonts w:hint="eastAsia" w:ascii="___WRD_EMBED_SUB_1523" w:hAnsi="___WRD_EMBED_SUB_1523" w:eastAsia="___WRD_EMBED_SUB_1523" w:cs="___WRD_EMBED_SUB_1523"/>
          <w:sz w:val="32"/>
          <w:szCs w:val="32"/>
        </w:rPr>
        <w:t>和防控能力，维护森林生态系统健康。项目实施与林业、城管等部门资金渠道衔接，强化后期管护</w:t>
      </w:r>
      <w:r>
        <w:rPr>
          <w:rFonts w:ascii="Times New Roman" w:hAnsi="Times New Roman"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w:t>
      </w:r>
      <w:r>
        <w:rPr>
          <w:rFonts w:ascii="楷体" w:hAnsi="楷体" w:eastAsia="楷体"/>
          <w:bCs/>
          <w:sz w:val="32"/>
          <w:szCs w:val="32"/>
        </w:rPr>
        <w:t>工程部署</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部署林业有害生物防治、科学绿化、古树名木保护等项目。</w:t>
      </w:r>
    </w:p>
    <w:p>
      <w:pPr>
        <w:pStyle w:val="10"/>
        <w:ind w:left="0"/>
        <w:jc w:val="center"/>
        <w:rPr>
          <w:b/>
          <w:bCs/>
          <w:sz w:val="28"/>
          <w:szCs w:val="28"/>
        </w:rPr>
      </w:pPr>
      <w:r>
        <w:rPr>
          <w:b/>
          <w:bCs/>
          <w:sz w:val="28"/>
          <w:szCs w:val="28"/>
        </w:rPr>
        <w:t>专栏</w:t>
      </w:r>
      <w:r>
        <w:rPr>
          <w:rFonts w:hint="eastAsia"/>
          <w:b/>
          <w:bCs/>
          <w:sz w:val="28"/>
          <w:szCs w:val="28"/>
        </w:rPr>
        <w:t>6</w:t>
      </w:r>
      <w:r>
        <w:rPr>
          <w:b/>
          <w:bCs/>
          <w:sz w:val="28"/>
          <w:szCs w:val="28"/>
        </w:rPr>
        <w:t xml:space="preserve"> 多网络绿色生态网络建设重点工程</w:t>
      </w:r>
    </w:p>
    <w:tbl>
      <w:tblPr>
        <w:tblStyle w:val="24"/>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052"/>
        <w:gridCol w:w="702"/>
        <w:gridCol w:w="4158"/>
        <w:gridCol w:w="973"/>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0" w:type="auto"/>
            <w:vAlign w:val="center"/>
          </w:tcPr>
          <w:p>
            <w:pPr>
              <w:jc w:val="center"/>
              <w:rPr>
                <w:rFonts w:ascii="仿宋_GB2312" w:hAnsi="Times New Roman" w:eastAsia="仿宋_GB2312"/>
                <w:sz w:val="24"/>
                <w:szCs w:val="24"/>
              </w:rPr>
            </w:pPr>
            <w:r>
              <w:rPr>
                <w:rFonts w:hint="eastAsia" w:ascii="仿宋_GB2312" w:eastAsia="仿宋_GB2312"/>
                <w:b/>
                <w:bCs/>
                <w:sz w:val="24"/>
                <w:szCs w:val="24"/>
              </w:rPr>
              <w:t>序号</w:t>
            </w:r>
          </w:p>
        </w:tc>
        <w:tc>
          <w:tcPr>
            <w:tcW w:w="1055" w:type="dxa"/>
            <w:vAlign w:val="center"/>
          </w:tcPr>
          <w:p>
            <w:pPr>
              <w:jc w:val="center"/>
              <w:rPr>
                <w:rFonts w:ascii="仿宋_GB2312" w:eastAsia="仿宋_GB2312"/>
                <w:b/>
                <w:bCs/>
                <w:sz w:val="24"/>
                <w:szCs w:val="24"/>
              </w:rPr>
            </w:pPr>
            <w:r>
              <w:rPr>
                <w:rFonts w:hint="eastAsia" w:ascii="仿宋_GB2312" w:eastAsia="仿宋_GB2312"/>
                <w:b/>
                <w:bCs/>
                <w:sz w:val="24"/>
                <w:szCs w:val="24"/>
              </w:rPr>
              <w:t>赋存</w:t>
            </w:r>
          </w:p>
          <w:p>
            <w:pPr>
              <w:jc w:val="center"/>
              <w:rPr>
                <w:rFonts w:ascii="仿宋_GB2312" w:hAnsi="Times New Roman" w:eastAsia="仿宋_GB2312"/>
                <w:sz w:val="24"/>
                <w:szCs w:val="24"/>
              </w:rPr>
            </w:pPr>
            <w:r>
              <w:rPr>
                <w:rFonts w:hint="eastAsia" w:ascii="仿宋_GB2312" w:eastAsia="仿宋_GB2312"/>
                <w:b/>
                <w:bCs/>
                <w:sz w:val="24"/>
                <w:szCs w:val="24"/>
              </w:rPr>
              <w:t>空间</w:t>
            </w:r>
          </w:p>
        </w:tc>
        <w:tc>
          <w:tcPr>
            <w:tcW w:w="703"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修复对象</w:t>
            </w:r>
          </w:p>
        </w:tc>
        <w:tc>
          <w:tcPr>
            <w:tcW w:w="4175" w:type="dxa"/>
            <w:vAlign w:val="center"/>
          </w:tcPr>
          <w:p>
            <w:pPr>
              <w:jc w:val="center"/>
              <w:rPr>
                <w:rFonts w:ascii="仿宋_GB2312" w:hAnsi="Times New Roman" w:eastAsia="仿宋_GB2312"/>
                <w:sz w:val="24"/>
                <w:szCs w:val="24"/>
              </w:rPr>
            </w:pPr>
            <w:r>
              <w:rPr>
                <w:rFonts w:hint="eastAsia" w:ascii="仿宋_GB2312" w:eastAsia="仿宋_GB2312"/>
                <w:b/>
                <w:bCs/>
                <w:sz w:val="24"/>
                <w:szCs w:val="24"/>
              </w:rPr>
              <w:t>建设内容</w:t>
            </w:r>
          </w:p>
        </w:tc>
        <w:tc>
          <w:tcPr>
            <w:tcW w:w="974" w:type="dxa"/>
            <w:vAlign w:val="center"/>
          </w:tcPr>
          <w:p>
            <w:pPr>
              <w:jc w:val="center"/>
              <w:rPr>
                <w:rFonts w:ascii="仿宋_GB2312" w:eastAsia="仿宋_GB2312"/>
                <w:b/>
                <w:bCs/>
                <w:sz w:val="24"/>
                <w:szCs w:val="24"/>
              </w:rPr>
            </w:pPr>
            <w:r>
              <w:rPr>
                <w:rFonts w:hint="eastAsia" w:ascii="仿宋_GB2312" w:eastAsia="仿宋_GB2312"/>
                <w:b/>
                <w:bCs/>
                <w:sz w:val="24"/>
                <w:szCs w:val="24"/>
              </w:rPr>
              <w:t>投资</w:t>
            </w:r>
          </w:p>
          <w:p>
            <w:pPr>
              <w:ind w:left="-82" w:leftChars="-39" w:right="-69" w:rightChars="-33"/>
              <w:jc w:val="center"/>
              <w:rPr>
                <w:rFonts w:ascii="仿宋_GB2312" w:hAnsi="Times New Roman" w:eastAsia="仿宋_GB2312"/>
                <w:sz w:val="24"/>
                <w:szCs w:val="24"/>
              </w:rPr>
            </w:pPr>
            <w:r>
              <w:rPr>
                <w:rFonts w:hint="eastAsia" w:ascii="仿宋_GB2312" w:eastAsia="仿宋_GB2312"/>
                <w:b/>
                <w:bCs/>
                <w:sz w:val="24"/>
                <w:szCs w:val="24"/>
              </w:rPr>
              <w:t>（万元）</w:t>
            </w:r>
          </w:p>
        </w:tc>
        <w:tc>
          <w:tcPr>
            <w:tcW w:w="1394" w:type="dxa"/>
            <w:vAlign w:val="center"/>
          </w:tcPr>
          <w:p>
            <w:pPr>
              <w:ind w:left="-141" w:leftChars="-67" w:right="-55" w:rightChars="-26"/>
              <w:jc w:val="center"/>
              <w:rPr>
                <w:rFonts w:ascii="仿宋_GB2312" w:eastAsia="仿宋_GB2312"/>
                <w:b/>
                <w:bCs/>
                <w:sz w:val="24"/>
                <w:szCs w:val="24"/>
              </w:rPr>
            </w:pPr>
            <w:r>
              <w:rPr>
                <w:rFonts w:hint="eastAsia" w:ascii="仿宋_GB2312" w:eastAsia="仿宋_GB2312"/>
                <w:b/>
                <w:bCs/>
                <w:sz w:val="24"/>
                <w:szCs w:val="24"/>
              </w:rPr>
              <w:t>时间安排</w:t>
            </w:r>
          </w:p>
          <w:p>
            <w:pPr>
              <w:jc w:val="center"/>
              <w:rPr>
                <w:rFonts w:ascii="仿宋_GB2312" w:hAnsi="Times New Roman" w:eastAsia="仿宋_GB2312"/>
                <w:sz w:val="24"/>
                <w:szCs w:val="24"/>
              </w:rPr>
            </w:pPr>
            <w:r>
              <w:rPr>
                <w:rFonts w:hint="eastAsia" w:ascii="仿宋_GB2312" w:eastAsia="仿宋_GB2312"/>
                <w:b/>
                <w:bCs/>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1</w:t>
            </w:r>
          </w:p>
        </w:tc>
        <w:tc>
          <w:tcPr>
            <w:tcW w:w="1055" w:type="dxa"/>
            <w:vAlign w:val="center"/>
          </w:tcPr>
          <w:p>
            <w:pPr>
              <w:jc w:val="center"/>
              <w:rPr>
                <w:rFonts w:ascii="仿宋_GB2312" w:eastAsia="仿宋_GB2312"/>
                <w:sz w:val="24"/>
                <w:szCs w:val="24"/>
              </w:rPr>
            </w:pPr>
            <w:r>
              <w:rPr>
                <w:rFonts w:hint="eastAsia" w:ascii="仿宋_GB2312" w:eastAsia="仿宋_GB2312"/>
                <w:sz w:val="24"/>
                <w:szCs w:val="24"/>
              </w:rPr>
              <w:t>多网络</w:t>
            </w:r>
          </w:p>
        </w:tc>
        <w:tc>
          <w:tcPr>
            <w:tcW w:w="703"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4175"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项目名称：洛阳市秦巴山区松材线虫病等林业有害生物预防治理项目；</w:t>
            </w:r>
          </w:p>
          <w:p>
            <w:pPr>
              <w:pStyle w:val="10"/>
              <w:ind w:left="0"/>
              <w:jc w:val="both"/>
              <w:rPr>
                <w:rFonts w:ascii="仿宋_GB2312" w:eastAsia="仿宋_GB2312"/>
                <w:sz w:val="24"/>
                <w:szCs w:val="24"/>
              </w:rPr>
            </w:pPr>
            <w:r>
              <w:rPr>
                <w:rFonts w:hint="eastAsia" w:ascii="仿宋_GB2312" w:eastAsia="仿宋_GB2312"/>
                <w:sz w:val="24"/>
                <w:szCs w:val="24"/>
              </w:rPr>
              <w:t>实施区域：市本级、栾川县、嵩县、洛宁县、汝阳县；</w:t>
            </w:r>
          </w:p>
          <w:p>
            <w:pPr>
              <w:rPr>
                <w:rFonts w:ascii="仿宋_GB2312" w:eastAsia="仿宋_GB2312"/>
                <w:sz w:val="24"/>
                <w:szCs w:val="24"/>
              </w:rPr>
            </w:pPr>
            <w:r>
              <w:rPr>
                <w:rFonts w:hint="eastAsia" w:ascii="仿宋_GB2312" w:eastAsia="仿宋_GB2312"/>
                <w:sz w:val="24"/>
                <w:szCs w:val="24"/>
              </w:rPr>
              <w:t>具体措施：每年对项目区域内松林开展日常监测、专项普查；对重点区域开展枯濒死松树清理、松褐天牛防控、实施打孔注药预防保护、布设诱捕器、开展无人机等监测；强化2个国家级测报点建设。</w:t>
            </w:r>
          </w:p>
        </w:tc>
        <w:tc>
          <w:tcPr>
            <w:tcW w:w="974" w:type="dxa"/>
            <w:vAlign w:val="center"/>
          </w:tcPr>
          <w:p>
            <w:pPr>
              <w:jc w:val="center"/>
              <w:rPr>
                <w:rFonts w:ascii="仿宋_GB2312" w:eastAsia="仿宋_GB2312"/>
                <w:sz w:val="24"/>
                <w:szCs w:val="24"/>
              </w:rPr>
            </w:pPr>
            <w:r>
              <w:rPr>
                <w:rFonts w:hint="eastAsia" w:ascii="仿宋_GB2312" w:eastAsia="仿宋_GB2312"/>
                <w:sz w:val="24"/>
                <w:szCs w:val="24"/>
              </w:rPr>
              <w:t>2502</w:t>
            </w:r>
          </w:p>
        </w:tc>
        <w:tc>
          <w:tcPr>
            <w:tcW w:w="1394" w:type="dxa"/>
            <w:vAlign w:val="center"/>
          </w:tcPr>
          <w:p>
            <w:pPr>
              <w:jc w:val="center"/>
              <w:rPr>
                <w:rFonts w:ascii="仿宋_GB2312" w:eastAsia="仿宋_GB2312"/>
                <w:sz w:val="24"/>
                <w:szCs w:val="24"/>
              </w:rPr>
            </w:pPr>
            <w:r>
              <w:rPr>
                <w:rFonts w:hint="eastAsia" w:ascii="仿宋_GB2312" w:eastAsia="仿宋_GB2312"/>
                <w:sz w:val="24"/>
                <w:szCs w:val="24"/>
              </w:rPr>
              <w:t>2026—2027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2</w:t>
            </w:r>
          </w:p>
        </w:tc>
        <w:tc>
          <w:tcPr>
            <w:tcW w:w="1055" w:type="dxa"/>
            <w:vAlign w:val="center"/>
          </w:tcPr>
          <w:p>
            <w:pPr>
              <w:jc w:val="center"/>
              <w:rPr>
                <w:rFonts w:ascii="仿宋_GB2312" w:eastAsia="仿宋_GB2312"/>
                <w:sz w:val="24"/>
                <w:szCs w:val="24"/>
              </w:rPr>
            </w:pPr>
            <w:r>
              <w:rPr>
                <w:rFonts w:hint="eastAsia" w:ascii="仿宋_GB2312" w:eastAsia="仿宋_GB2312"/>
                <w:sz w:val="24"/>
                <w:szCs w:val="24"/>
              </w:rPr>
              <w:t>多网络</w:t>
            </w:r>
          </w:p>
        </w:tc>
        <w:tc>
          <w:tcPr>
            <w:tcW w:w="703"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4175"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项目名称：栾川县重大林业有害生物防控项目；</w:t>
            </w:r>
          </w:p>
          <w:p>
            <w:pPr>
              <w:pStyle w:val="10"/>
              <w:ind w:left="0"/>
              <w:jc w:val="both"/>
              <w:rPr>
                <w:rFonts w:ascii="仿宋_GB2312" w:eastAsia="仿宋_GB2312"/>
                <w:sz w:val="24"/>
                <w:szCs w:val="24"/>
              </w:rPr>
            </w:pPr>
            <w:r>
              <w:rPr>
                <w:rFonts w:hint="eastAsia" w:ascii="仿宋_GB2312" w:eastAsia="仿宋_GB2312"/>
                <w:sz w:val="24"/>
                <w:szCs w:val="24"/>
              </w:rPr>
              <w:t>实施区域：栾川县；</w:t>
            </w:r>
          </w:p>
          <w:p>
            <w:pPr>
              <w:pStyle w:val="10"/>
              <w:ind w:left="0"/>
              <w:jc w:val="both"/>
              <w:rPr>
                <w:rFonts w:ascii="仿宋_GB2312" w:eastAsia="仿宋_GB2312"/>
                <w:sz w:val="24"/>
                <w:szCs w:val="24"/>
              </w:rPr>
            </w:pPr>
            <w:r>
              <w:rPr>
                <w:rFonts w:hint="eastAsia" w:ascii="仿宋_GB2312" w:eastAsia="仿宋_GB2312"/>
                <w:sz w:val="24"/>
                <w:szCs w:val="24"/>
              </w:rPr>
              <w:t>具体措施：栾川县油松林林相改造2万亩，林业有害生物防控25万亩。</w:t>
            </w:r>
          </w:p>
        </w:tc>
        <w:tc>
          <w:tcPr>
            <w:tcW w:w="974" w:type="dxa"/>
            <w:vAlign w:val="center"/>
          </w:tcPr>
          <w:p>
            <w:pPr>
              <w:jc w:val="center"/>
              <w:rPr>
                <w:rFonts w:ascii="仿宋_GB2312" w:eastAsia="仿宋_GB2312"/>
                <w:sz w:val="24"/>
                <w:szCs w:val="24"/>
              </w:rPr>
            </w:pPr>
            <w:r>
              <w:rPr>
                <w:rFonts w:hint="eastAsia" w:ascii="仿宋_GB2312" w:eastAsia="仿宋_GB2312"/>
                <w:sz w:val="24"/>
                <w:szCs w:val="24"/>
              </w:rPr>
              <w:t>2160</w:t>
            </w:r>
          </w:p>
        </w:tc>
        <w:tc>
          <w:tcPr>
            <w:tcW w:w="1394" w:type="dxa"/>
            <w:vAlign w:val="center"/>
          </w:tcPr>
          <w:p>
            <w:pPr>
              <w:jc w:val="center"/>
              <w:rPr>
                <w:rFonts w:ascii="仿宋_GB2312"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3</w:t>
            </w:r>
          </w:p>
        </w:tc>
        <w:tc>
          <w:tcPr>
            <w:tcW w:w="1055" w:type="dxa"/>
            <w:vAlign w:val="center"/>
          </w:tcPr>
          <w:p>
            <w:pPr>
              <w:jc w:val="center"/>
              <w:rPr>
                <w:rFonts w:ascii="仿宋_GB2312" w:eastAsia="仿宋_GB2312"/>
                <w:sz w:val="24"/>
                <w:szCs w:val="24"/>
              </w:rPr>
            </w:pPr>
            <w:r>
              <w:rPr>
                <w:rFonts w:hint="eastAsia" w:ascii="仿宋_GB2312" w:eastAsia="仿宋_GB2312"/>
                <w:sz w:val="24"/>
                <w:szCs w:val="24"/>
              </w:rPr>
              <w:t>多网络</w:t>
            </w:r>
          </w:p>
        </w:tc>
        <w:tc>
          <w:tcPr>
            <w:tcW w:w="703" w:type="dxa"/>
            <w:vAlign w:val="center"/>
          </w:tcPr>
          <w:p>
            <w:pPr>
              <w:jc w:val="center"/>
              <w:rPr>
                <w:rFonts w:ascii="仿宋_GB2312" w:eastAsia="仿宋_GB2312"/>
                <w:sz w:val="24"/>
                <w:szCs w:val="24"/>
              </w:rPr>
            </w:pPr>
            <w:r>
              <w:rPr>
                <w:rFonts w:hint="eastAsia" w:ascii="仿宋_GB2312" w:eastAsia="仿宋_GB2312"/>
                <w:sz w:val="24"/>
                <w:szCs w:val="24"/>
              </w:rPr>
              <w:t>森林</w:t>
            </w:r>
          </w:p>
        </w:tc>
        <w:tc>
          <w:tcPr>
            <w:tcW w:w="4175"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项目名称：洛阳市省级财政科学绿化示范项目；</w:t>
            </w:r>
          </w:p>
          <w:p>
            <w:pPr>
              <w:pStyle w:val="10"/>
              <w:ind w:left="0"/>
              <w:jc w:val="both"/>
              <w:rPr>
                <w:rFonts w:ascii="仿宋_GB2312" w:eastAsia="仿宋_GB2312"/>
                <w:sz w:val="24"/>
                <w:szCs w:val="24"/>
              </w:rPr>
            </w:pPr>
            <w:r>
              <w:rPr>
                <w:rFonts w:hint="eastAsia" w:ascii="仿宋_GB2312" w:eastAsia="仿宋_GB2312"/>
                <w:sz w:val="24"/>
                <w:szCs w:val="24"/>
              </w:rPr>
              <w:t>实施区域：栾川县、宜阳县、偃师区、伊川县、新安县、汝阳县；</w:t>
            </w:r>
          </w:p>
          <w:p>
            <w:pPr>
              <w:pStyle w:val="10"/>
              <w:ind w:left="0"/>
              <w:jc w:val="both"/>
              <w:rPr>
                <w:rFonts w:ascii="仿宋_GB2312" w:eastAsia="仿宋_GB2312"/>
                <w:sz w:val="24"/>
                <w:szCs w:val="24"/>
              </w:rPr>
            </w:pPr>
            <w:r>
              <w:rPr>
                <w:rFonts w:hint="eastAsia" w:ascii="仿宋_GB2312" w:eastAsia="仿宋_GB2312"/>
                <w:sz w:val="24"/>
                <w:szCs w:val="24"/>
              </w:rPr>
              <w:t>具体措施：绿化美化乡村、省级森林乡村建设。</w:t>
            </w:r>
          </w:p>
        </w:tc>
        <w:tc>
          <w:tcPr>
            <w:tcW w:w="974" w:type="dxa"/>
            <w:vAlign w:val="center"/>
          </w:tcPr>
          <w:p>
            <w:pPr>
              <w:jc w:val="center"/>
              <w:rPr>
                <w:rFonts w:ascii="仿宋_GB2312" w:eastAsia="仿宋_GB2312"/>
                <w:sz w:val="24"/>
                <w:szCs w:val="24"/>
              </w:rPr>
            </w:pPr>
            <w:r>
              <w:rPr>
                <w:rFonts w:hint="eastAsia" w:ascii="仿宋_GB2312" w:eastAsia="仿宋_GB2312"/>
                <w:sz w:val="24"/>
                <w:szCs w:val="24"/>
              </w:rPr>
              <w:t>6960</w:t>
            </w:r>
          </w:p>
        </w:tc>
        <w:tc>
          <w:tcPr>
            <w:tcW w:w="1394" w:type="dxa"/>
            <w:vAlign w:val="center"/>
          </w:tcPr>
          <w:p>
            <w:pPr>
              <w:jc w:val="center"/>
              <w:rPr>
                <w:rFonts w:ascii="仿宋_GB2312" w:eastAsia="仿宋_GB2312"/>
                <w:sz w:val="24"/>
                <w:szCs w:val="24"/>
              </w:rPr>
            </w:pPr>
            <w:r>
              <w:rPr>
                <w:rFonts w:hint="eastAsia" w:ascii="仿宋_GB2312" w:eastAsia="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pPr>
              <w:jc w:val="center"/>
              <w:rPr>
                <w:rFonts w:ascii="仿宋_GB2312" w:eastAsia="仿宋_GB2312"/>
                <w:sz w:val="24"/>
                <w:szCs w:val="24"/>
              </w:rPr>
            </w:pPr>
            <w:r>
              <w:rPr>
                <w:rFonts w:hint="eastAsia" w:ascii="仿宋_GB2312" w:eastAsia="仿宋_GB2312"/>
                <w:sz w:val="24"/>
                <w:szCs w:val="24"/>
              </w:rPr>
              <w:t>4</w:t>
            </w:r>
          </w:p>
        </w:tc>
        <w:tc>
          <w:tcPr>
            <w:tcW w:w="1055" w:type="dxa"/>
            <w:vAlign w:val="center"/>
          </w:tcPr>
          <w:p>
            <w:pPr>
              <w:jc w:val="center"/>
              <w:rPr>
                <w:rFonts w:ascii="仿宋_GB2312" w:eastAsia="仿宋_GB2312"/>
                <w:sz w:val="24"/>
                <w:szCs w:val="24"/>
              </w:rPr>
            </w:pPr>
            <w:r>
              <w:rPr>
                <w:rFonts w:hint="eastAsia" w:ascii="仿宋_GB2312" w:eastAsia="仿宋_GB2312"/>
                <w:sz w:val="24"/>
                <w:szCs w:val="24"/>
              </w:rPr>
              <w:t>多网络</w:t>
            </w:r>
          </w:p>
        </w:tc>
        <w:tc>
          <w:tcPr>
            <w:tcW w:w="703" w:type="dxa"/>
            <w:vAlign w:val="center"/>
          </w:tcPr>
          <w:p>
            <w:pPr>
              <w:jc w:val="center"/>
              <w:rPr>
                <w:rFonts w:ascii="仿宋_GB2312" w:eastAsia="仿宋_GB2312"/>
                <w:sz w:val="24"/>
                <w:szCs w:val="24"/>
              </w:rPr>
            </w:pPr>
            <w:r>
              <w:rPr>
                <w:rFonts w:hint="eastAsia" w:ascii="仿宋_GB2312" w:eastAsia="仿宋_GB2312"/>
                <w:sz w:val="24"/>
                <w:szCs w:val="24"/>
              </w:rPr>
              <w:t>绿色网络</w:t>
            </w:r>
          </w:p>
        </w:tc>
        <w:tc>
          <w:tcPr>
            <w:tcW w:w="4175" w:type="dxa"/>
            <w:vAlign w:val="center"/>
          </w:tcPr>
          <w:p>
            <w:pPr>
              <w:pStyle w:val="10"/>
              <w:ind w:left="0"/>
              <w:jc w:val="both"/>
              <w:rPr>
                <w:rFonts w:ascii="仿宋_GB2312" w:eastAsia="仿宋_GB2312"/>
                <w:sz w:val="24"/>
                <w:szCs w:val="24"/>
              </w:rPr>
            </w:pPr>
            <w:r>
              <w:rPr>
                <w:rFonts w:hint="eastAsia" w:ascii="仿宋_GB2312" w:eastAsia="仿宋_GB2312"/>
                <w:sz w:val="24"/>
                <w:szCs w:val="24"/>
              </w:rPr>
              <w:t>项目名称：洛阳市省级财政古树名木(古树群)抢救复壮项目；</w:t>
            </w:r>
          </w:p>
          <w:p>
            <w:pPr>
              <w:pStyle w:val="10"/>
              <w:ind w:left="0"/>
              <w:jc w:val="both"/>
              <w:rPr>
                <w:rFonts w:ascii="仿宋_GB2312" w:eastAsia="仿宋_GB2312"/>
                <w:sz w:val="24"/>
                <w:szCs w:val="24"/>
              </w:rPr>
            </w:pPr>
            <w:r>
              <w:rPr>
                <w:rFonts w:hint="eastAsia" w:ascii="仿宋_GB2312" w:eastAsia="仿宋_GB2312"/>
                <w:sz w:val="24"/>
                <w:szCs w:val="24"/>
              </w:rPr>
              <w:t>实施区域：市本级、栾川县、宜阳县、汝阳县、偃师区、伊川县、洛宁县、新安县、孟津区、嵩县；</w:t>
            </w:r>
          </w:p>
          <w:p>
            <w:pPr>
              <w:pStyle w:val="10"/>
              <w:ind w:left="0"/>
              <w:jc w:val="both"/>
              <w:rPr>
                <w:rFonts w:ascii="仿宋_GB2312" w:eastAsia="仿宋_GB2312"/>
                <w:sz w:val="24"/>
                <w:szCs w:val="24"/>
              </w:rPr>
            </w:pPr>
            <w:r>
              <w:rPr>
                <w:rFonts w:hint="eastAsia" w:ascii="仿宋_GB2312" w:eastAsia="仿宋_GB2312"/>
                <w:sz w:val="24"/>
                <w:szCs w:val="24"/>
              </w:rPr>
              <w:t>具体措施：对全市古树资源进行普查，普查成果汇编出版，实施古树名木抢救复壮。</w:t>
            </w:r>
          </w:p>
        </w:tc>
        <w:tc>
          <w:tcPr>
            <w:tcW w:w="974" w:type="dxa"/>
            <w:vAlign w:val="center"/>
          </w:tcPr>
          <w:p>
            <w:pPr>
              <w:jc w:val="center"/>
              <w:rPr>
                <w:rFonts w:ascii="仿宋_GB2312" w:eastAsia="仿宋_GB2312"/>
                <w:sz w:val="24"/>
                <w:szCs w:val="24"/>
              </w:rPr>
            </w:pPr>
            <w:r>
              <w:rPr>
                <w:rFonts w:hint="eastAsia" w:ascii="仿宋_GB2312" w:eastAsia="仿宋_GB2312"/>
                <w:sz w:val="24"/>
                <w:szCs w:val="24"/>
              </w:rPr>
              <w:t>2747</w:t>
            </w:r>
          </w:p>
        </w:tc>
        <w:tc>
          <w:tcPr>
            <w:tcW w:w="1394" w:type="dxa"/>
            <w:vAlign w:val="center"/>
          </w:tcPr>
          <w:p>
            <w:pPr>
              <w:jc w:val="center"/>
              <w:rPr>
                <w:rFonts w:ascii="仿宋_GB2312" w:eastAsia="仿宋_GB2312"/>
                <w:sz w:val="24"/>
                <w:szCs w:val="24"/>
              </w:rPr>
            </w:pPr>
            <w:r>
              <w:rPr>
                <w:rFonts w:hint="eastAsia" w:ascii="仿宋_GB2312" w:eastAsia="仿宋_GB2312"/>
                <w:sz w:val="24"/>
                <w:szCs w:val="24"/>
              </w:rPr>
              <w:t>2026—2030</w:t>
            </w:r>
          </w:p>
        </w:tc>
      </w:tr>
    </w:tbl>
    <w:p>
      <w:pPr>
        <w:pStyle w:val="10"/>
      </w:pPr>
    </w:p>
    <w:p>
      <w:pPr>
        <w:pStyle w:val="10"/>
        <w:ind w:left="2520"/>
      </w:pPr>
    </w:p>
    <w:p>
      <w:pPr>
        <w:widowControl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br w:type="page"/>
      </w:r>
    </w:p>
    <w:bookmarkEnd w:id="69"/>
    <w:p>
      <w:pPr>
        <w:pageBreakBefore/>
        <w:widowControl w:val="0"/>
        <w:kinsoku/>
        <w:wordWrap/>
        <w:overflowPunct/>
        <w:topLinePunct w:val="0"/>
        <w:autoSpaceDE/>
        <w:autoSpaceDN/>
        <w:bidi w:val="0"/>
        <w:adjustRightInd/>
        <w:snapToGrid/>
        <w:spacing w:before="156" w:beforeLines="50" w:after="156" w:afterLines="50" w:line="560" w:lineRule="exact"/>
        <w:jc w:val="center"/>
        <w:textAlignment w:val="auto"/>
        <w:outlineLvl w:val="0"/>
        <w:rPr>
          <w:rFonts w:hint="eastAsia" w:ascii="方正小标宋简体" w:hAnsi="方正小标宋简体" w:eastAsia="方正小标宋简体" w:cs="方正小标宋简体"/>
          <w:bCs/>
          <w:sz w:val="36"/>
          <w:szCs w:val="36"/>
        </w:rPr>
      </w:pPr>
      <w:bookmarkStart w:id="79" w:name="_Toc240990658"/>
      <w:r>
        <w:rPr>
          <w:rFonts w:hint="eastAsia" w:ascii="方正小标宋简体" w:hAnsi="方正小标宋简体" w:eastAsia="方正小标宋简体" w:cs="方正小标宋简体"/>
          <w:bCs/>
          <w:sz w:val="36"/>
          <w:szCs w:val="36"/>
        </w:rPr>
        <w:t>第七章  露天矿山综合治理和生态修复</w:t>
      </w:r>
      <w:bookmarkEnd w:id="7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sz w:val="32"/>
          <w:szCs w:val="32"/>
        </w:rPr>
      </w:pPr>
      <w:r>
        <w:rPr>
          <w:rFonts w:hint="eastAsia" w:ascii="仿宋_GB2312" w:hAnsi="仿宋_GB2312" w:eastAsia="仿宋_GB2312" w:cs="仿宋_GB2312"/>
          <w:kern w:val="0"/>
          <w:sz w:val="32"/>
          <w:szCs w:val="32"/>
        </w:rPr>
        <w:t>洛阳是矿产资源大市，钼、钨、金、铅锌、铝土矿、萤石等矿产在栾川、嵩县、洛宁、新安、伊川、宜阳等县区集中分布，露天开采历史长、点位多、覆盖面广。“十五五”时期，全市露天矿山综合治理和生态修复坚持源头严防、过程严管、后果严惩，以绿色矿山建设为引领，对具备治理条件的历史遗留废弃矿山应治尽治，推动露天矿山从“治标”向“治本”转变。</w:t>
      </w:r>
    </w:p>
    <w:p>
      <w:pPr>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80" w:name="_Toc240990659"/>
      <w:r>
        <w:rPr>
          <w:rFonts w:hint="eastAsia" w:ascii="Times New Roman" w:hAnsi="Times New Roman" w:eastAsia="黑体"/>
          <w:bCs/>
          <w:sz w:val="32"/>
          <w:szCs w:val="32"/>
        </w:rPr>
        <w:t xml:space="preserve">第一节  </w:t>
      </w:r>
      <w:r>
        <w:rPr>
          <w:rFonts w:ascii="Times New Roman" w:hAnsi="Times New Roman" w:eastAsia="黑体"/>
          <w:bCs/>
          <w:sz w:val="32"/>
          <w:szCs w:val="32"/>
        </w:rPr>
        <w:t>绿色矿山建设</w:t>
      </w:r>
      <w:bookmarkEnd w:id="8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新建露天矿山原则上按照绿色矿山标准建设，不符合标准的不予审批。生产矿山按照绿色矿山要求逐步改造升级，限期达到标准。对不符合绿色矿山标准、治理恢复不到位的矿山企业，依法依规限期整改。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到2030年，全市大型矿山绿色矿山建设比例达到90%，中型矿山绿色矿山建设比例达到80%，小型矿山参照绿色矿山标准加强管理。</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重点任务</w:t>
      </w:r>
      <w:r>
        <w:rPr>
          <w:rFonts w:hint="eastAsia" w:ascii="仿宋_GB2312" w:hAnsi="仿宋_GB2312" w:eastAsia="仿宋_GB2312" w:cs="仿宋_GB2312"/>
          <w:sz w:val="32"/>
          <w:szCs w:val="32"/>
        </w:rPr>
        <w:t>：1、栾川、嵩县、洛宁等县区大中型露天矿山，逐矿建立绿色矿山建设台账，明确改造时限和责任人，重点改造开采工艺、完善粉尘和废水处理设施、建设矿区在线监测系统。2、伊川、宜阳、汝阳等县区小型露天矿山，重点整治开采不规范、治理不到位、监测不健全等问题，通过“双随机、一公开”等方式严格监管。3、新建露天矿山实行绿色矿山标准前置审查，从源头上杜绝低水平重复建设。4、推动矿山企业采用合理的开采顺序、方法和选矿工艺，开采回采率、选矿回收率、综合利用率符合方案设计要求，鼓励对废水、废料、废石、尾矿进行综合利用。</w:t>
      </w:r>
    </w:p>
    <w:p>
      <w:pPr>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81" w:name="_Toc240990660"/>
      <w:r>
        <w:rPr>
          <w:rFonts w:hint="eastAsia" w:ascii="Times New Roman" w:hAnsi="Times New Roman" w:eastAsia="黑体"/>
          <w:bCs/>
          <w:sz w:val="32"/>
          <w:szCs w:val="32"/>
        </w:rPr>
        <w:t xml:space="preserve">第二节  </w:t>
      </w:r>
      <w:r>
        <w:rPr>
          <w:rFonts w:ascii="Times New Roman" w:hAnsi="Times New Roman" w:eastAsia="黑体"/>
          <w:bCs/>
          <w:sz w:val="32"/>
          <w:szCs w:val="32"/>
        </w:rPr>
        <w:t>生产矿山全过程监管</w:t>
      </w:r>
      <w:bookmarkEnd w:id="81"/>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矿产资源集中开采区为重点，对生产矿山开采实施全过程管理，实行边开采边治理。露天矿山企业应当编制矿区生态修复方案，报有批准权的自然资源主管部门批准，在开采过程中严格按照方案进行开采、治理与恢复。扩大开采规模、变更矿区范围或者开采方式的，应当重新编制方案并按程序报批。</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露天矿山建设项目应当依法进行环境影响评价，建设过程中同步实施环境影响评价文件及审批意见中提出的环境保护措施。开采矿产资源应当按照有关技术规范、规程采取相应措施，同步开展污染防治、地质灾害防治、水土保持、风险防范等综合治理。</w:t>
      </w:r>
    </w:p>
    <w:p>
      <w:pPr>
        <w:pageBreakBefore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重点任务</w:t>
      </w:r>
      <w:r>
        <w:rPr>
          <w:rFonts w:hint="eastAsia" w:ascii="仿宋_GB2312" w:hAnsi="仿宋_GB2312" w:eastAsia="仿宋_GB2312" w:cs="仿宋_GB2312"/>
          <w:sz w:val="32"/>
          <w:szCs w:val="32"/>
        </w:rPr>
        <w:t>：1、推进有条件的县区整合运用卫星遥感、无人机、视频智能化分析、电子界桩等手段，运用测绘地理信息技术开展三维建模，打造“天上看、空中拍、地上查、云端管”的立体监管网络。2、依托洛阳市自然资源和规划局现有信息化平台，逐步将露天矿山监管纳入全市国土空间规划“一张图”实施监督信息系统。3、对嵩县、栾川、洛宁、新安、宜阳、伊川等露天矿山集中区域，实行重点监控、动态巡查。4、对生产矿山分区域分阶段采取植被恢复、土地复垦等措施，同步开展生态修复，严禁借生态修复、地质灾害防治、消除安全隐患等名义非法采矿。</w:t>
      </w:r>
    </w:p>
    <w:p>
      <w:pPr>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82" w:name="_Toc240990661"/>
      <w:r>
        <w:rPr>
          <w:rFonts w:hint="eastAsia" w:ascii="Times New Roman" w:hAnsi="Times New Roman" w:eastAsia="黑体"/>
          <w:bCs/>
          <w:sz w:val="32"/>
          <w:szCs w:val="32"/>
        </w:rPr>
        <w:t xml:space="preserve">第三节  </w:t>
      </w:r>
      <w:r>
        <w:rPr>
          <w:rFonts w:ascii="Times New Roman" w:hAnsi="Times New Roman" w:eastAsia="黑体"/>
          <w:bCs/>
          <w:sz w:val="32"/>
          <w:szCs w:val="32"/>
        </w:rPr>
        <w:t>历史遗留矿山生态修复</w:t>
      </w:r>
      <w:bookmarkEnd w:id="82"/>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主体灭失的历史遗留露天矿山，由所在地县级人民政府按照规定组织生态修复。对通过注销等手段逃避生态修复责任的，依法由法定代表人、股东、实际控制人等承担修复责任。未取得采矿许可证露天开采矿产资源的，由非法开采责任人承担生态修复责任。</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十五五”期间，全市力争历史遗留废弃矿山修复台账实现应治尽治目标。修复工程优先消除矿山地质安全隐患，完成危岩体清除、边坡整治、采坑回填、挡渣墙、排水渠等工程；实施土壤重构，采取客土回填、土壤改良、有机肥施用等措施恢复土壤功能；开展植被重建，优先选用侧柏、油松、五角枫、黄栌、刺槐、连翘等乡土树种，以乔灌草结合方式恢复植被，修复后植被覆盖率不低于当地同类土地植被覆盖率。修复后的土地，宜耕则耕、宜林则林、宜草则草，具备条件的复垦为耕地或林地草地。</w:t>
      </w:r>
    </w:p>
    <w:p>
      <w:pPr>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重点任务</w:t>
      </w:r>
      <w:r>
        <w:rPr>
          <w:rFonts w:hint="eastAsia" w:ascii="仿宋_GB2312" w:hAnsi="仿宋_GB2312" w:eastAsia="仿宋_GB2312" w:cs="仿宋_GB2312"/>
          <w:sz w:val="32"/>
          <w:szCs w:val="32"/>
        </w:rPr>
        <w:t>：1、以偃师区、伊川县、宜阳县、嵩县、新安县、栾川县等县区历史遗留废弃矿山为重点，</w:t>
      </w:r>
      <w:r>
        <w:rPr>
          <w:rFonts w:hint="eastAsia" w:ascii="仿宋_GB2312" w:hAnsi="仿宋_GB2312" w:eastAsia="仿宋_GB2312" w:cs="仿宋_GB2312"/>
          <w:sz w:val="32"/>
          <w:szCs w:val="32"/>
          <w:lang w:eastAsia="zh-CN"/>
        </w:rPr>
        <w:t>科学合理</w:t>
      </w:r>
      <w:r>
        <w:rPr>
          <w:rFonts w:hint="eastAsia" w:ascii="仿宋_GB2312" w:hAnsi="仿宋_GB2312" w:eastAsia="仿宋_GB2312" w:cs="仿宋_GB2312"/>
          <w:sz w:val="32"/>
          <w:szCs w:val="32"/>
        </w:rPr>
        <w:t>制定修复方案，明确修复方式、修复时限和责任主体。2、推进老灌河源头区矿山生态修复工程，治理历史遗留废弃矿山图斑2个、受损山体图斑19个，消除地质安全隐患，实施土壤重构和植被重建，恢复矿山生态功能。3、对老灌河源头区等丹江口库区山水工程涉及区域，按照省级工程管理要求，同步推进勘查设计、施工招标和建设工作4、对修复后的土地，依法依规确定地类，宜耕则耕、宜林则林、宜草则草，具备条件的复垦为耕地或林地草地。5、建立历史遗留矿山修复台账销号制度，修复完成一处、验收一处、销号一处，确保“十五五”期末实现应治尽治目标。</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具体修复工程详见第五章专栏2、专栏4、专栏5相关项目。</w:t>
      </w:r>
    </w:p>
    <w:p>
      <w:pPr>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83" w:name="_Toc240990662"/>
      <w:r>
        <w:rPr>
          <w:rFonts w:hint="eastAsia" w:ascii="Times New Roman" w:hAnsi="Times New Roman" w:eastAsia="黑体"/>
          <w:bCs/>
          <w:sz w:val="32"/>
          <w:szCs w:val="32"/>
        </w:rPr>
        <w:t xml:space="preserve">第四节  </w:t>
      </w:r>
      <w:r>
        <w:rPr>
          <w:rFonts w:ascii="Times New Roman" w:hAnsi="Times New Roman" w:eastAsia="黑体"/>
          <w:bCs/>
          <w:sz w:val="32"/>
          <w:szCs w:val="32"/>
        </w:rPr>
        <w:t>矿山空间复合利用</w:t>
      </w:r>
      <w:bookmarkEnd w:id="83"/>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对修复后的矿山土地，依法依规推进空间复合利用，宜农则农、宜林则林、宜建则建，实现生态效益、经济效益和社会效益统一。</w:t>
      </w:r>
    </w:p>
    <w:p>
      <w:pPr>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重点任务：</w:t>
      </w:r>
      <w:r>
        <w:rPr>
          <w:rFonts w:hint="eastAsia" w:ascii="仿宋_GB2312" w:hAnsi="仿宋_GB2312" w:eastAsia="仿宋_GB2312" w:cs="仿宋_GB2312"/>
          <w:sz w:val="32"/>
          <w:szCs w:val="32"/>
        </w:rPr>
        <w:t>1、在栾川、嵩县、新安等县区，结合历史遗留矿山修复，探索“矿山+生态研学”模式，依托伏牛山世界地质公园、矿山遗迹等资源，建设矿山生态研学基地。2、在伊川、宜阳等县区，结合矿山修复，探索“矿山+光伏”“矿山+田园综合体”模式，推进修复后土地综合利用。3、在偃师、宜阳等县区，结合矿山整合重组，引导大型矿山企业兼并重组中小型矿山，统一开采规划、生产系统和安全管理，有效整合小、散、乱露天矿山，提高矿产资源开发利用集约化水平。4、鼓励大型矿山企业兼并重组和整合技改中小型非煤矿山企业，推动矿产资源开发向规模化、集约化、绿色化方向发展。</w:t>
      </w:r>
    </w:p>
    <w:p>
      <w:pPr>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84" w:name="_Toc240990663"/>
      <w:r>
        <w:rPr>
          <w:rFonts w:hint="eastAsia" w:ascii="Times New Roman" w:hAnsi="Times New Roman" w:eastAsia="黑体"/>
          <w:bCs/>
          <w:sz w:val="32"/>
          <w:szCs w:val="32"/>
        </w:rPr>
        <w:t xml:space="preserve">第五节  </w:t>
      </w:r>
      <w:r>
        <w:rPr>
          <w:rFonts w:ascii="Times New Roman" w:hAnsi="Times New Roman" w:eastAsia="黑体"/>
          <w:bCs/>
          <w:sz w:val="32"/>
          <w:szCs w:val="32"/>
        </w:rPr>
        <w:t>修复责任与资金保障</w:t>
      </w:r>
      <w:bookmarkEnd w:id="84"/>
    </w:p>
    <w:p>
      <w:pPr>
        <w:pStyle w:val="4"/>
        <w:pageBreakBefore w:val="0"/>
        <w:kinsoku/>
        <w:wordWrap/>
        <w:overflowPunct/>
        <w:topLinePunct w:val="0"/>
        <w:autoSpaceDE/>
        <w:autoSpaceDN/>
        <w:bidi w:val="0"/>
        <w:adjustRightInd/>
        <w:snapToGrid/>
        <w:spacing w:before="0" w:after="0" w:line="600" w:lineRule="exact"/>
        <w:ind w:firstLine="640" w:firstLineChars="200"/>
        <w:textAlignment w:val="auto"/>
        <w:rPr>
          <w:rFonts w:hint="eastAsia" w:ascii="楷体" w:hAnsi="楷体" w:eastAsia="楷体" w:cs="楷体"/>
          <w:b w:val="0"/>
          <w:bCs w:val="0"/>
        </w:rPr>
      </w:pPr>
      <w:r>
        <w:rPr>
          <w:rFonts w:hint="eastAsia" w:ascii="楷体" w:hAnsi="楷体" w:eastAsia="楷体" w:cs="楷体"/>
          <w:b w:val="0"/>
          <w:bCs w:val="0"/>
        </w:rPr>
        <w:t>一、明确修复责任</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在建、已建露天矿山企业履行露天矿山综合治理义务，承担露天矿山生态修复责任。有责任主体的废弃露天矿山由责任主体依法承担生态修复责任。责任主体灭失的历史遗留露天矿山，由所在地县级人民政府按照规定组织生态修复。</w:t>
      </w:r>
    </w:p>
    <w:p>
      <w:pPr>
        <w:pStyle w:val="4"/>
        <w:pageBreakBefore w:val="0"/>
        <w:kinsoku/>
        <w:wordWrap/>
        <w:overflowPunct/>
        <w:topLinePunct w:val="0"/>
        <w:autoSpaceDE/>
        <w:autoSpaceDN/>
        <w:bidi w:val="0"/>
        <w:adjustRightInd/>
        <w:snapToGrid/>
        <w:spacing w:before="0" w:after="0" w:line="600" w:lineRule="exact"/>
        <w:ind w:firstLine="640" w:firstLineChars="200"/>
        <w:textAlignment w:val="auto"/>
        <w:rPr>
          <w:rFonts w:hint="eastAsia" w:ascii="楷体" w:hAnsi="楷体" w:eastAsia="楷体"/>
          <w:b w:val="0"/>
          <w:bCs w:val="0"/>
        </w:rPr>
      </w:pPr>
      <w:r>
        <w:rPr>
          <w:rFonts w:hint="eastAsia" w:ascii="楷体" w:hAnsi="楷体" w:eastAsia="楷体"/>
          <w:b w:val="0"/>
          <w:bCs w:val="0"/>
        </w:rPr>
        <w:t>二、</w:t>
      </w:r>
      <w:r>
        <w:rPr>
          <w:rFonts w:ascii="楷体" w:hAnsi="楷体" w:eastAsia="楷体"/>
          <w:b w:val="0"/>
          <w:bCs w:val="0"/>
        </w:rPr>
        <w:t>落实修复费用制度</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露天矿山企业应当按照国家规定设立矿区生态修复费用专用账户，提取矿区生态修复费用，专门用于矿区生态修复。县级以上人民政府应当按照财政事权和支出责任相适应原则，将历史遗留露天矿山生态修复所需经费纳入本级政府财政预算。</w:t>
      </w:r>
    </w:p>
    <w:p>
      <w:pPr>
        <w:pStyle w:val="4"/>
        <w:pageBreakBefore w:val="0"/>
        <w:kinsoku/>
        <w:wordWrap/>
        <w:overflowPunct/>
        <w:topLinePunct w:val="0"/>
        <w:autoSpaceDE/>
        <w:autoSpaceDN/>
        <w:bidi w:val="0"/>
        <w:adjustRightInd/>
        <w:snapToGrid/>
        <w:spacing w:before="0" w:after="0" w:line="600" w:lineRule="exact"/>
        <w:ind w:firstLine="640" w:firstLineChars="200"/>
        <w:textAlignment w:val="auto"/>
        <w:rPr>
          <w:rFonts w:hint="eastAsia" w:ascii="楷体" w:hAnsi="楷体" w:eastAsia="楷体"/>
          <w:b w:val="0"/>
          <w:bCs w:val="0"/>
        </w:rPr>
      </w:pPr>
      <w:r>
        <w:rPr>
          <w:rFonts w:hint="eastAsia" w:ascii="楷体" w:hAnsi="楷体" w:eastAsia="楷体"/>
          <w:b w:val="0"/>
          <w:bCs w:val="0"/>
        </w:rPr>
        <w:t>三、</w:t>
      </w:r>
      <w:r>
        <w:rPr>
          <w:rFonts w:ascii="楷体" w:hAnsi="楷体" w:eastAsia="楷体"/>
          <w:b w:val="0"/>
          <w:bCs w:val="0"/>
        </w:rPr>
        <w:t>引导社会资本参与</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谁投资、谁受益，谁修复、谁受益的原则，采用激励、补偿、奖励等方式引导社会资本开展历史遗留露天矿山生态修复。探索“生态修复+产业导入”模式，在修复后的土地上依法依规发展生态农业、生态旅游、光伏发电等产业，实现修复成本与收益的良性循环。</w:t>
      </w:r>
    </w:p>
    <w:p>
      <w:pPr>
        <w:pStyle w:val="4"/>
        <w:pageBreakBefore w:val="0"/>
        <w:kinsoku/>
        <w:wordWrap/>
        <w:overflowPunct/>
        <w:topLinePunct w:val="0"/>
        <w:autoSpaceDE/>
        <w:autoSpaceDN/>
        <w:bidi w:val="0"/>
        <w:adjustRightInd/>
        <w:snapToGrid/>
        <w:spacing w:before="0" w:after="0" w:line="600" w:lineRule="exact"/>
        <w:ind w:firstLine="640" w:firstLineChars="200"/>
        <w:textAlignment w:val="auto"/>
        <w:rPr>
          <w:rFonts w:hint="eastAsia" w:ascii="楷体" w:hAnsi="楷体" w:eastAsia="楷体"/>
          <w:b w:val="0"/>
          <w:bCs w:val="0"/>
        </w:rPr>
      </w:pPr>
      <w:r>
        <w:rPr>
          <w:rFonts w:hint="eastAsia" w:ascii="楷体" w:hAnsi="楷体" w:eastAsia="楷体"/>
          <w:b w:val="0"/>
          <w:bCs w:val="0"/>
        </w:rPr>
        <w:t>四、</w:t>
      </w:r>
      <w:r>
        <w:rPr>
          <w:rFonts w:ascii="楷体" w:hAnsi="楷体" w:eastAsia="楷体"/>
          <w:b w:val="0"/>
          <w:bCs w:val="0"/>
        </w:rPr>
        <w:t>强化执法监管</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查处无证开采、越界开采、以修复名义非法采矿等违法行为。对治理恢复不到位的矿山企业，依法依规限期整改，整改不到位的依法予以关停。将露天矿山综合治理和生态修复纳入自然资源领域年度考核，对工作不力的县区进行约谈问责。</w:t>
      </w:r>
    </w:p>
    <w:p>
      <w:pPr>
        <w:pStyle w:val="4"/>
        <w:pageBreakBefore w:val="0"/>
        <w:kinsoku/>
        <w:wordWrap/>
        <w:overflowPunct/>
        <w:topLinePunct w:val="0"/>
        <w:autoSpaceDE/>
        <w:autoSpaceDN/>
        <w:bidi w:val="0"/>
        <w:adjustRightInd/>
        <w:snapToGrid/>
        <w:spacing w:before="0" w:after="0" w:line="600" w:lineRule="exact"/>
        <w:ind w:firstLine="640" w:firstLineChars="200"/>
        <w:textAlignment w:val="auto"/>
        <w:rPr>
          <w:rFonts w:hint="eastAsia" w:ascii="楷体" w:hAnsi="楷体" w:eastAsia="楷体"/>
          <w:b w:val="0"/>
          <w:bCs w:val="0"/>
        </w:rPr>
      </w:pPr>
      <w:r>
        <w:rPr>
          <w:rFonts w:hint="eastAsia" w:ascii="楷体" w:hAnsi="楷体" w:eastAsia="楷体"/>
          <w:b w:val="0"/>
          <w:bCs w:val="0"/>
        </w:rPr>
        <w:t>五、</w:t>
      </w:r>
      <w:r>
        <w:rPr>
          <w:rFonts w:ascii="楷体" w:hAnsi="楷体" w:eastAsia="楷体"/>
          <w:b w:val="0"/>
          <w:bCs w:val="0"/>
        </w:rPr>
        <w:t>完善监测评估</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露天矿山生态修复监测评估体系，对修复工程实施前后生态效益进行对比监测。定期开展矿山生态修复成效评估，及时调整优化修复措施。对修复后的土地，持续跟踪植被覆盖率、土壤质量、地质安全等指标，确保修复成效稳定可持续。</w:t>
      </w:r>
    </w:p>
    <w:p>
      <w:pPr>
        <w:pStyle w:val="10"/>
        <w:ind w:left="0"/>
        <w:jc w:val="center"/>
        <w:rPr>
          <w:b/>
          <w:bCs/>
          <w:sz w:val="28"/>
          <w:szCs w:val="28"/>
        </w:rPr>
      </w:pPr>
      <w:r>
        <w:rPr>
          <w:b/>
          <w:bCs/>
          <w:sz w:val="28"/>
          <w:szCs w:val="28"/>
        </w:rPr>
        <w:t>专栏</w:t>
      </w:r>
      <w:r>
        <w:rPr>
          <w:rFonts w:hint="eastAsia"/>
          <w:b/>
          <w:bCs/>
          <w:sz w:val="28"/>
          <w:szCs w:val="28"/>
        </w:rPr>
        <w:t>7</w:t>
      </w:r>
      <w:r>
        <w:rPr>
          <w:b/>
          <w:bCs/>
          <w:sz w:val="28"/>
          <w:szCs w:val="28"/>
        </w:rPr>
        <w:t xml:space="preserve"> 露天矿山综合治理重点任务</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276"/>
        <w:gridCol w:w="3402"/>
        <w:gridCol w:w="1318"/>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1276"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任务类型</w:t>
            </w:r>
          </w:p>
        </w:tc>
        <w:tc>
          <w:tcPr>
            <w:tcW w:w="3402"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主要内容</w:t>
            </w:r>
          </w:p>
        </w:tc>
        <w:tc>
          <w:tcPr>
            <w:tcW w:w="1318"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责任主体</w:t>
            </w:r>
          </w:p>
        </w:tc>
        <w:tc>
          <w:tcPr>
            <w:tcW w:w="1704"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时间安排（年）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1</w:t>
            </w:r>
          </w:p>
        </w:tc>
        <w:tc>
          <w:tcPr>
            <w:tcW w:w="1276"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绿色矿山建设</w:t>
            </w:r>
          </w:p>
        </w:tc>
        <w:tc>
          <w:tcPr>
            <w:tcW w:w="3402"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大中型矿山逐矿建立绿色矿山建设台账，明确改造时限和责任人；小型矿山参照绿色矿山标准加强管理，通过“双随机、一公开”严格监管；新建露天矿山实行绿色矿山标准前置审查。</w:t>
            </w:r>
          </w:p>
        </w:tc>
        <w:tc>
          <w:tcPr>
            <w:tcW w:w="1318"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市自然资源和规划局，相关县区政府</w:t>
            </w:r>
          </w:p>
        </w:tc>
        <w:tc>
          <w:tcPr>
            <w:tcW w:w="1704"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2</w:t>
            </w:r>
          </w:p>
        </w:tc>
        <w:tc>
          <w:tcPr>
            <w:tcW w:w="1276"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生产矿山全过程监管</w:t>
            </w:r>
          </w:p>
        </w:tc>
        <w:tc>
          <w:tcPr>
            <w:tcW w:w="3402"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推行卫星遥感、无人机、视频智能化分析、电子界桩等立体监管手段，纳入国土空间规划“一张图”实施监督信息系统；对露天矿山集中区域实行重点监控、动态巡查。</w:t>
            </w:r>
          </w:p>
        </w:tc>
        <w:tc>
          <w:tcPr>
            <w:tcW w:w="1318"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市自然资源和规划局，相关县区政府</w:t>
            </w:r>
          </w:p>
        </w:tc>
        <w:tc>
          <w:tcPr>
            <w:tcW w:w="1704"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7"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3</w:t>
            </w:r>
          </w:p>
        </w:tc>
        <w:tc>
          <w:tcPr>
            <w:tcW w:w="1276"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历史遗留矿山生态修复</w:t>
            </w:r>
          </w:p>
        </w:tc>
        <w:tc>
          <w:tcPr>
            <w:tcW w:w="3402"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以偃师区、伊川县、宜阳县、嵩县、新安县、栾川县等县区为重点，</w:t>
            </w:r>
            <w:r>
              <w:rPr>
                <w:rFonts w:hint="eastAsia" w:ascii="仿宋_GB2312" w:hAnsi="仿宋_GB2312" w:eastAsia="仿宋_GB2312" w:cs="仿宋_GB2312"/>
                <w:sz w:val="24"/>
                <w:szCs w:val="24"/>
                <w:lang w:eastAsia="zh-CN"/>
              </w:rPr>
              <w:t>科学合理</w:t>
            </w:r>
            <w:r>
              <w:rPr>
                <w:rFonts w:hint="eastAsia" w:ascii="仿宋_GB2312" w:hAnsi="仿宋_GB2312" w:eastAsia="仿宋_GB2312" w:cs="仿宋_GB2312"/>
                <w:sz w:val="24"/>
                <w:szCs w:val="24"/>
              </w:rPr>
              <w:t>制定修复方案，建立修复台账销号制度，确保“十五五”期末实现应治尽治目标；老灌河源头区按省级山水工程管理要求推进。</w:t>
            </w:r>
          </w:p>
        </w:tc>
        <w:tc>
          <w:tcPr>
            <w:tcW w:w="1318"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相关县区政府，市自然资源和规划局</w:t>
            </w:r>
          </w:p>
        </w:tc>
        <w:tc>
          <w:tcPr>
            <w:tcW w:w="1704"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4</w:t>
            </w:r>
          </w:p>
        </w:tc>
        <w:tc>
          <w:tcPr>
            <w:tcW w:w="1276"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矿山空间复合利用</w:t>
            </w:r>
          </w:p>
        </w:tc>
        <w:tc>
          <w:tcPr>
            <w:tcW w:w="3402"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探索“矿山+生态研学”“矿山+光伏”“矿山+田园综合体”等模式，推进修复后土地综合利用；引导大型矿山企业兼并重组中小型矿山。</w:t>
            </w:r>
          </w:p>
        </w:tc>
        <w:tc>
          <w:tcPr>
            <w:tcW w:w="1318"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相关县区政府，市自然资源和规划局</w:t>
            </w:r>
          </w:p>
        </w:tc>
        <w:tc>
          <w:tcPr>
            <w:tcW w:w="1704"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5</w:t>
            </w:r>
          </w:p>
        </w:tc>
        <w:tc>
          <w:tcPr>
            <w:tcW w:w="1276"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修复责任与资金保障</w:t>
            </w:r>
          </w:p>
        </w:tc>
        <w:tc>
          <w:tcPr>
            <w:tcW w:w="3402"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落实矿区生态修复费用专用账户制度，将历史遗留矿山修复经费纳入财政预算；引导社会资本参与，探索“生态修复+产业导入”模式；强化执法监管和监测评估。</w:t>
            </w:r>
          </w:p>
        </w:tc>
        <w:tc>
          <w:tcPr>
            <w:tcW w:w="1318"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相关县区政府</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市财政局</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市自然资源和规划局</w:t>
            </w:r>
          </w:p>
        </w:tc>
        <w:tc>
          <w:tcPr>
            <w:tcW w:w="1704" w:type="dxa"/>
            <w:vAlign w:val="center"/>
          </w:tcPr>
          <w:p>
            <w:pPr>
              <w:widowControl w:val="0"/>
              <w:spacing w:line="360"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2026—2030</w:t>
            </w:r>
          </w:p>
        </w:tc>
      </w:tr>
    </w:tbl>
    <w:p>
      <w:pPr>
        <w:widowControl w:val="0"/>
        <w:spacing w:line="360" w:lineRule="auto"/>
        <w:rPr>
          <w:rFonts w:hint="eastAsia" w:ascii="仿宋" w:hAnsi="仿宋" w:eastAsia="仿宋"/>
          <w:b/>
          <w:bCs/>
          <w:sz w:val="32"/>
          <w:szCs w:val="32"/>
        </w:rPr>
      </w:pPr>
    </w:p>
    <w:p>
      <w:pPr>
        <w:widowControl w:val="0"/>
        <w:spacing w:line="360" w:lineRule="auto"/>
        <w:ind w:firstLine="640" w:firstLineChars="200"/>
        <w:rPr>
          <w:rFonts w:hint="eastAsia" w:ascii="仿宋" w:hAnsi="仿宋" w:eastAsia="仿宋"/>
          <w:sz w:val="32"/>
          <w:szCs w:val="32"/>
        </w:rPr>
      </w:pPr>
    </w:p>
    <w:p>
      <w:pPr>
        <w:widowControl w:val="0"/>
        <w:spacing w:line="360" w:lineRule="auto"/>
        <w:ind w:firstLine="642" w:firstLineChars="200"/>
        <w:rPr>
          <w:rFonts w:hint="eastAsia" w:ascii="仿宋" w:hAnsi="仿宋" w:eastAsia="仿宋"/>
          <w:b/>
          <w:bCs/>
          <w:sz w:val="32"/>
          <w:szCs w:val="32"/>
        </w:rPr>
      </w:pPr>
    </w:p>
    <w:bookmarkEnd w:id="66"/>
    <w:bookmarkEnd w:id="67"/>
    <w:bookmarkEnd w:id="68"/>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br w:type="page"/>
      </w:r>
    </w:p>
    <w:p>
      <w:pPr>
        <w:pageBreakBefore/>
        <w:widowControl w:val="0"/>
        <w:spacing w:before="156" w:beforeLines="50" w:after="156" w:afterLines="50"/>
        <w:jc w:val="center"/>
        <w:outlineLvl w:val="0"/>
        <w:rPr>
          <w:rFonts w:hint="eastAsia" w:ascii="方正小标宋简体" w:hAnsi="方正小标宋简体" w:eastAsia="方正小标宋简体" w:cs="方正小标宋简体"/>
          <w:bCs/>
          <w:sz w:val="36"/>
          <w:szCs w:val="36"/>
        </w:rPr>
      </w:pPr>
      <w:bookmarkStart w:id="85" w:name="_Toc43711809"/>
      <w:bookmarkStart w:id="86" w:name="_Toc86332838"/>
      <w:bookmarkStart w:id="87" w:name="_Toc107822633"/>
      <w:bookmarkStart w:id="88" w:name="_Toc240990664"/>
      <w:r>
        <w:rPr>
          <w:rFonts w:ascii="方正小标宋简体" w:hAnsi="方正小标宋简体" w:eastAsia="方正小标宋简体" w:cs="方正小标宋简体"/>
          <w:bCs/>
          <w:sz w:val="36"/>
          <w:szCs w:val="36"/>
        </w:rPr>
        <w:t>第</w:t>
      </w:r>
      <w:r>
        <w:rPr>
          <w:rFonts w:hint="eastAsia" w:ascii="方正小标宋简体" w:hAnsi="方正小标宋简体" w:eastAsia="方正小标宋简体" w:cs="方正小标宋简体"/>
          <w:bCs/>
          <w:sz w:val="36"/>
          <w:szCs w:val="36"/>
        </w:rPr>
        <w:t>八</w:t>
      </w:r>
      <w:r>
        <w:rPr>
          <w:rFonts w:ascii="方正小标宋简体" w:hAnsi="方正小标宋简体" w:eastAsia="方正小标宋简体" w:cs="方正小标宋简体"/>
          <w:bCs/>
          <w:sz w:val="36"/>
          <w:szCs w:val="36"/>
        </w:rPr>
        <w:t>章</w:t>
      </w:r>
      <w:r>
        <w:rPr>
          <w:rFonts w:hint="eastAsia" w:ascii="方正小标宋简体" w:hAnsi="方正小标宋简体" w:eastAsia="方正小标宋简体" w:cs="方正小标宋简体"/>
          <w:bCs/>
          <w:sz w:val="36"/>
          <w:szCs w:val="36"/>
        </w:rPr>
        <w:t xml:space="preserve"> </w:t>
      </w:r>
      <w:bookmarkEnd w:id="85"/>
      <w:r>
        <w:rPr>
          <w:rFonts w:hint="eastAsia" w:ascii="方正小标宋简体" w:hAnsi="方正小标宋简体" w:eastAsia="方正小标宋简体" w:cs="方正小标宋简体"/>
          <w:bCs/>
          <w:sz w:val="36"/>
          <w:szCs w:val="36"/>
        </w:rPr>
        <w:t xml:space="preserve"> 资金测算</w:t>
      </w:r>
      <w:bookmarkEnd w:id="86"/>
      <w:bookmarkEnd w:id="87"/>
      <w:bookmarkEnd w:id="88"/>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89" w:name="_Toc240990665"/>
      <w:bookmarkStart w:id="90" w:name="_Toc107822635"/>
      <w:bookmarkStart w:id="91" w:name="_Toc86332840"/>
      <w:r>
        <w:rPr>
          <w:rFonts w:hint="eastAsia" w:ascii="Times New Roman" w:hAnsi="Times New Roman" w:eastAsia="黑体"/>
          <w:bCs/>
          <w:sz w:val="32"/>
          <w:szCs w:val="32"/>
        </w:rPr>
        <w:t>第一</w:t>
      </w:r>
      <w:r>
        <w:rPr>
          <w:rFonts w:ascii="Times New Roman" w:hAnsi="Times New Roman" w:eastAsia="黑体"/>
          <w:bCs/>
          <w:sz w:val="32"/>
          <w:szCs w:val="32"/>
        </w:rPr>
        <w:t xml:space="preserve">节 </w:t>
      </w:r>
      <w:r>
        <w:rPr>
          <w:rFonts w:hint="eastAsia" w:ascii="Times New Roman" w:hAnsi="Times New Roman" w:eastAsia="黑体"/>
          <w:bCs/>
          <w:sz w:val="32"/>
          <w:szCs w:val="32"/>
        </w:rPr>
        <w:t xml:space="preserve"> 投资测算</w:t>
      </w:r>
      <w:bookmarkEnd w:id="89"/>
      <w:bookmarkEnd w:id="90"/>
      <w:bookmarkEnd w:id="9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按“四区、四廊、一带、多斑块、多网络”三类空间，重点部署项目28个，估算总投资376502.92万元。其中地质灾害类项目1个，总投资3600万元；污染治理类项目1个，总投资6594万元；水生态修复类项目1个，总投资2844万元；历史遗留废弃矿山生态修复类项目2个，总投资3492.46万元；林业类项目10个，总投资117045万元；湿地保护类项目4个，总投资4000万元；水环境综合治理类项目1个，总投资143200万元；水土流失治理类项目3个，总投资95727.46万元。</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92" w:name="_Toc86332841"/>
      <w:bookmarkStart w:id="93" w:name="_Toc240990666"/>
      <w:bookmarkStart w:id="94" w:name="_Toc107822636"/>
      <w:r>
        <w:rPr>
          <w:rFonts w:hint="eastAsia" w:ascii="Times New Roman" w:hAnsi="Times New Roman" w:eastAsia="黑体"/>
          <w:bCs/>
          <w:sz w:val="32"/>
          <w:szCs w:val="32"/>
        </w:rPr>
        <w:t>第二</w:t>
      </w:r>
      <w:r>
        <w:rPr>
          <w:rFonts w:ascii="Times New Roman" w:hAnsi="Times New Roman" w:eastAsia="黑体"/>
          <w:bCs/>
          <w:sz w:val="32"/>
          <w:szCs w:val="32"/>
        </w:rPr>
        <w:t xml:space="preserve">节 </w:t>
      </w:r>
      <w:r>
        <w:rPr>
          <w:rFonts w:hint="eastAsia" w:ascii="Times New Roman" w:hAnsi="Times New Roman" w:eastAsia="黑体"/>
          <w:bCs/>
          <w:sz w:val="32"/>
          <w:szCs w:val="32"/>
        </w:rPr>
        <w:t xml:space="preserve"> 资金筹措</w:t>
      </w:r>
      <w:bookmarkEnd w:id="92"/>
      <w:bookmarkEnd w:id="93"/>
      <w:bookmarkEnd w:id="94"/>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r>
        <w:rPr>
          <w:rFonts w:hint="eastAsia" w:ascii="仿宋_GB2312" w:hAnsi="仿宋_GB2312" w:eastAsia="仿宋_GB2312" w:cs="仿宋_GB2312"/>
          <w:sz w:val="32"/>
          <w:szCs w:val="32"/>
        </w:rPr>
        <w:t>安排的28项重点工程，资金筹措采取中央、省财政、地方财政投入和企业自筹相结合方式筹集。资金投入以财政投入为主，地方配套和企业自筹为辅，建立政府引导、市场推动、社会参与的多元投入机制，鼓励和引导社会资金参与洛阳市国土空间生态修复。在财政投资、生态保护和修复、生态补偿、保护管理等方面制定相应的配套政策，支持生态保护修复建设。同时对资金投入进行科学核算、总体安排，加强对资金使用绩效评价和项目后续管理，提高各类资金的使用效益，确保达到预期规划目标。</w:t>
      </w:r>
      <w:r>
        <w:rPr>
          <w:rFonts w:hint="eastAsia"/>
        </w:rPr>
        <w:br w:type="page"/>
      </w:r>
    </w:p>
    <w:p>
      <w:pPr>
        <w:pageBreakBefore/>
        <w:widowControl w:val="0"/>
        <w:spacing w:before="156" w:beforeLines="50" w:after="156" w:afterLines="50"/>
        <w:jc w:val="center"/>
        <w:outlineLvl w:val="0"/>
        <w:rPr>
          <w:rFonts w:hint="eastAsia" w:ascii="方正小标宋简体" w:hAnsi="方正小标宋简体" w:eastAsia="方正小标宋简体" w:cs="方正小标宋简体"/>
          <w:bCs/>
          <w:sz w:val="36"/>
          <w:szCs w:val="36"/>
        </w:rPr>
      </w:pPr>
      <w:bookmarkStart w:id="95" w:name="_Toc86332842"/>
      <w:bookmarkStart w:id="96" w:name="_Toc240990667"/>
      <w:bookmarkStart w:id="97" w:name="_Toc107822637"/>
      <w:r>
        <w:rPr>
          <w:rFonts w:ascii="方正小标宋简体" w:hAnsi="方正小标宋简体" w:eastAsia="方正小标宋简体" w:cs="方正小标宋简体"/>
          <w:bCs/>
          <w:sz w:val="36"/>
          <w:szCs w:val="36"/>
        </w:rPr>
        <w:t>第</w:t>
      </w:r>
      <w:r>
        <w:rPr>
          <w:rFonts w:hint="eastAsia" w:ascii="方正小标宋简体" w:hAnsi="方正小标宋简体" w:eastAsia="方正小标宋简体" w:cs="方正小标宋简体"/>
          <w:bCs/>
          <w:sz w:val="36"/>
          <w:szCs w:val="36"/>
        </w:rPr>
        <w:t>九</w:t>
      </w:r>
      <w:r>
        <w:rPr>
          <w:rFonts w:ascii="方正小标宋简体" w:hAnsi="方正小标宋简体" w:eastAsia="方正小标宋简体" w:cs="方正小标宋简体"/>
          <w:bCs/>
          <w:sz w:val="36"/>
          <w:szCs w:val="36"/>
        </w:rPr>
        <w:t>章</w:t>
      </w:r>
      <w:r>
        <w:rPr>
          <w:rFonts w:hint="eastAsia" w:ascii="方正小标宋简体" w:hAnsi="方正小标宋简体" w:eastAsia="方正小标宋简体" w:cs="方正小标宋简体"/>
          <w:bCs/>
          <w:sz w:val="36"/>
          <w:szCs w:val="36"/>
        </w:rPr>
        <w:t xml:space="preserve">  综合效益分析</w:t>
      </w:r>
      <w:bookmarkEnd w:id="95"/>
      <w:bookmarkEnd w:id="96"/>
      <w:bookmarkEnd w:id="9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规划立足洛阳市“五山四岭一分川”地貌特征，统筹黄河、淮河、长江三大流域生态禀赋，聚焦生态、农业、城镇三类空间突出生态问题，以2025年为规划基期，规划实施周期为2026～2030年，展望至2035年。规划围绕“四区、四廊、一带、多斑块、多网络”总体生态修复格局，系统布局黄河生态保护带、伊洛河等生态廊道、山地森林保育、矿山综合治理、水土保持、湿地保护修复等一批重大储备工程。通过系统性保护修复，实现生态风险有效化解、生态系统质量稳步提升、生态产品供给持续扩大，统筹实现生态效益、社会效益、经济效益、示范效益协同提升，支撑美丽洛阳建设与中原城市群副中心城市高质量发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98" w:name="_Toc240990668"/>
      <w:r>
        <w:rPr>
          <w:rFonts w:hint="eastAsia" w:ascii="Times New Roman" w:hAnsi="Times New Roman" w:eastAsia="黑体"/>
          <w:bCs/>
          <w:sz w:val="32"/>
          <w:szCs w:val="32"/>
        </w:rPr>
        <w:t>第一</w:t>
      </w:r>
      <w:r>
        <w:rPr>
          <w:rFonts w:ascii="Times New Roman" w:hAnsi="Times New Roman" w:eastAsia="黑体"/>
          <w:bCs/>
          <w:sz w:val="32"/>
          <w:szCs w:val="32"/>
        </w:rPr>
        <w:t xml:space="preserve">节 </w:t>
      </w:r>
      <w:r>
        <w:rPr>
          <w:rFonts w:hint="eastAsia" w:ascii="Times New Roman" w:hAnsi="Times New Roman" w:eastAsia="黑体"/>
          <w:bCs/>
          <w:sz w:val="32"/>
          <w:szCs w:val="32"/>
        </w:rPr>
        <w:t xml:space="preserve"> 生态效益</w:t>
      </w:r>
      <w:bookmarkEnd w:id="98"/>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规划工程实施，全市森林、湿地、河流、农田生态系统稳定性和韧性得到显著增强。实施森林抚育、退化林修复、困难地造林，优化林分结构，提高森林水源涵养、水土保持与碳汇能力；推进湿地保护修复与水系连通，提升黄河湿地、陆浑湖等重要湿地生态功能，维护候鸟迁徙通道，改善野生动植物栖息生境，提升生物多样性保护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持续加大水土流失综合治理力度，重点治理黄土丘陵、南部山区坡耕地与侵蚀沟，全市水土保持率稳步提升，入河入库泥沙得到有效消减。开展历史遗留矿山、尾矿库隐患整治，消除边坡垮塌、重金属渗漏等地质与环境风险，修复受损山体地貌。强化河湖生态流量保障，推进滨水缓冲带建设，改善伊洛河、黄河等流域水生态，降低水环境季节性波动风险。通过生态红线严格管控、自然保护地规范化建设，筑牢豫西黄河中游生态安全屏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99" w:name="_Toc240990669"/>
      <w:r>
        <w:rPr>
          <w:rFonts w:hint="eastAsia" w:ascii="Times New Roman" w:hAnsi="Times New Roman" w:eastAsia="黑体"/>
          <w:bCs/>
          <w:sz w:val="32"/>
          <w:szCs w:val="32"/>
        </w:rPr>
        <w:t>第二</w:t>
      </w:r>
      <w:r>
        <w:rPr>
          <w:rFonts w:ascii="Times New Roman" w:hAnsi="Times New Roman" w:eastAsia="黑体"/>
          <w:bCs/>
          <w:sz w:val="32"/>
          <w:szCs w:val="32"/>
        </w:rPr>
        <w:t xml:space="preserve">节 </w:t>
      </w:r>
      <w:r>
        <w:rPr>
          <w:rFonts w:hint="eastAsia" w:ascii="Times New Roman" w:hAnsi="Times New Roman" w:eastAsia="黑体"/>
          <w:bCs/>
          <w:sz w:val="32"/>
          <w:szCs w:val="32"/>
        </w:rPr>
        <w:t xml:space="preserve"> 社会效益</w:t>
      </w:r>
      <w:bookmarkEnd w:id="9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土空间生态修复成为保障民生、增进群众生态福祉的重要抓手。沿黄、伊洛河等滨水生态空间提质升级，城市公园绿地、城乡绿道网络持续完善，改善城乡人居环境，提升居民生态获得感。矿山地质灾害、尾矿库风险治理，有效保障山区群众生命财产安全，降低地质灾害威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全域土地综合整治，改善农村生产生活条件，提升耕地质量，夯实粮食安全基础。森林乡村、和美乡村建设持续推进，乡村人居环境持续改善。自然保护地、湿地公园、矿山研学基地建设，拓展自然教育科普载体。规划实施带动勘测设计、工程施工、后期管护等岗位，助力山区、丘陵地区群众就近就业。建立跨流域生态联防联治机制，深化市县协同、跨界协同治理，提升全市生态治理体系和治理能力现代化水平。</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ascii="Times New Roman" w:hAnsi="Times New Roman" w:eastAsia="黑体"/>
          <w:bCs/>
          <w:sz w:val="32"/>
          <w:szCs w:val="32"/>
        </w:rPr>
      </w:pPr>
      <w:bookmarkStart w:id="100" w:name="_Toc240990670"/>
      <w:r>
        <w:rPr>
          <w:rFonts w:hint="eastAsia" w:ascii="Times New Roman" w:hAnsi="Times New Roman" w:eastAsia="黑体"/>
          <w:bCs/>
          <w:sz w:val="32"/>
          <w:szCs w:val="32"/>
        </w:rPr>
        <w:t>第三</w:t>
      </w:r>
      <w:r>
        <w:rPr>
          <w:rFonts w:ascii="Times New Roman" w:hAnsi="Times New Roman" w:eastAsia="黑体"/>
          <w:bCs/>
          <w:sz w:val="32"/>
          <w:szCs w:val="32"/>
        </w:rPr>
        <w:t xml:space="preserve">节 </w:t>
      </w:r>
      <w:r>
        <w:rPr>
          <w:rFonts w:hint="eastAsia" w:ascii="Times New Roman" w:hAnsi="Times New Roman" w:eastAsia="黑体"/>
          <w:bCs/>
          <w:sz w:val="32"/>
          <w:szCs w:val="32"/>
        </w:rPr>
        <w:t xml:space="preserve"> 经济效益</w:t>
      </w:r>
      <w:bookmarkEnd w:id="10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生态优势转化为发展优势，打通生态产品价值实现路径。森林、湿地生态系统固碳能力提升，为林业碳汇开发、参与碳交易创造基础条件。矿山修复后土地因地制宜发展生态农业、生态旅游、研学体验，拓展绿色产业空间；尾矿、废石资源化综合利用，提高矿产固废利用效益，降低固废处置压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域土地综合整治盘活低效农村建设用地，释放土地利用效益，带动林下经济、乡村文旅、康养产业发展。黄河、伊洛河生态环境改善赋能文旅产业提质升级。落实生态补偿、社会资本参与修复政策，引导多元资本投入生态治理，降低政府财政单一投入压力，实现“保护生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发展产业</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惠民增收”良性循环。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sz w:val="32"/>
          <w:szCs w:val="32"/>
        </w:rPr>
      </w:pPr>
    </w:p>
    <w:p>
      <w:pPr>
        <w:widowControl w:val="0"/>
        <w:spacing w:line="360" w:lineRule="auto"/>
        <w:ind w:firstLine="640" w:firstLineChars="200"/>
        <w:rPr>
          <w:rFonts w:hint="eastAsia" w:ascii="仿宋" w:hAnsi="仿宋" w:eastAsia="仿宋"/>
          <w:sz w:val="32"/>
          <w:szCs w:val="32"/>
        </w:rPr>
      </w:pPr>
    </w:p>
    <w:p>
      <w:pPr>
        <w:widowControl w:val="0"/>
        <w:spacing w:line="360" w:lineRule="auto"/>
        <w:ind w:firstLine="640" w:firstLineChars="200"/>
        <w:rPr>
          <w:rFonts w:hint="eastAsia" w:ascii="仿宋" w:hAnsi="仿宋" w:eastAsia="仿宋"/>
          <w:sz w:val="32"/>
          <w:szCs w:val="32"/>
        </w:rPr>
      </w:pPr>
    </w:p>
    <w:p>
      <w:pPr>
        <w:widowControl w:val="0"/>
        <w:spacing w:line="360" w:lineRule="auto"/>
        <w:ind w:firstLine="420" w:firstLineChars="200"/>
      </w:pPr>
      <w:r>
        <w:br w:type="page"/>
      </w:r>
    </w:p>
    <w:p>
      <w:pPr>
        <w:pageBreakBefore/>
        <w:widowControl w:val="0"/>
        <w:spacing w:before="156" w:beforeLines="50" w:after="156" w:afterLines="50"/>
        <w:jc w:val="center"/>
        <w:outlineLvl w:val="0"/>
        <w:rPr>
          <w:rFonts w:hint="eastAsia" w:ascii="方正小标宋简体" w:hAnsi="方正小标宋简体" w:eastAsia="方正小标宋简体" w:cs="方正小标宋简体"/>
          <w:bCs/>
          <w:sz w:val="36"/>
          <w:szCs w:val="36"/>
        </w:rPr>
      </w:pPr>
      <w:bookmarkStart w:id="101" w:name="_Toc240990671"/>
      <w:r>
        <w:rPr>
          <w:rFonts w:hint="eastAsia" w:ascii="方正小标宋简体" w:hAnsi="方正小标宋简体" w:eastAsia="方正小标宋简体" w:cs="方正小标宋简体"/>
          <w:bCs/>
          <w:sz w:val="36"/>
          <w:szCs w:val="36"/>
        </w:rPr>
        <w:t>第十章 规划实施保障</w:t>
      </w:r>
      <w:bookmarkEnd w:id="101"/>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坚持市级统筹、县区主责、部门联动、社会共治，把规划任务转化为可调度、可检查、可考核的具体安排。以重点项目为抓手，健全资金、政策、科技、监管等支撑条件，明确</w:t>
      </w:r>
      <w:r>
        <w:rPr>
          <w:rFonts w:hint="eastAsia" w:ascii="仿宋_GB2312" w:hAnsi="仿宋_GB2312" w:eastAsia="仿宋_GB2312" w:cs="仿宋_GB2312"/>
          <w:sz w:val="32"/>
          <w:szCs w:val="32"/>
          <w:lang w:eastAsia="zh-CN"/>
        </w:rPr>
        <w:t>责任分工</w:t>
      </w:r>
      <w:r>
        <w:rPr>
          <w:rFonts w:hint="eastAsia" w:ascii="仿宋_GB2312" w:hAnsi="仿宋_GB2312" w:eastAsia="仿宋_GB2312" w:cs="仿宋_GB2312"/>
          <w:sz w:val="32"/>
          <w:szCs w:val="32"/>
        </w:rPr>
        <w:t>，推动各项修复任务在市县两级落地见效。围绕组织领导、政策供给、科技支撑、评估监管、公众参与五个方面构建保障体系，完善多元化、多渠道、市场化的投入机制，健全生态保护补偿和生态产品价值实现等政策工具，建立生态修复项目全周期管理长效机制，确保规划各项任务落地见效。</w:t>
      </w:r>
    </w:p>
    <w:p>
      <w:pPr>
        <w:keepNext w:val="0"/>
        <w:keepLines w:val="0"/>
        <w:pageBreakBefore w:val="0"/>
        <w:widowControl w:val="0"/>
        <w:kinsoku/>
        <w:wordWrap/>
        <w:bidi w:val="0"/>
        <w:spacing w:line="600" w:lineRule="exact"/>
        <w:jc w:val="center"/>
        <w:textAlignment w:val="auto"/>
        <w:outlineLvl w:val="1"/>
        <w:rPr>
          <w:rFonts w:ascii="Times New Roman" w:hAnsi="Times New Roman" w:eastAsia="黑体"/>
          <w:bCs/>
          <w:sz w:val="32"/>
          <w:szCs w:val="32"/>
        </w:rPr>
      </w:pPr>
      <w:bookmarkStart w:id="102" w:name="_Toc240990672"/>
      <w:r>
        <w:rPr>
          <w:rFonts w:hint="eastAsia" w:ascii="Times New Roman" w:hAnsi="Times New Roman" w:eastAsia="黑体"/>
          <w:bCs/>
          <w:sz w:val="32"/>
          <w:szCs w:val="32"/>
        </w:rPr>
        <w:t>第一节 压实实施责任</w:t>
      </w:r>
      <w:bookmarkEnd w:id="102"/>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lang w:eastAsia="zh-CN"/>
        </w:rPr>
      </w:pPr>
      <w:r>
        <w:rPr>
          <w:rFonts w:hint="eastAsia" w:ascii="楷体" w:hAnsi="楷体" w:eastAsia="楷体"/>
          <w:bCs/>
          <w:sz w:val="32"/>
          <w:szCs w:val="32"/>
        </w:rPr>
        <w:t>一、</w:t>
      </w:r>
      <w:r>
        <w:rPr>
          <w:rFonts w:hint="eastAsia" w:ascii="楷体" w:hAnsi="楷体" w:eastAsia="楷体"/>
          <w:bCs/>
          <w:sz w:val="32"/>
          <w:szCs w:val="32"/>
          <w:lang w:eastAsia="zh-CN"/>
        </w:rPr>
        <w:t>建立</w:t>
      </w:r>
      <w:r>
        <w:rPr>
          <w:rFonts w:hint="eastAsia" w:ascii="楷体" w:hAnsi="楷体" w:eastAsia="楷体"/>
          <w:bCs/>
          <w:sz w:val="32"/>
          <w:szCs w:val="32"/>
        </w:rPr>
        <w:t>调度</w:t>
      </w:r>
      <w:r>
        <w:rPr>
          <w:rFonts w:hint="eastAsia" w:ascii="楷体" w:hAnsi="楷体" w:eastAsia="楷体"/>
          <w:bCs/>
          <w:sz w:val="32"/>
          <w:szCs w:val="32"/>
          <w:lang w:eastAsia="zh-CN"/>
        </w:rPr>
        <w:t>销号机制</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市委、市政府统一领导下，市自然资源和规划、发展改革、财政、生态环境、农业农村、水利、林业、住房城乡建设、应急管理、工业和信息化等部门各司其职、协同联动，把修复目标和绩效指标分解下达到相关县（区），按职能抓好落实。建立部署、调度、</w:t>
      </w:r>
      <w:r>
        <w:rPr>
          <w:rFonts w:hint="eastAsia" w:ascii="仿宋_GB2312" w:hAnsi="仿宋_GB2312" w:eastAsia="仿宋_GB2312" w:cs="仿宋_GB2312"/>
          <w:sz w:val="32"/>
          <w:szCs w:val="32"/>
          <w:lang w:eastAsia="zh-CN"/>
        </w:rPr>
        <w:t>销号</w:t>
      </w:r>
      <w:r>
        <w:rPr>
          <w:rFonts w:hint="eastAsia" w:ascii="仿宋_GB2312" w:hAnsi="仿宋_GB2312" w:eastAsia="仿宋_GB2312" w:cs="仿宋_GB2312"/>
          <w:sz w:val="32"/>
          <w:szCs w:val="32"/>
        </w:rPr>
        <w:t>的推进机制，对黄河沿线修复、历史遗留矿山治理、尾矿库闭库销号等标志性任务实行台账管理、挂图作战、办结销号。</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二、强化县区属地责任</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各县区政府是本区域</w:t>
      </w:r>
      <w:r>
        <w:rPr>
          <w:rFonts w:hint="eastAsia" w:ascii="仿宋_GB2312" w:hAnsi="仿宋_GB2312" w:eastAsia="仿宋_GB2312" w:cs="仿宋_GB2312"/>
          <w:sz w:val="32"/>
          <w:szCs w:val="32"/>
          <w:lang w:eastAsia="zh-CN"/>
        </w:rPr>
        <w:t>国土空间</w:t>
      </w:r>
      <w:r>
        <w:rPr>
          <w:rFonts w:hint="eastAsia" w:ascii="仿宋_GB2312" w:hAnsi="仿宋_GB2312" w:eastAsia="仿宋_GB2312" w:cs="仿宋_GB2312"/>
          <w:sz w:val="32"/>
          <w:szCs w:val="32"/>
        </w:rPr>
        <w:t>生态修复的责任主体，</w:t>
      </w:r>
      <w:r>
        <w:rPr>
          <w:rFonts w:hint="eastAsia" w:ascii="仿宋_GB2312" w:hAnsi="仿宋_GB2312" w:eastAsia="仿宋_GB2312" w:cs="仿宋_GB2312"/>
          <w:sz w:val="32"/>
          <w:szCs w:val="32"/>
          <w:lang w:eastAsia="zh-CN"/>
        </w:rPr>
        <w:t>要</w:t>
      </w:r>
      <w:r>
        <w:rPr>
          <w:rFonts w:hint="eastAsia" w:ascii="仿宋_GB2312" w:hAnsi="仿宋_GB2312" w:eastAsia="仿宋_GB2312" w:cs="仿宋_GB2312"/>
          <w:sz w:val="32"/>
          <w:szCs w:val="32"/>
        </w:rPr>
        <w:t>将修复任务完成情况纳入县区高质量发展综合绩效考核和林长制、河长制考核体系，考核结果与生态补偿资金、评先评优挂钩。对栾川、嵩县等国家级重点生态功能区实行生态优先、绿色发展的差异化考核，不简单以地区生产总值排序评价。</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三、健全部门协同和区域联动</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健全市县两级和部门间信息共享、会商研判、联合执法机制，加强跨区域、跨流域修复协作。深化“河长＋检察长＋警长”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林长＋检察长”协作，落实生态环境损害赔偿与检察公益诉讼衔接。落实洛阳济源同城一体深度融合系统治理部署；与三门峡协同做好小浪底、西霞院库周治理，与平顶山、郑州建立北汝河、伊洛河跨界河段联防联治和信息共享安排，实现界河两岸修复标准统一、步调一致。规范生态修复项目从前期工作、立项审批、组织实施到竣工验收、后期管护的全流程管理，明确各环节责任部门和办理时限，提升实施效率。</w:t>
      </w:r>
    </w:p>
    <w:p>
      <w:pPr>
        <w:keepNext w:val="0"/>
        <w:keepLines w:val="0"/>
        <w:pageBreakBefore w:val="0"/>
        <w:widowControl w:val="0"/>
        <w:kinsoku/>
        <w:wordWrap/>
        <w:bidi w:val="0"/>
        <w:spacing w:line="600" w:lineRule="exact"/>
        <w:jc w:val="center"/>
        <w:textAlignment w:val="auto"/>
        <w:outlineLvl w:val="1"/>
        <w:rPr>
          <w:rFonts w:ascii="Times New Roman" w:hAnsi="Times New Roman" w:eastAsia="黑体"/>
          <w:bCs/>
          <w:sz w:val="32"/>
          <w:szCs w:val="32"/>
        </w:rPr>
      </w:pPr>
      <w:bookmarkStart w:id="103" w:name="_Toc240990673"/>
      <w:r>
        <w:rPr>
          <w:rFonts w:hint="eastAsia" w:ascii="Times New Roman" w:hAnsi="Times New Roman" w:eastAsia="黑体"/>
          <w:bCs/>
          <w:sz w:val="32"/>
          <w:szCs w:val="32"/>
        </w:rPr>
        <w:t>第二节 强化政策资金支撑</w:t>
      </w:r>
      <w:bookmarkEnd w:id="103"/>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一、加快完善法规制度建设</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进生态修复领域地方性法规规章立改废，完善最严格的矿山治理恢复制度。统筹资源利用与环境保护，动态完善全市修复台账，研究探索工矿废弃地生态修复债券等制度创新，健全市级自然资源资产产权制度，落实《洛阳市碳达峰实施方案》部署。持续深化生态文明领域改革，依法加严生态环境损害赔偿与强制修复要求。严格执行矿产资源全链条综合管理制度，规范矿业权出让、勘查开采、生态修复等各环节。</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二、拓宽多元化投入渠道</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快构建洛阳市生态产品价值评价体系，形成科学可行的核算方法。拓宽修复项目市场化价值转化路径，用好自然资源和用途管制激励政策，以出让一定年限的相关资产使用权等方式吸引社会资本投入；对以林草地修复为主的项目，依法依规允许利用不超过3%的修复面积发展生态产业。加大对生态保护红线等区域的补偿力度，完善资源保护费等机制，落实自然资源有偿使用。有序开发林草湿地碳汇项目，参与碳排放权、排污权、用能权、绿电绿证交易，丰富价值实现渠道。培育生态农业、生态旅游、生态康养等绿色业态，把生态优势转化为发展优势。</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三、健全生态保护价值实现和补偿机制</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实“谁占用、谁补偿”要求，健全建设项目占用各类生态空间的占补制度，从严审核占用条件、落实补偿标准。加大对南部山地涵养区、黄河湿地等重要区域的转移支付力度，健全流域上下游、地区间横向补偿机制，开展伊河、洛河、北汝河跨县区横向生态保护补偿试点，以跨界断面水质和水量为依据筹措补偿资金。巩固嵩县陆浑湖国家湿地公园生态保护补偿项目经验，逐步扩大退耕还湿、禁牧限伐群众补偿范围。落实“谁破坏、谁赔偿”要求，健全权责清晰、渠道畅通、赔偿到位、修复有效的损害赔偿制度，由责任人承担修复或赔偿义务。</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四、优化多元化投融资机制</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筹财政资金、政府专项债券、政策性金融和社会资本，加大修复投入。积极争取中央、省级山水林田湖草沙一体化保护和历史遗留矿山治理等专项资金。在守住不新增地方政府隐性债务底线的前提下，引导金融机构按市场化原则提供中长期融资，发展绿色信贷和生态资源融资担保，鼓励农村集体经济组织、社会资本参与全域土地综合整治与修复工程。</w:t>
      </w:r>
    </w:p>
    <w:p>
      <w:pPr>
        <w:keepNext w:val="0"/>
        <w:keepLines w:val="0"/>
        <w:pageBreakBefore w:val="0"/>
        <w:widowControl w:val="0"/>
        <w:kinsoku/>
        <w:wordWrap/>
        <w:bidi w:val="0"/>
        <w:spacing w:line="600" w:lineRule="exact"/>
        <w:jc w:val="center"/>
        <w:textAlignment w:val="auto"/>
        <w:outlineLvl w:val="1"/>
        <w:rPr>
          <w:rFonts w:ascii="Times New Roman" w:hAnsi="Times New Roman" w:eastAsia="黑体"/>
          <w:bCs/>
          <w:sz w:val="32"/>
          <w:szCs w:val="32"/>
        </w:rPr>
      </w:pPr>
      <w:bookmarkStart w:id="104" w:name="_Toc240990674"/>
      <w:r>
        <w:rPr>
          <w:rFonts w:hint="eastAsia" w:ascii="Times New Roman" w:hAnsi="Times New Roman" w:eastAsia="黑体"/>
          <w:bCs/>
          <w:sz w:val="32"/>
          <w:szCs w:val="32"/>
        </w:rPr>
        <w:t>第三节 增强科技数字赋能</w:t>
      </w:r>
      <w:bookmarkEnd w:id="104"/>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一、推进标准体系持续完善</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整合现有相关行业技术标准，制定体现洛阳丘陵山区、黄土丘陵区、黄河滩区特点的地方标准，构建覆盖修复全过程的规范体系；</w:t>
      </w:r>
      <w:r>
        <w:rPr>
          <w:rFonts w:hint="eastAsia" w:ascii="仿宋_GB2312" w:hAnsi="仿宋_GB2312" w:eastAsia="仿宋_GB2312" w:cs="仿宋_GB2312"/>
          <w:sz w:val="32"/>
          <w:szCs w:val="32"/>
          <w:lang w:eastAsia="zh-CN"/>
        </w:rPr>
        <w:t>研究细化</w:t>
      </w:r>
      <w:r>
        <w:rPr>
          <w:rFonts w:hint="eastAsia" w:ascii="仿宋_GB2312" w:hAnsi="仿宋_GB2312" w:eastAsia="仿宋_GB2312" w:cs="仿宋_GB2312"/>
          <w:sz w:val="32"/>
          <w:szCs w:val="32"/>
        </w:rPr>
        <w:t>山水林田湖草沙修复、历史遗留矿山治理、尾矿库闭库复垦等技术规范，为工程设计、施工、验收提供技术遵循。标准规范发布后同步开展县区技术培训和试点示范。</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二、巩固基础理论和应用研究</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聚焦全市修复工作中的重点难点，部署基础理论研究和关键技术攻关，深化自然生态系统演替机理认识，查明黄河滩区湿地退化、黄土丘陵区水土流失、矿区地貌损毁、流域水平衡等重大问题的成因与演变趋势，探索顺应自然规律的修复路径。完善生态监测站点布局，推进市级生态状况动态调查评价和监测预警能力建设。加强矿山修复、尾矿综合利用、富硒土壤保护利用等技术攻关，促进科技成果转化落地。</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三、强化数字赋能</w:t>
      </w:r>
    </w:p>
    <w:p>
      <w:pPr>
        <w:keepNext w:val="0"/>
        <w:keepLines w:val="0"/>
        <w:pageBreakBefore w:val="0"/>
        <w:widowControl w:val="0"/>
        <w:kinsoku/>
        <w:wordWrap/>
        <w:bidi w:val="0"/>
        <w:spacing w:line="600" w:lineRule="exact"/>
        <w:ind w:firstLine="640" w:firstLineChars="200"/>
        <w:textAlignment w:val="auto"/>
        <w:rPr>
          <w:rFonts w:hint="eastAsia" w:ascii="仿宋" w:hAnsi="仿宋" w:eastAsia="仿宋"/>
          <w:sz w:val="32"/>
          <w:szCs w:val="32"/>
        </w:rPr>
      </w:pPr>
      <w:r>
        <w:rPr>
          <w:rFonts w:hint="eastAsia" w:ascii="仿宋_GB2312" w:hAnsi="仿宋_GB2312" w:eastAsia="仿宋_GB2312" w:cs="仿宋_GB2312"/>
          <w:sz w:val="32"/>
          <w:szCs w:val="32"/>
        </w:rPr>
        <w:t>依托国土空间规划“一张图”实施监督信息系统，推进修复数据归集共享、工程项目上图入库，提升修复管理数字化水平。在矿山监管、湿地监测、水土保持、森林资源管理等场景推广卫星遥感、无人机、视频智能分析、电子界桩、三维建模等技术，构建天基遥感、空中巡航、地面核查、云端管理的立体监测体系，实现问题早发现、早预警、早处置。</w:t>
      </w:r>
    </w:p>
    <w:p>
      <w:pPr>
        <w:keepNext w:val="0"/>
        <w:keepLines w:val="0"/>
        <w:pageBreakBefore w:val="0"/>
        <w:widowControl w:val="0"/>
        <w:kinsoku/>
        <w:wordWrap/>
        <w:bidi w:val="0"/>
        <w:spacing w:line="600" w:lineRule="exact"/>
        <w:jc w:val="center"/>
        <w:textAlignment w:val="auto"/>
        <w:outlineLvl w:val="1"/>
        <w:rPr>
          <w:rFonts w:ascii="Times New Roman" w:hAnsi="Times New Roman" w:eastAsia="黑体"/>
          <w:bCs/>
          <w:sz w:val="32"/>
          <w:szCs w:val="32"/>
        </w:rPr>
      </w:pPr>
      <w:bookmarkStart w:id="105" w:name="_Toc240990675"/>
      <w:r>
        <w:rPr>
          <w:rFonts w:hint="eastAsia" w:ascii="Times New Roman" w:hAnsi="Times New Roman" w:eastAsia="黑体"/>
          <w:bCs/>
          <w:sz w:val="32"/>
          <w:szCs w:val="32"/>
        </w:rPr>
        <w:t>第四节 健全评估监管机制</w:t>
      </w:r>
      <w:bookmarkEnd w:id="105"/>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一、实行年度监测和中期评估</w:t>
      </w:r>
    </w:p>
    <w:p>
      <w:pPr>
        <w:keepNext w:val="0"/>
        <w:keepLines w:val="0"/>
        <w:pageBreakBefore w:val="0"/>
        <w:widowControl w:val="0"/>
        <w:kinsoku/>
        <w:wordWrap/>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健全党政主体责任考核问责机制，强化规划目标指标和任务落实情况考核，坚持专项检查与日常监督相结合，定期评估实施成效。围绕森林覆盖率、湿地保护率、水土保持率、历史遗留矿山治理面积等核心指标，建立年度监测、中期评估、终期总结相结合的制度安排，评估结果与市级资金分配、新增项目安排直接挂钩，对未完成任务的县区扣减补偿资金并限期整改。</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二、完善市级生态修复规划数据库</w:t>
      </w:r>
    </w:p>
    <w:p>
      <w:pPr>
        <w:keepNext w:val="0"/>
        <w:keepLines w:val="0"/>
        <w:pageBreakBefore w:val="0"/>
        <w:widowControl w:val="0"/>
        <w:kinsoku/>
        <w:wordWrap/>
        <w:overflowPunct w:val="0"/>
        <w:topLinePunct/>
        <w:autoSpaceDE w:val="0"/>
        <w:autoSpaceDN w:val="0"/>
        <w:bidi w:val="0"/>
        <w:adjustRightInd w:val="0"/>
        <w:snapToGrid w:val="0"/>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市级国土空间生态修复规划数据库，与市级国土空间基础信息平台、省级生态修复信息系统互联互通，实现文本图件数据一致、工程项目上图入库，推动修复数据融入国土空间规划“一张图”，实行规划全周期管理。</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三、推行项目全周期监管</w:t>
      </w:r>
    </w:p>
    <w:p>
      <w:pPr>
        <w:keepNext w:val="0"/>
        <w:keepLines w:val="0"/>
        <w:pageBreakBefore w:val="0"/>
        <w:widowControl w:val="0"/>
        <w:kinsoku/>
        <w:wordWrap/>
        <w:overflowPunct w:val="0"/>
        <w:topLinePunct/>
        <w:autoSpaceDE w:val="0"/>
        <w:autoSpaceDN w:val="0"/>
        <w:bidi w:val="0"/>
        <w:adjustRightInd w:val="0"/>
        <w:snapToGrid w:val="0"/>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范修复项目立项审批、招标投标、施工监理、竣工验收、后期管护五个环节，明确各环节责任部门和办理时限。修复验收合格地块及时移交属地政府或使用权人管护，落实管护经费和责任主体，防止“重建轻管”、修复后反弹。</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四、强化执法监督和验收销号</w:t>
      </w:r>
    </w:p>
    <w:p>
      <w:pPr>
        <w:keepNext w:val="0"/>
        <w:keepLines w:val="0"/>
        <w:pageBreakBefore w:val="0"/>
        <w:widowControl w:val="0"/>
        <w:kinsoku/>
        <w:wordWrap/>
        <w:overflowPunct w:val="0"/>
        <w:topLinePunct/>
        <w:autoSpaceDE w:val="0"/>
        <w:autoSpaceDN w:val="0"/>
        <w:bidi w:val="0"/>
        <w:adjustRightInd w:val="0"/>
        <w:snapToGrid w:val="0"/>
        <w:spacing w:line="600" w:lineRule="exact"/>
        <w:ind w:firstLine="640" w:firstLineChars="200"/>
        <w:jc w:val="left"/>
        <w:textAlignment w:val="auto"/>
        <w:rPr>
          <w:rFonts w:hint="eastAsia" w:ascii="仿宋" w:hAnsi="仿宋" w:eastAsia="仿宋"/>
          <w:sz w:val="32"/>
          <w:szCs w:val="32"/>
        </w:rPr>
      </w:pPr>
      <w:r>
        <w:rPr>
          <w:rFonts w:hint="eastAsia" w:ascii="仿宋_GB2312" w:hAnsi="仿宋_GB2312" w:eastAsia="仿宋_GB2312" w:cs="仿宋_GB2312"/>
          <w:sz w:val="32"/>
          <w:szCs w:val="32"/>
        </w:rPr>
        <w:t>全面推行矿产资源勘查开采和治理恢复全过程监管，建立“一矿一档”台账，尾矿库按“一库一策”完成闭库销号。持续巩固黄河“四乱”问题动态清零成果，常态化开展自然保护地遥感监测图斑核查，依法查处借修复之名非法采矿、占用耕地和生态空间等行为，查处结果向社会公开。</w:t>
      </w:r>
    </w:p>
    <w:p>
      <w:pPr>
        <w:keepNext w:val="0"/>
        <w:keepLines w:val="0"/>
        <w:pageBreakBefore w:val="0"/>
        <w:widowControl w:val="0"/>
        <w:kinsoku/>
        <w:wordWrap/>
        <w:bidi w:val="0"/>
        <w:spacing w:line="600" w:lineRule="exact"/>
        <w:jc w:val="center"/>
        <w:textAlignment w:val="auto"/>
        <w:outlineLvl w:val="1"/>
        <w:rPr>
          <w:rFonts w:ascii="Times New Roman" w:hAnsi="Times New Roman" w:eastAsia="黑体"/>
          <w:bCs/>
          <w:sz w:val="32"/>
          <w:szCs w:val="32"/>
        </w:rPr>
      </w:pPr>
      <w:bookmarkStart w:id="106" w:name="_Toc240990676"/>
      <w:r>
        <w:rPr>
          <w:rFonts w:hint="eastAsia" w:ascii="Times New Roman" w:hAnsi="Times New Roman" w:eastAsia="黑体"/>
          <w:bCs/>
          <w:sz w:val="32"/>
          <w:szCs w:val="32"/>
        </w:rPr>
        <w:t>第五节 扩大公众参与共治</w:t>
      </w:r>
      <w:bookmarkEnd w:id="106"/>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一、全面强化宣传引导</w:t>
      </w:r>
    </w:p>
    <w:p>
      <w:pPr>
        <w:keepNext w:val="0"/>
        <w:keepLines w:val="0"/>
        <w:pageBreakBefore w:val="0"/>
        <w:widowControl w:val="0"/>
        <w:kinsoku/>
        <w:wordWrap/>
        <w:overflowPunct w:val="0"/>
        <w:topLinePunct/>
        <w:autoSpaceDE w:val="0"/>
        <w:autoSpaceDN w:val="0"/>
        <w:bidi w:val="0"/>
        <w:adjustRightInd w:val="0"/>
        <w:snapToGrid w:val="0"/>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植树节、世界环境日、地球日、全国生态日等重要节点，开展生态市情宣传和法治教育，运用多种形式解读政策、回应关切，增强公众尊重自然、顺应自然、保护自然的意识。持续办好黄河湿地观鸟节等特色活动，依托白云山自然教育科普基地、汝阳恐龙国家地质公园等载体发展自然教育和生态研学，讲好美丽洛阳的生态故事。</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二、持续完善国土空间生态保护修复专家库</w:t>
      </w:r>
    </w:p>
    <w:p>
      <w:pPr>
        <w:keepNext w:val="0"/>
        <w:keepLines w:val="0"/>
        <w:pageBreakBefore w:val="0"/>
        <w:widowControl w:val="0"/>
        <w:kinsoku/>
        <w:wordWrap/>
        <w:overflowPunct w:val="0"/>
        <w:topLinePunct/>
        <w:autoSpaceDE w:val="0"/>
        <w:autoSpaceDN w:val="0"/>
        <w:bidi w:val="0"/>
        <w:adjustRightInd w:val="0"/>
        <w:snapToGrid w:val="0"/>
        <w:spacing w:line="600" w:lineRule="exact"/>
        <w:ind w:firstLine="640" w:firstLineChars="200"/>
        <w:jc w:val="left"/>
        <w:textAlignment w:val="auto"/>
        <w:rPr>
          <w:rFonts w:hint="eastAsia" w:ascii="仿宋" w:hAnsi="仿宋" w:eastAsia="仿宋"/>
          <w:sz w:val="32"/>
          <w:szCs w:val="32"/>
        </w:rPr>
      </w:pPr>
      <w:r>
        <w:rPr>
          <w:rFonts w:hint="eastAsia" w:ascii="仿宋_GB2312" w:hAnsi="仿宋_GB2312" w:eastAsia="仿宋_GB2312" w:cs="仿宋_GB2312"/>
          <w:sz w:val="32"/>
          <w:szCs w:val="32"/>
        </w:rPr>
        <w:t>健全市级生态修复专家库，组建专家包片服务团队对县区修复工作给予常态化技术指导帮扶。依托驻洛高校、地勘单位和科研院所，围绕矿区地貌重塑、尾矿综合利用、富硒土壤保护利用、黄河滩区湿地退化机理等开展技术攻关，推动成果在重点工程中转化应用。健全修复项目技术论证制度，重大修复方案未经专家论证不得开工。组建专家包片服务团队。</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三、不断创新公众参与形式</w:t>
      </w:r>
    </w:p>
    <w:p>
      <w:pPr>
        <w:keepNext w:val="0"/>
        <w:keepLines w:val="0"/>
        <w:pageBreakBefore w:val="0"/>
        <w:widowControl w:val="0"/>
        <w:kinsoku/>
        <w:wordWrap/>
        <w:overflowPunct w:val="0"/>
        <w:topLinePunct/>
        <w:autoSpaceDE w:val="0"/>
        <w:autoSpaceDN w:val="0"/>
        <w:bidi w:val="0"/>
        <w:adjustRightInd w:val="0"/>
        <w:snapToGrid w:val="0"/>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广“互联网＋全民义务植树”，组织矿山复绿、湿地守护、河道清洁等志愿活动，引导企业、社会组织和志愿者认领修复地块。倡导人人参与修复行动、人人共享绿色福祉，丰富公众参与载体和形式，借助各类媒体宣传修复成效与意义，及时回应社会关切，营造全社会关心支持修复事业的氛围。引导企业、社会组织和志愿者参与矿山复绿、湿地守护、植树造林等活动，广泛开展自然教育与生态体验。</w:t>
      </w:r>
    </w:p>
    <w:p>
      <w:pPr>
        <w:keepNext w:val="0"/>
        <w:keepLines w:val="0"/>
        <w:pageBreakBefore w:val="0"/>
        <w:widowControl w:val="0"/>
        <w:kinsoku/>
        <w:wordWrap/>
        <w:bidi w:val="0"/>
        <w:spacing w:line="600" w:lineRule="exact"/>
        <w:ind w:firstLine="640" w:firstLineChars="200"/>
        <w:textAlignment w:val="auto"/>
        <w:outlineLvl w:val="2"/>
        <w:rPr>
          <w:rFonts w:hint="eastAsia" w:ascii="楷体" w:hAnsi="楷体" w:eastAsia="楷体"/>
          <w:bCs/>
          <w:sz w:val="32"/>
          <w:szCs w:val="32"/>
        </w:rPr>
      </w:pPr>
      <w:r>
        <w:rPr>
          <w:rFonts w:hint="eastAsia" w:ascii="楷体" w:hAnsi="楷体" w:eastAsia="楷体"/>
          <w:bCs/>
          <w:sz w:val="32"/>
          <w:szCs w:val="32"/>
        </w:rPr>
        <w:t>四、健全信息公开和社会监督机制</w:t>
      </w:r>
    </w:p>
    <w:p>
      <w:pPr>
        <w:keepNext w:val="0"/>
        <w:keepLines w:val="0"/>
        <w:pageBreakBefore w:val="0"/>
        <w:widowControl w:val="0"/>
        <w:kinsoku/>
        <w:wordWrap/>
        <w:overflowPunct w:val="0"/>
        <w:topLinePunct/>
        <w:autoSpaceDE w:val="0"/>
        <w:autoSpaceDN w:val="0"/>
        <w:bidi w:val="0"/>
        <w:adjustRightInd w:val="0"/>
        <w:snapToGrid w:val="0"/>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构建公开透明、共建共享的社会监督与参与机制，搭建常态化参与平台，定期公开规划实施进展，吸纳各类市场主体参与；完善政府与企业、公众的沟通渠道，完善听证质询、舆论监督和群众监督等制度。畅通“12345”热线和网络举报渠道，落实生态破坏问题举报奖励制度，完善听证质询、舆论监督等机制，形成全社会共同参与、共同监督的治理格局。</w:t>
      </w:r>
    </w:p>
    <w:p>
      <w:pPr>
        <w:widowControl w:val="0"/>
        <w:spacing w:line="360" w:lineRule="auto"/>
        <w:ind w:firstLine="420" w:firstLineChars="200"/>
      </w:pPr>
    </w:p>
    <w:p/>
    <w:p>
      <w:pPr>
        <w:spacing w:line="560" w:lineRule="exact"/>
        <w:ind w:firstLine="640" w:firstLineChars="200"/>
        <w:rPr>
          <w:rFonts w:ascii="Times New Roman" w:hAnsi="Times New Roman" w:eastAsia="仿宋_GB2312"/>
          <w:sz w:val="32"/>
          <w:szCs w:val="32"/>
        </w:rPr>
      </w:pPr>
    </w:p>
    <w:sectPr>
      <w:headerReference r:id="rId11" w:type="default"/>
      <w:footerReference r:id="rId12" w:type="default"/>
      <w:pgSz w:w="11906" w:h="16838"/>
      <w:pgMar w:top="1440" w:right="1800" w:bottom="1440" w:left="1800" w:header="851" w:footer="992" w:gutter="0"/>
      <w:pgNumType w:start="3"/>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大标宋简体">
    <w:altName w:val="方正书宋_GBK"/>
    <w:panose1 w:val="00000000000000000000"/>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微软雅黑">
    <w:altName w:val="黑体"/>
    <w:panose1 w:val="020B0503020204020204"/>
    <w:charset w:val="86"/>
    <w:family w:val="swiss"/>
    <w:pitch w:val="default"/>
    <w:sig w:usb0="00000000" w:usb1="00000000" w:usb2="00000016" w:usb3="00000000" w:csb0="0004001F" w:csb1="00000000"/>
  </w:font>
  <w:font w:name="Cambria Math">
    <w:altName w:val="DejaVu Math TeX Gyre"/>
    <w:panose1 w:val="02040503050406030204"/>
    <w:charset w:val="00"/>
    <w:family w:val="roman"/>
    <w:pitch w:val="default"/>
    <w:sig w:usb0="00000000" w:usb1="00000000" w:usb2="02000000" w:usb3="00000000" w:csb0="0000019F" w:csb1="00000000"/>
  </w:font>
  <w:font w:name="DejaVu Math TeX Gyre">
    <w:panose1 w:val="02000503000000000000"/>
    <w:charset w:val="00"/>
    <w:family w:val="auto"/>
    <w:pitch w:val="default"/>
    <w:sig w:usb0="A10000EF" w:usb1="4201F9EE" w:usb2="02000000" w:usb3="00000000" w:csb0="60000193" w:csb1="0DD40000"/>
  </w:font>
  <w:font w:name="楷体_GB2312">
    <w:altName w:val="楷体"/>
    <w:panose1 w:val="00000000000000000000"/>
    <w:charset w:val="86"/>
    <w:family w:val="modern"/>
    <w:pitch w:val="default"/>
    <w:sig w:usb0="00000000" w:usb1="00000000" w:usb2="00000000" w:usb3="00000000" w:csb0="00040000" w:csb1="00000000"/>
  </w:font>
  <w:font w:name="___WRD_EMBED_SUB_1523">
    <w:altName w:val="仿宋"/>
    <w:panose1 w:val="00000000000000000000"/>
    <w:charset w:val="86"/>
    <w:family w:val="modern"/>
    <w:pitch w:val="default"/>
    <w:sig w:usb0="00000000" w:usb1="00000000" w:usb2="00000010" w:usb3="00000000" w:csb0="00040000" w:csb1="0000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p>
  <w:p>
    <w:pPr>
      <w:pStyle w:val="1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eastAsia" w:ascii="宋体" w:hAnsi="宋体"/>
        <w:sz w:val="24"/>
        <w:szCs w:val="24"/>
      </w:rPr>
    </w:pPr>
  </w:p>
  <w:p>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p>
  <w:p>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4pbL3QIAACQGAAAOAAAAZHJz&#10;L2Uyb0RvYy54bWytVEtu2zAQ3RfoHQjuFUm24shG5MCxoqKA0QRIi65pirKEUiRB0p+06La9QVfd&#10;dN9z5RwdUpadpEURoPVCHnKGj/PeDOf8YtdytGHaNFJkOD6JMGKCyrIRqwy/e1sEKUbGElESLgXL&#10;8B0z+GL68sX5Vk3YQNaSl0wjABFmslUZrq1VkzA0tGYtMSdSMQHOSuqWWFjqVVhqsgX0loeDKBqF&#10;W6lLpSVlxsBu3jnxHlE/B1BWVUNZLum6ZcJ2qJpxYoGSqRtl8NRnW1WM2uuqMswinmFgav0XLgF7&#10;6b7h9JxMVpqouqH7FMhzUnjCqSWNgEsPUDmxBK118xtU21AtjazsCZVt2BHxigCLOHqizW1NFPNc&#10;QGqjDqKb/wdL32xuNGrKDA8xEqSFgt9/+3r//ef9jy9o6OTZKjOBqFsFcXZ3KXfQNP2+gU3Helfp&#10;1v0DHwR+EPfuIC7bWUTdoXSQphG4KPj6BeCHx+NKG/uKyRY5I8MaqudFJZuFsV1oH+JuE7JoOPcV&#10;5AJtMzwankb+wMED4Fy4WMgCMPZWV5lP42h8lV6lSZAMRldBEuV5MCvmSTAq4rPTfJjP53n82eHF&#10;yaRuypIJd1/fJXHyvCrsO6Wr76FPjORN6eBcSkavlnOu0YZAlxb+5xSG5B+EhY/T8G5g9YRSPEii&#10;y8E4KEbpWZAUyWkwPovSIIrHl+NRlIyTvHhMadEI9u+UHqn/IGkycQU7cFtyQj/8lZpL50gNFOgL&#10;F7o+7PrNWXa33IFEzlzK8g56U8vucRtFiwYuXRBjb4iG1ww9B/POXsOn4hL6RO4tjGqpP/5p38VD&#10;ecGL0RamQ4YFDEOM+GsBjw8AbW/o3lj2hli3cwmFjGGOKupNOKAt781Ky/Y9DMGZuwNcRFC4KcO2&#10;N+e2m1AwRCmbzXzQWulmVXcHYHQoYhfiVlF3jW8hNVtbeA/+mRxVASndAoaHF3U/6Nx0erj2Ucfh&#10;Pv0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UAAAACACHTuJAihRmPNEAAACUAQAACwAAAAAA&#10;AAABACAAAABiBAAAX3JlbHMvLnJlbHNQSwECFAAUAAAACACHTuJAs0lY7tAAAAAFAQAADwAAAAAA&#10;AAABACAAAAA4AAAAZHJzL2Rvd25yZXYueG1sUEsBAhQAFAAAAAgAh07iQFLilsvdAgAAJAYAAA4A&#10;AAAAAAAAAQAgAAAANQEAAGRycy9lMm9Eb2MueG1sUEsBAhQACgAAAAAAh07iQAAAAAAAAAAAAAAA&#10;AAQAAAAAAAAAAAAQAAAAFgAAAGRycy9QSwECFAAKAAAAAACHTuJAAAAAAAAAAAAAAAAABgAAAAAA&#10;AAAAABAAAAA+BAAAX3JlbHMvUEsFBgAAAAAGAAYAWQEAAIQG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eastAsia="宋体"/>
        <w:lang w:val="en-US" w:eastAsia="zh-CN"/>
      </w:rPr>
    </w:pP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7241833"/>
      <w:docPartObj>
        <w:docPartGallery w:val="autotext"/>
      </w:docPartObj>
    </w:sdtPr>
    <w:sdtContent>
      <w:p>
        <w:pPr>
          <w:pStyle w:val="14"/>
          <w:jc w:val="center"/>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4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7FF"/>
    <w:rsid w:val="000040A8"/>
    <w:rsid w:val="00004F4B"/>
    <w:rsid w:val="00007A1E"/>
    <w:rsid w:val="0001248C"/>
    <w:rsid w:val="00015D21"/>
    <w:rsid w:val="000172E9"/>
    <w:rsid w:val="00023038"/>
    <w:rsid w:val="00025330"/>
    <w:rsid w:val="00025FB7"/>
    <w:rsid w:val="00031074"/>
    <w:rsid w:val="00035C39"/>
    <w:rsid w:val="000363ED"/>
    <w:rsid w:val="00036F46"/>
    <w:rsid w:val="00036FEA"/>
    <w:rsid w:val="00037C32"/>
    <w:rsid w:val="0004062A"/>
    <w:rsid w:val="00040A1D"/>
    <w:rsid w:val="00041C91"/>
    <w:rsid w:val="00045ECF"/>
    <w:rsid w:val="000621FD"/>
    <w:rsid w:val="00062B3C"/>
    <w:rsid w:val="00064AB3"/>
    <w:rsid w:val="0006588F"/>
    <w:rsid w:val="000700AA"/>
    <w:rsid w:val="000701BA"/>
    <w:rsid w:val="00075F00"/>
    <w:rsid w:val="00077F8C"/>
    <w:rsid w:val="000803EC"/>
    <w:rsid w:val="00080B9D"/>
    <w:rsid w:val="000846DB"/>
    <w:rsid w:val="000920C4"/>
    <w:rsid w:val="0009316D"/>
    <w:rsid w:val="00095075"/>
    <w:rsid w:val="000A0E59"/>
    <w:rsid w:val="000A2CFD"/>
    <w:rsid w:val="000A54AA"/>
    <w:rsid w:val="000A632D"/>
    <w:rsid w:val="000B2217"/>
    <w:rsid w:val="000C0E45"/>
    <w:rsid w:val="000C155E"/>
    <w:rsid w:val="000C4302"/>
    <w:rsid w:val="000C4E08"/>
    <w:rsid w:val="000D30F7"/>
    <w:rsid w:val="000D3787"/>
    <w:rsid w:val="000D48A3"/>
    <w:rsid w:val="000D6847"/>
    <w:rsid w:val="000D74AC"/>
    <w:rsid w:val="000E06FF"/>
    <w:rsid w:val="000E1045"/>
    <w:rsid w:val="000E50B1"/>
    <w:rsid w:val="000F1C08"/>
    <w:rsid w:val="000F5CF1"/>
    <w:rsid w:val="000F665D"/>
    <w:rsid w:val="000F7564"/>
    <w:rsid w:val="00103DB2"/>
    <w:rsid w:val="00106882"/>
    <w:rsid w:val="001112F3"/>
    <w:rsid w:val="00111C2C"/>
    <w:rsid w:val="00112130"/>
    <w:rsid w:val="00113562"/>
    <w:rsid w:val="001156B8"/>
    <w:rsid w:val="00116500"/>
    <w:rsid w:val="00117FDB"/>
    <w:rsid w:val="00120CDE"/>
    <w:rsid w:val="00121C55"/>
    <w:rsid w:val="00121FA2"/>
    <w:rsid w:val="00123835"/>
    <w:rsid w:val="00123A6A"/>
    <w:rsid w:val="00124C1B"/>
    <w:rsid w:val="00125041"/>
    <w:rsid w:val="00127BD1"/>
    <w:rsid w:val="00130BCE"/>
    <w:rsid w:val="001325A4"/>
    <w:rsid w:val="001336D5"/>
    <w:rsid w:val="00134B5D"/>
    <w:rsid w:val="00142C1E"/>
    <w:rsid w:val="001435F0"/>
    <w:rsid w:val="00145AD9"/>
    <w:rsid w:val="00146AB2"/>
    <w:rsid w:val="001552FB"/>
    <w:rsid w:val="00161C20"/>
    <w:rsid w:val="0016431F"/>
    <w:rsid w:val="00172A27"/>
    <w:rsid w:val="00173171"/>
    <w:rsid w:val="00174C30"/>
    <w:rsid w:val="00174C9C"/>
    <w:rsid w:val="00176129"/>
    <w:rsid w:val="00176CD7"/>
    <w:rsid w:val="00181E7F"/>
    <w:rsid w:val="00185EA2"/>
    <w:rsid w:val="00186369"/>
    <w:rsid w:val="00187EF7"/>
    <w:rsid w:val="001921F1"/>
    <w:rsid w:val="00194166"/>
    <w:rsid w:val="00196FD6"/>
    <w:rsid w:val="001973C0"/>
    <w:rsid w:val="001A2121"/>
    <w:rsid w:val="001A5A75"/>
    <w:rsid w:val="001B7A8C"/>
    <w:rsid w:val="001C11E5"/>
    <w:rsid w:val="001C1A67"/>
    <w:rsid w:val="001C2243"/>
    <w:rsid w:val="001C397C"/>
    <w:rsid w:val="001C4FEE"/>
    <w:rsid w:val="001C73E1"/>
    <w:rsid w:val="001C759E"/>
    <w:rsid w:val="001C7F9A"/>
    <w:rsid w:val="001D16AF"/>
    <w:rsid w:val="001D1A62"/>
    <w:rsid w:val="001D37A0"/>
    <w:rsid w:val="001D394F"/>
    <w:rsid w:val="001D39A3"/>
    <w:rsid w:val="001D58A6"/>
    <w:rsid w:val="001D6353"/>
    <w:rsid w:val="001D6568"/>
    <w:rsid w:val="001D712E"/>
    <w:rsid w:val="001E32D9"/>
    <w:rsid w:val="001F1CD4"/>
    <w:rsid w:val="001F2CE6"/>
    <w:rsid w:val="001F3B23"/>
    <w:rsid w:val="0020153A"/>
    <w:rsid w:val="0020155B"/>
    <w:rsid w:val="00201B8C"/>
    <w:rsid w:val="00202EC6"/>
    <w:rsid w:val="00206939"/>
    <w:rsid w:val="0021142A"/>
    <w:rsid w:val="00211AA5"/>
    <w:rsid w:val="00211AD0"/>
    <w:rsid w:val="00216FAA"/>
    <w:rsid w:val="00222572"/>
    <w:rsid w:val="00223527"/>
    <w:rsid w:val="00232121"/>
    <w:rsid w:val="00235BEB"/>
    <w:rsid w:val="0023694E"/>
    <w:rsid w:val="00241CA8"/>
    <w:rsid w:val="002434C7"/>
    <w:rsid w:val="002441EA"/>
    <w:rsid w:val="002444A5"/>
    <w:rsid w:val="00250BBD"/>
    <w:rsid w:val="00260BE0"/>
    <w:rsid w:val="00260DEE"/>
    <w:rsid w:val="0026231C"/>
    <w:rsid w:val="002642D6"/>
    <w:rsid w:val="00265B6B"/>
    <w:rsid w:val="00267206"/>
    <w:rsid w:val="00271B6A"/>
    <w:rsid w:val="00272353"/>
    <w:rsid w:val="002754E5"/>
    <w:rsid w:val="00275C06"/>
    <w:rsid w:val="00293EEC"/>
    <w:rsid w:val="002955DD"/>
    <w:rsid w:val="0029690D"/>
    <w:rsid w:val="002B1156"/>
    <w:rsid w:val="002B37E3"/>
    <w:rsid w:val="002B407E"/>
    <w:rsid w:val="002B7D03"/>
    <w:rsid w:val="002C0561"/>
    <w:rsid w:val="002C66E9"/>
    <w:rsid w:val="002D15AC"/>
    <w:rsid w:val="002D29F9"/>
    <w:rsid w:val="002D35D9"/>
    <w:rsid w:val="002D3698"/>
    <w:rsid w:val="002D4364"/>
    <w:rsid w:val="002D5874"/>
    <w:rsid w:val="002E49DD"/>
    <w:rsid w:val="002E7726"/>
    <w:rsid w:val="002F2D38"/>
    <w:rsid w:val="002F3AC2"/>
    <w:rsid w:val="002F6C8F"/>
    <w:rsid w:val="002F7F91"/>
    <w:rsid w:val="00301C1D"/>
    <w:rsid w:val="00303194"/>
    <w:rsid w:val="003100FD"/>
    <w:rsid w:val="00321A1E"/>
    <w:rsid w:val="00331C87"/>
    <w:rsid w:val="0033288D"/>
    <w:rsid w:val="00332BE9"/>
    <w:rsid w:val="00335518"/>
    <w:rsid w:val="00335B1A"/>
    <w:rsid w:val="00335D2F"/>
    <w:rsid w:val="0034544F"/>
    <w:rsid w:val="00346671"/>
    <w:rsid w:val="0034764F"/>
    <w:rsid w:val="003478F9"/>
    <w:rsid w:val="00347F38"/>
    <w:rsid w:val="003507AF"/>
    <w:rsid w:val="003513E9"/>
    <w:rsid w:val="00353E1B"/>
    <w:rsid w:val="00355709"/>
    <w:rsid w:val="0036181F"/>
    <w:rsid w:val="00362E37"/>
    <w:rsid w:val="00364A88"/>
    <w:rsid w:val="003701E4"/>
    <w:rsid w:val="003869AB"/>
    <w:rsid w:val="00387CBA"/>
    <w:rsid w:val="00392301"/>
    <w:rsid w:val="00393376"/>
    <w:rsid w:val="00393650"/>
    <w:rsid w:val="003A3BBA"/>
    <w:rsid w:val="003A52B9"/>
    <w:rsid w:val="003A6D61"/>
    <w:rsid w:val="003A753D"/>
    <w:rsid w:val="003A7A8C"/>
    <w:rsid w:val="003B0201"/>
    <w:rsid w:val="003B2138"/>
    <w:rsid w:val="003B57EE"/>
    <w:rsid w:val="003B5C95"/>
    <w:rsid w:val="003B5E05"/>
    <w:rsid w:val="003B735B"/>
    <w:rsid w:val="003C1874"/>
    <w:rsid w:val="003C5956"/>
    <w:rsid w:val="003C7180"/>
    <w:rsid w:val="003C77FF"/>
    <w:rsid w:val="003D4CDD"/>
    <w:rsid w:val="003E0D7F"/>
    <w:rsid w:val="003E155E"/>
    <w:rsid w:val="003E1977"/>
    <w:rsid w:val="003F4F86"/>
    <w:rsid w:val="00406281"/>
    <w:rsid w:val="00407DA2"/>
    <w:rsid w:val="00407E60"/>
    <w:rsid w:val="004154B6"/>
    <w:rsid w:val="00417DAF"/>
    <w:rsid w:val="004207FB"/>
    <w:rsid w:val="00421DF8"/>
    <w:rsid w:val="0042219B"/>
    <w:rsid w:val="004228BF"/>
    <w:rsid w:val="00422B6A"/>
    <w:rsid w:val="00424782"/>
    <w:rsid w:val="00425346"/>
    <w:rsid w:val="00425B65"/>
    <w:rsid w:val="00437833"/>
    <w:rsid w:val="00440D5F"/>
    <w:rsid w:val="00444965"/>
    <w:rsid w:val="004465DF"/>
    <w:rsid w:val="00447471"/>
    <w:rsid w:val="004475E6"/>
    <w:rsid w:val="004504C8"/>
    <w:rsid w:val="004573D4"/>
    <w:rsid w:val="0045762B"/>
    <w:rsid w:val="00464B90"/>
    <w:rsid w:val="00464C16"/>
    <w:rsid w:val="004710DD"/>
    <w:rsid w:val="004713B9"/>
    <w:rsid w:val="0047400E"/>
    <w:rsid w:val="00474C74"/>
    <w:rsid w:val="00475258"/>
    <w:rsid w:val="0047656D"/>
    <w:rsid w:val="00477B7B"/>
    <w:rsid w:val="004819C9"/>
    <w:rsid w:val="00482274"/>
    <w:rsid w:val="00482FC9"/>
    <w:rsid w:val="004837D8"/>
    <w:rsid w:val="004853E0"/>
    <w:rsid w:val="00490DCD"/>
    <w:rsid w:val="00490F9C"/>
    <w:rsid w:val="00493B76"/>
    <w:rsid w:val="00494378"/>
    <w:rsid w:val="004C0E69"/>
    <w:rsid w:val="004C5289"/>
    <w:rsid w:val="004C6BC9"/>
    <w:rsid w:val="004D0836"/>
    <w:rsid w:val="004D0DAA"/>
    <w:rsid w:val="004D7EF9"/>
    <w:rsid w:val="004E3B91"/>
    <w:rsid w:val="004E46AB"/>
    <w:rsid w:val="004F0FFF"/>
    <w:rsid w:val="005002AD"/>
    <w:rsid w:val="00501EDD"/>
    <w:rsid w:val="00510C44"/>
    <w:rsid w:val="00512CE5"/>
    <w:rsid w:val="00515ED6"/>
    <w:rsid w:val="00517B79"/>
    <w:rsid w:val="00517CEA"/>
    <w:rsid w:val="0052033B"/>
    <w:rsid w:val="00522608"/>
    <w:rsid w:val="00522BE6"/>
    <w:rsid w:val="005239A4"/>
    <w:rsid w:val="00537956"/>
    <w:rsid w:val="005379D3"/>
    <w:rsid w:val="00540DB9"/>
    <w:rsid w:val="00541752"/>
    <w:rsid w:val="00542E1E"/>
    <w:rsid w:val="00552378"/>
    <w:rsid w:val="00552ABA"/>
    <w:rsid w:val="00552EA4"/>
    <w:rsid w:val="005615ED"/>
    <w:rsid w:val="00562667"/>
    <w:rsid w:val="00565CBB"/>
    <w:rsid w:val="00570A34"/>
    <w:rsid w:val="0057448C"/>
    <w:rsid w:val="005745FB"/>
    <w:rsid w:val="00576C20"/>
    <w:rsid w:val="00582803"/>
    <w:rsid w:val="00582856"/>
    <w:rsid w:val="00585737"/>
    <w:rsid w:val="005868DF"/>
    <w:rsid w:val="00590D82"/>
    <w:rsid w:val="00594FF6"/>
    <w:rsid w:val="00595352"/>
    <w:rsid w:val="00597FC9"/>
    <w:rsid w:val="005A060E"/>
    <w:rsid w:val="005A1226"/>
    <w:rsid w:val="005A143F"/>
    <w:rsid w:val="005A1F79"/>
    <w:rsid w:val="005A3387"/>
    <w:rsid w:val="005B0D9B"/>
    <w:rsid w:val="005B178F"/>
    <w:rsid w:val="005B67FA"/>
    <w:rsid w:val="005C082F"/>
    <w:rsid w:val="005C1D6F"/>
    <w:rsid w:val="005C2682"/>
    <w:rsid w:val="005C535A"/>
    <w:rsid w:val="005C6D0D"/>
    <w:rsid w:val="005D18AF"/>
    <w:rsid w:val="005D1DC0"/>
    <w:rsid w:val="005D2099"/>
    <w:rsid w:val="005D2752"/>
    <w:rsid w:val="005D3111"/>
    <w:rsid w:val="005D3237"/>
    <w:rsid w:val="005D70F2"/>
    <w:rsid w:val="005E009B"/>
    <w:rsid w:val="005E2D94"/>
    <w:rsid w:val="005E3434"/>
    <w:rsid w:val="005E3FE6"/>
    <w:rsid w:val="005E4E9B"/>
    <w:rsid w:val="005E5413"/>
    <w:rsid w:val="005F1814"/>
    <w:rsid w:val="005F4085"/>
    <w:rsid w:val="005F5282"/>
    <w:rsid w:val="005F58B6"/>
    <w:rsid w:val="00601E51"/>
    <w:rsid w:val="00606DFF"/>
    <w:rsid w:val="006072A4"/>
    <w:rsid w:val="00613534"/>
    <w:rsid w:val="006136BC"/>
    <w:rsid w:val="00614A8C"/>
    <w:rsid w:val="00615C6C"/>
    <w:rsid w:val="00615FDA"/>
    <w:rsid w:val="0062036E"/>
    <w:rsid w:val="00621CEF"/>
    <w:rsid w:val="00623EEA"/>
    <w:rsid w:val="0063185F"/>
    <w:rsid w:val="00633921"/>
    <w:rsid w:val="006378A5"/>
    <w:rsid w:val="00640552"/>
    <w:rsid w:val="00642DAE"/>
    <w:rsid w:val="00644CFF"/>
    <w:rsid w:val="00647055"/>
    <w:rsid w:val="00647946"/>
    <w:rsid w:val="006507B3"/>
    <w:rsid w:val="006512B2"/>
    <w:rsid w:val="006615C0"/>
    <w:rsid w:val="006670B7"/>
    <w:rsid w:val="00676B75"/>
    <w:rsid w:val="00680460"/>
    <w:rsid w:val="006810CC"/>
    <w:rsid w:val="00690468"/>
    <w:rsid w:val="00690EA1"/>
    <w:rsid w:val="0069108B"/>
    <w:rsid w:val="0069474A"/>
    <w:rsid w:val="00694DEE"/>
    <w:rsid w:val="006A0B26"/>
    <w:rsid w:val="006A6CAB"/>
    <w:rsid w:val="006B1814"/>
    <w:rsid w:val="006B2895"/>
    <w:rsid w:val="006C052B"/>
    <w:rsid w:val="006C3483"/>
    <w:rsid w:val="006C4C0A"/>
    <w:rsid w:val="006C5F9F"/>
    <w:rsid w:val="006D0D74"/>
    <w:rsid w:val="006D242E"/>
    <w:rsid w:val="006D598F"/>
    <w:rsid w:val="006D629E"/>
    <w:rsid w:val="006D6B8C"/>
    <w:rsid w:val="006D7890"/>
    <w:rsid w:val="006D793E"/>
    <w:rsid w:val="006E2C09"/>
    <w:rsid w:val="006E3249"/>
    <w:rsid w:val="006E40B2"/>
    <w:rsid w:val="006E4DE6"/>
    <w:rsid w:val="006E57A6"/>
    <w:rsid w:val="006E5EC1"/>
    <w:rsid w:val="006E60CD"/>
    <w:rsid w:val="006F4312"/>
    <w:rsid w:val="006F4953"/>
    <w:rsid w:val="006F6221"/>
    <w:rsid w:val="007043EC"/>
    <w:rsid w:val="007069A3"/>
    <w:rsid w:val="007116D8"/>
    <w:rsid w:val="00711FBB"/>
    <w:rsid w:val="0072776B"/>
    <w:rsid w:val="00731B1E"/>
    <w:rsid w:val="00734F4E"/>
    <w:rsid w:val="00743453"/>
    <w:rsid w:val="00744071"/>
    <w:rsid w:val="00744CAC"/>
    <w:rsid w:val="00747DDF"/>
    <w:rsid w:val="00751483"/>
    <w:rsid w:val="007518E8"/>
    <w:rsid w:val="007561BC"/>
    <w:rsid w:val="0075778E"/>
    <w:rsid w:val="0075793B"/>
    <w:rsid w:val="0076089D"/>
    <w:rsid w:val="00760F12"/>
    <w:rsid w:val="0076286F"/>
    <w:rsid w:val="00764CC1"/>
    <w:rsid w:val="007650D8"/>
    <w:rsid w:val="00765A33"/>
    <w:rsid w:val="00765FFC"/>
    <w:rsid w:val="0077062F"/>
    <w:rsid w:val="00771ED2"/>
    <w:rsid w:val="007740ED"/>
    <w:rsid w:val="00780105"/>
    <w:rsid w:val="00781B1F"/>
    <w:rsid w:val="0078230D"/>
    <w:rsid w:val="007827F9"/>
    <w:rsid w:val="00783325"/>
    <w:rsid w:val="00787C24"/>
    <w:rsid w:val="00791AE3"/>
    <w:rsid w:val="007944A2"/>
    <w:rsid w:val="00795B93"/>
    <w:rsid w:val="0079635B"/>
    <w:rsid w:val="00796468"/>
    <w:rsid w:val="007A1E29"/>
    <w:rsid w:val="007A4A9D"/>
    <w:rsid w:val="007A4EA2"/>
    <w:rsid w:val="007A5059"/>
    <w:rsid w:val="007A56B1"/>
    <w:rsid w:val="007B30AF"/>
    <w:rsid w:val="007B3638"/>
    <w:rsid w:val="007C2C1B"/>
    <w:rsid w:val="007D00E3"/>
    <w:rsid w:val="007D39E8"/>
    <w:rsid w:val="007D4A74"/>
    <w:rsid w:val="007D7734"/>
    <w:rsid w:val="007E110E"/>
    <w:rsid w:val="007E362B"/>
    <w:rsid w:val="007E5322"/>
    <w:rsid w:val="007F0C21"/>
    <w:rsid w:val="007F7194"/>
    <w:rsid w:val="007F7338"/>
    <w:rsid w:val="00800484"/>
    <w:rsid w:val="008104BD"/>
    <w:rsid w:val="008126AD"/>
    <w:rsid w:val="0082030C"/>
    <w:rsid w:val="00820B79"/>
    <w:rsid w:val="008347E6"/>
    <w:rsid w:val="008352A0"/>
    <w:rsid w:val="008363F4"/>
    <w:rsid w:val="008369FC"/>
    <w:rsid w:val="00840BEF"/>
    <w:rsid w:val="00841048"/>
    <w:rsid w:val="00841A54"/>
    <w:rsid w:val="00850AE4"/>
    <w:rsid w:val="008530D0"/>
    <w:rsid w:val="0085447A"/>
    <w:rsid w:val="0085566D"/>
    <w:rsid w:val="008558FD"/>
    <w:rsid w:val="00862FEA"/>
    <w:rsid w:val="00864841"/>
    <w:rsid w:val="0086521F"/>
    <w:rsid w:val="00866685"/>
    <w:rsid w:val="00871E44"/>
    <w:rsid w:val="008775A4"/>
    <w:rsid w:val="008816B3"/>
    <w:rsid w:val="008816DB"/>
    <w:rsid w:val="00883010"/>
    <w:rsid w:val="008860E0"/>
    <w:rsid w:val="00887190"/>
    <w:rsid w:val="00887CBC"/>
    <w:rsid w:val="00893597"/>
    <w:rsid w:val="0089367C"/>
    <w:rsid w:val="00894517"/>
    <w:rsid w:val="008960D4"/>
    <w:rsid w:val="008977A9"/>
    <w:rsid w:val="008A1DFA"/>
    <w:rsid w:val="008A3B6B"/>
    <w:rsid w:val="008B3500"/>
    <w:rsid w:val="008C058F"/>
    <w:rsid w:val="008D7725"/>
    <w:rsid w:val="008E0B23"/>
    <w:rsid w:val="008E2CFC"/>
    <w:rsid w:val="008E2D5D"/>
    <w:rsid w:val="008E46EE"/>
    <w:rsid w:val="008E4E99"/>
    <w:rsid w:val="008F0E32"/>
    <w:rsid w:val="008F5A9D"/>
    <w:rsid w:val="008F7559"/>
    <w:rsid w:val="009034D1"/>
    <w:rsid w:val="0090503A"/>
    <w:rsid w:val="009060A3"/>
    <w:rsid w:val="00911D05"/>
    <w:rsid w:val="009134A9"/>
    <w:rsid w:val="009206C5"/>
    <w:rsid w:val="00925FBC"/>
    <w:rsid w:val="0093454C"/>
    <w:rsid w:val="009351BD"/>
    <w:rsid w:val="00941C81"/>
    <w:rsid w:val="009426BA"/>
    <w:rsid w:val="00944FE9"/>
    <w:rsid w:val="009501AE"/>
    <w:rsid w:val="009537B6"/>
    <w:rsid w:val="00953DDB"/>
    <w:rsid w:val="009546A0"/>
    <w:rsid w:val="00954C4F"/>
    <w:rsid w:val="00960CE3"/>
    <w:rsid w:val="00962F4F"/>
    <w:rsid w:val="009703AE"/>
    <w:rsid w:val="00970DB5"/>
    <w:rsid w:val="009710F3"/>
    <w:rsid w:val="00972F13"/>
    <w:rsid w:val="00975452"/>
    <w:rsid w:val="0097554C"/>
    <w:rsid w:val="0098031C"/>
    <w:rsid w:val="00982B92"/>
    <w:rsid w:val="0098378D"/>
    <w:rsid w:val="00985B18"/>
    <w:rsid w:val="009878AB"/>
    <w:rsid w:val="00990B3A"/>
    <w:rsid w:val="00990D57"/>
    <w:rsid w:val="00991D16"/>
    <w:rsid w:val="0099273C"/>
    <w:rsid w:val="00995FE7"/>
    <w:rsid w:val="0099693D"/>
    <w:rsid w:val="009A3C05"/>
    <w:rsid w:val="009A45DF"/>
    <w:rsid w:val="009A4FAB"/>
    <w:rsid w:val="009A7EFD"/>
    <w:rsid w:val="009C420C"/>
    <w:rsid w:val="009C5084"/>
    <w:rsid w:val="009C71FA"/>
    <w:rsid w:val="009D1CB5"/>
    <w:rsid w:val="009D21D3"/>
    <w:rsid w:val="009D7914"/>
    <w:rsid w:val="009E0FDA"/>
    <w:rsid w:val="009E2B30"/>
    <w:rsid w:val="009E43AF"/>
    <w:rsid w:val="009E5869"/>
    <w:rsid w:val="009E5F7B"/>
    <w:rsid w:val="009E6579"/>
    <w:rsid w:val="00A0065F"/>
    <w:rsid w:val="00A069AD"/>
    <w:rsid w:val="00A06C0A"/>
    <w:rsid w:val="00A1217C"/>
    <w:rsid w:val="00A12C92"/>
    <w:rsid w:val="00A16046"/>
    <w:rsid w:val="00A17ACB"/>
    <w:rsid w:val="00A2086D"/>
    <w:rsid w:val="00A215AD"/>
    <w:rsid w:val="00A3555B"/>
    <w:rsid w:val="00A35E61"/>
    <w:rsid w:val="00A35EFB"/>
    <w:rsid w:val="00A40A70"/>
    <w:rsid w:val="00A454E2"/>
    <w:rsid w:val="00A50AA6"/>
    <w:rsid w:val="00A50AA8"/>
    <w:rsid w:val="00A52412"/>
    <w:rsid w:val="00A53E42"/>
    <w:rsid w:val="00A565DD"/>
    <w:rsid w:val="00A57A08"/>
    <w:rsid w:val="00A600BE"/>
    <w:rsid w:val="00A635FC"/>
    <w:rsid w:val="00A63632"/>
    <w:rsid w:val="00A63914"/>
    <w:rsid w:val="00A6464B"/>
    <w:rsid w:val="00A64D86"/>
    <w:rsid w:val="00A704C2"/>
    <w:rsid w:val="00A713E5"/>
    <w:rsid w:val="00A7257E"/>
    <w:rsid w:val="00A74BDF"/>
    <w:rsid w:val="00A76DE6"/>
    <w:rsid w:val="00A774AA"/>
    <w:rsid w:val="00A82F99"/>
    <w:rsid w:val="00A842E2"/>
    <w:rsid w:val="00A87C02"/>
    <w:rsid w:val="00A900D4"/>
    <w:rsid w:val="00A92000"/>
    <w:rsid w:val="00A94A34"/>
    <w:rsid w:val="00AA149E"/>
    <w:rsid w:val="00AA3334"/>
    <w:rsid w:val="00AA4DD7"/>
    <w:rsid w:val="00AA7CCD"/>
    <w:rsid w:val="00AB0AFC"/>
    <w:rsid w:val="00AB3122"/>
    <w:rsid w:val="00AB52E5"/>
    <w:rsid w:val="00AB56E9"/>
    <w:rsid w:val="00AB5F12"/>
    <w:rsid w:val="00AB6865"/>
    <w:rsid w:val="00AB6F55"/>
    <w:rsid w:val="00AC0991"/>
    <w:rsid w:val="00AC0C94"/>
    <w:rsid w:val="00AC1A88"/>
    <w:rsid w:val="00AC4F27"/>
    <w:rsid w:val="00AC74DD"/>
    <w:rsid w:val="00AD0DA3"/>
    <w:rsid w:val="00AD3E80"/>
    <w:rsid w:val="00AD42C3"/>
    <w:rsid w:val="00AD45F5"/>
    <w:rsid w:val="00AE325C"/>
    <w:rsid w:val="00AE36D9"/>
    <w:rsid w:val="00AE57E8"/>
    <w:rsid w:val="00AE75FA"/>
    <w:rsid w:val="00AE76D0"/>
    <w:rsid w:val="00AE7B0A"/>
    <w:rsid w:val="00AF0B68"/>
    <w:rsid w:val="00AF2355"/>
    <w:rsid w:val="00B0292F"/>
    <w:rsid w:val="00B13CEA"/>
    <w:rsid w:val="00B14AF4"/>
    <w:rsid w:val="00B2029B"/>
    <w:rsid w:val="00B2413D"/>
    <w:rsid w:val="00B25D5F"/>
    <w:rsid w:val="00B31440"/>
    <w:rsid w:val="00B33B8A"/>
    <w:rsid w:val="00B33CCE"/>
    <w:rsid w:val="00B34137"/>
    <w:rsid w:val="00B359E7"/>
    <w:rsid w:val="00B3793F"/>
    <w:rsid w:val="00B3797C"/>
    <w:rsid w:val="00B41722"/>
    <w:rsid w:val="00B55477"/>
    <w:rsid w:val="00B60564"/>
    <w:rsid w:val="00B6697B"/>
    <w:rsid w:val="00B728B0"/>
    <w:rsid w:val="00B72F9C"/>
    <w:rsid w:val="00B734E4"/>
    <w:rsid w:val="00B7517E"/>
    <w:rsid w:val="00B819C4"/>
    <w:rsid w:val="00B91465"/>
    <w:rsid w:val="00B9610E"/>
    <w:rsid w:val="00BA0321"/>
    <w:rsid w:val="00BA4025"/>
    <w:rsid w:val="00BA5205"/>
    <w:rsid w:val="00BB0281"/>
    <w:rsid w:val="00BB0F7F"/>
    <w:rsid w:val="00BB332C"/>
    <w:rsid w:val="00BB5705"/>
    <w:rsid w:val="00BC0D3C"/>
    <w:rsid w:val="00BC4C27"/>
    <w:rsid w:val="00BC6334"/>
    <w:rsid w:val="00BD26F8"/>
    <w:rsid w:val="00BD6580"/>
    <w:rsid w:val="00BD7131"/>
    <w:rsid w:val="00BE00C7"/>
    <w:rsid w:val="00BE2789"/>
    <w:rsid w:val="00BE71FB"/>
    <w:rsid w:val="00BF1743"/>
    <w:rsid w:val="00BF4875"/>
    <w:rsid w:val="00BF696A"/>
    <w:rsid w:val="00C02BBE"/>
    <w:rsid w:val="00C03907"/>
    <w:rsid w:val="00C05C89"/>
    <w:rsid w:val="00C07FCE"/>
    <w:rsid w:val="00C12E1B"/>
    <w:rsid w:val="00C143BA"/>
    <w:rsid w:val="00C17C8D"/>
    <w:rsid w:val="00C2347B"/>
    <w:rsid w:val="00C32232"/>
    <w:rsid w:val="00C32E6E"/>
    <w:rsid w:val="00C33414"/>
    <w:rsid w:val="00C35B1E"/>
    <w:rsid w:val="00C375C4"/>
    <w:rsid w:val="00C42ACB"/>
    <w:rsid w:val="00C4308A"/>
    <w:rsid w:val="00C4551D"/>
    <w:rsid w:val="00C525F4"/>
    <w:rsid w:val="00C540E8"/>
    <w:rsid w:val="00C551EA"/>
    <w:rsid w:val="00C6383B"/>
    <w:rsid w:val="00C63BDE"/>
    <w:rsid w:val="00C66473"/>
    <w:rsid w:val="00C66A1A"/>
    <w:rsid w:val="00C66EA0"/>
    <w:rsid w:val="00C70284"/>
    <w:rsid w:val="00C71D93"/>
    <w:rsid w:val="00C751EA"/>
    <w:rsid w:val="00C84043"/>
    <w:rsid w:val="00C92433"/>
    <w:rsid w:val="00C96726"/>
    <w:rsid w:val="00CA1DBB"/>
    <w:rsid w:val="00CA3F80"/>
    <w:rsid w:val="00CB14F8"/>
    <w:rsid w:val="00CB1C1D"/>
    <w:rsid w:val="00CB2BEB"/>
    <w:rsid w:val="00CB32D6"/>
    <w:rsid w:val="00CB5212"/>
    <w:rsid w:val="00CB5F8C"/>
    <w:rsid w:val="00CB674E"/>
    <w:rsid w:val="00CC29B7"/>
    <w:rsid w:val="00CC3531"/>
    <w:rsid w:val="00CC3964"/>
    <w:rsid w:val="00CC397C"/>
    <w:rsid w:val="00CC6AEB"/>
    <w:rsid w:val="00CD1D3D"/>
    <w:rsid w:val="00CD57C0"/>
    <w:rsid w:val="00CD7889"/>
    <w:rsid w:val="00CE3D66"/>
    <w:rsid w:val="00CE47CE"/>
    <w:rsid w:val="00CF36DA"/>
    <w:rsid w:val="00CF672A"/>
    <w:rsid w:val="00D00EA1"/>
    <w:rsid w:val="00D01B86"/>
    <w:rsid w:val="00D07923"/>
    <w:rsid w:val="00D11A40"/>
    <w:rsid w:val="00D16516"/>
    <w:rsid w:val="00D17B6E"/>
    <w:rsid w:val="00D21920"/>
    <w:rsid w:val="00D250EA"/>
    <w:rsid w:val="00D33295"/>
    <w:rsid w:val="00D3662A"/>
    <w:rsid w:val="00D407F1"/>
    <w:rsid w:val="00D40D2E"/>
    <w:rsid w:val="00D453A5"/>
    <w:rsid w:val="00D510AE"/>
    <w:rsid w:val="00D52140"/>
    <w:rsid w:val="00D56A02"/>
    <w:rsid w:val="00D574B2"/>
    <w:rsid w:val="00D61C9D"/>
    <w:rsid w:val="00D6275C"/>
    <w:rsid w:val="00D64BE1"/>
    <w:rsid w:val="00D64ED9"/>
    <w:rsid w:val="00D6561B"/>
    <w:rsid w:val="00D6746C"/>
    <w:rsid w:val="00D73779"/>
    <w:rsid w:val="00D757A7"/>
    <w:rsid w:val="00D76372"/>
    <w:rsid w:val="00D829AE"/>
    <w:rsid w:val="00D8440B"/>
    <w:rsid w:val="00D876BA"/>
    <w:rsid w:val="00D910C9"/>
    <w:rsid w:val="00D92D54"/>
    <w:rsid w:val="00D93B30"/>
    <w:rsid w:val="00D94900"/>
    <w:rsid w:val="00D95A6F"/>
    <w:rsid w:val="00DA1902"/>
    <w:rsid w:val="00DA642B"/>
    <w:rsid w:val="00DA6777"/>
    <w:rsid w:val="00DB4882"/>
    <w:rsid w:val="00DB4B2B"/>
    <w:rsid w:val="00DB6736"/>
    <w:rsid w:val="00DB7FA2"/>
    <w:rsid w:val="00DC0676"/>
    <w:rsid w:val="00DC1828"/>
    <w:rsid w:val="00DC18CA"/>
    <w:rsid w:val="00DC2102"/>
    <w:rsid w:val="00DC451E"/>
    <w:rsid w:val="00DC5F5F"/>
    <w:rsid w:val="00DD0103"/>
    <w:rsid w:val="00DD32DC"/>
    <w:rsid w:val="00DD4663"/>
    <w:rsid w:val="00DD6D95"/>
    <w:rsid w:val="00DD7BED"/>
    <w:rsid w:val="00DE2034"/>
    <w:rsid w:val="00DE53E1"/>
    <w:rsid w:val="00DE55E2"/>
    <w:rsid w:val="00DE6C35"/>
    <w:rsid w:val="00DE7023"/>
    <w:rsid w:val="00DF4012"/>
    <w:rsid w:val="00E02237"/>
    <w:rsid w:val="00E06182"/>
    <w:rsid w:val="00E071AC"/>
    <w:rsid w:val="00E10011"/>
    <w:rsid w:val="00E10107"/>
    <w:rsid w:val="00E12ED8"/>
    <w:rsid w:val="00E1311B"/>
    <w:rsid w:val="00E13842"/>
    <w:rsid w:val="00E16AE2"/>
    <w:rsid w:val="00E17515"/>
    <w:rsid w:val="00E17DAE"/>
    <w:rsid w:val="00E200B8"/>
    <w:rsid w:val="00E20F57"/>
    <w:rsid w:val="00E21CE0"/>
    <w:rsid w:val="00E22437"/>
    <w:rsid w:val="00E23891"/>
    <w:rsid w:val="00E25A7F"/>
    <w:rsid w:val="00E33D73"/>
    <w:rsid w:val="00E37116"/>
    <w:rsid w:val="00E4043F"/>
    <w:rsid w:val="00E4086E"/>
    <w:rsid w:val="00E41A54"/>
    <w:rsid w:val="00E44063"/>
    <w:rsid w:val="00E44C31"/>
    <w:rsid w:val="00E46AF4"/>
    <w:rsid w:val="00E50E58"/>
    <w:rsid w:val="00E51E6B"/>
    <w:rsid w:val="00E53D0A"/>
    <w:rsid w:val="00E56A2C"/>
    <w:rsid w:val="00E56B35"/>
    <w:rsid w:val="00E60627"/>
    <w:rsid w:val="00E606AB"/>
    <w:rsid w:val="00E63AD7"/>
    <w:rsid w:val="00E66FCE"/>
    <w:rsid w:val="00E6783B"/>
    <w:rsid w:val="00E6787D"/>
    <w:rsid w:val="00E7093F"/>
    <w:rsid w:val="00E7318C"/>
    <w:rsid w:val="00E73842"/>
    <w:rsid w:val="00E75234"/>
    <w:rsid w:val="00E75CB7"/>
    <w:rsid w:val="00E7634F"/>
    <w:rsid w:val="00E77A63"/>
    <w:rsid w:val="00E77DAC"/>
    <w:rsid w:val="00E82486"/>
    <w:rsid w:val="00E85AC5"/>
    <w:rsid w:val="00E86A85"/>
    <w:rsid w:val="00E872F7"/>
    <w:rsid w:val="00E8735C"/>
    <w:rsid w:val="00E9042A"/>
    <w:rsid w:val="00E91D07"/>
    <w:rsid w:val="00E91EFA"/>
    <w:rsid w:val="00E91FA5"/>
    <w:rsid w:val="00E924A7"/>
    <w:rsid w:val="00E95B4A"/>
    <w:rsid w:val="00EA1900"/>
    <w:rsid w:val="00EA466F"/>
    <w:rsid w:val="00EA5CCF"/>
    <w:rsid w:val="00EB1436"/>
    <w:rsid w:val="00EB5847"/>
    <w:rsid w:val="00EC0793"/>
    <w:rsid w:val="00EC3EA8"/>
    <w:rsid w:val="00EC4667"/>
    <w:rsid w:val="00EC6AE0"/>
    <w:rsid w:val="00ED05E7"/>
    <w:rsid w:val="00ED454C"/>
    <w:rsid w:val="00EE07F7"/>
    <w:rsid w:val="00EE33C3"/>
    <w:rsid w:val="00EE7B25"/>
    <w:rsid w:val="00EF23E3"/>
    <w:rsid w:val="00EF7A68"/>
    <w:rsid w:val="00F1009F"/>
    <w:rsid w:val="00F1064B"/>
    <w:rsid w:val="00F10867"/>
    <w:rsid w:val="00F10DC1"/>
    <w:rsid w:val="00F12B7E"/>
    <w:rsid w:val="00F13164"/>
    <w:rsid w:val="00F1621C"/>
    <w:rsid w:val="00F16869"/>
    <w:rsid w:val="00F20D8B"/>
    <w:rsid w:val="00F20E94"/>
    <w:rsid w:val="00F255CC"/>
    <w:rsid w:val="00F3154F"/>
    <w:rsid w:val="00F3180B"/>
    <w:rsid w:val="00F31DCD"/>
    <w:rsid w:val="00F33AF0"/>
    <w:rsid w:val="00F35FD1"/>
    <w:rsid w:val="00F417C4"/>
    <w:rsid w:val="00F420C6"/>
    <w:rsid w:val="00F423DE"/>
    <w:rsid w:val="00F43550"/>
    <w:rsid w:val="00F441A6"/>
    <w:rsid w:val="00F46AFD"/>
    <w:rsid w:val="00F47410"/>
    <w:rsid w:val="00F500A0"/>
    <w:rsid w:val="00F51453"/>
    <w:rsid w:val="00F6161A"/>
    <w:rsid w:val="00F62C96"/>
    <w:rsid w:val="00F6663B"/>
    <w:rsid w:val="00F67F5D"/>
    <w:rsid w:val="00F731F4"/>
    <w:rsid w:val="00F7343E"/>
    <w:rsid w:val="00F73B47"/>
    <w:rsid w:val="00F80EE9"/>
    <w:rsid w:val="00F821B9"/>
    <w:rsid w:val="00F86643"/>
    <w:rsid w:val="00F90FD6"/>
    <w:rsid w:val="00F95132"/>
    <w:rsid w:val="00F96263"/>
    <w:rsid w:val="00F96334"/>
    <w:rsid w:val="00F96DC5"/>
    <w:rsid w:val="00F9766A"/>
    <w:rsid w:val="00FA30AC"/>
    <w:rsid w:val="00FA500E"/>
    <w:rsid w:val="00FA56F6"/>
    <w:rsid w:val="00FA648D"/>
    <w:rsid w:val="00FB3A27"/>
    <w:rsid w:val="00FB4060"/>
    <w:rsid w:val="00FB4703"/>
    <w:rsid w:val="00FB49DE"/>
    <w:rsid w:val="00FB742E"/>
    <w:rsid w:val="00FC03A1"/>
    <w:rsid w:val="00FD10A2"/>
    <w:rsid w:val="00FD6DD5"/>
    <w:rsid w:val="00FD72EE"/>
    <w:rsid w:val="00FD747A"/>
    <w:rsid w:val="00FF30C9"/>
    <w:rsid w:val="00FF5B43"/>
    <w:rsid w:val="02552783"/>
    <w:rsid w:val="05C51977"/>
    <w:rsid w:val="05EE1040"/>
    <w:rsid w:val="063A00A8"/>
    <w:rsid w:val="07972DCF"/>
    <w:rsid w:val="07B001F6"/>
    <w:rsid w:val="09036BB8"/>
    <w:rsid w:val="099B4FA5"/>
    <w:rsid w:val="0A2153C0"/>
    <w:rsid w:val="0A9F4195"/>
    <w:rsid w:val="0ACE57D3"/>
    <w:rsid w:val="0CB87790"/>
    <w:rsid w:val="0CF40B0D"/>
    <w:rsid w:val="0DC5681D"/>
    <w:rsid w:val="0DD75216"/>
    <w:rsid w:val="0DF4176C"/>
    <w:rsid w:val="0F8F68CE"/>
    <w:rsid w:val="0FBFE424"/>
    <w:rsid w:val="100C41E2"/>
    <w:rsid w:val="10215458"/>
    <w:rsid w:val="10330CA8"/>
    <w:rsid w:val="111767D0"/>
    <w:rsid w:val="11191E3A"/>
    <w:rsid w:val="113376B1"/>
    <w:rsid w:val="11372712"/>
    <w:rsid w:val="12072EA1"/>
    <w:rsid w:val="12406174"/>
    <w:rsid w:val="12C969F8"/>
    <w:rsid w:val="12FF7821"/>
    <w:rsid w:val="137A23AB"/>
    <w:rsid w:val="13E175CD"/>
    <w:rsid w:val="144A032B"/>
    <w:rsid w:val="14BD2529"/>
    <w:rsid w:val="15821E90"/>
    <w:rsid w:val="164B3423"/>
    <w:rsid w:val="17400AAE"/>
    <w:rsid w:val="17C6492B"/>
    <w:rsid w:val="17E10A7F"/>
    <w:rsid w:val="181B7620"/>
    <w:rsid w:val="1A1409D8"/>
    <w:rsid w:val="1A9A7E5C"/>
    <w:rsid w:val="1B103287"/>
    <w:rsid w:val="1B76791E"/>
    <w:rsid w:val="1BA875D4"/>
    <w:rsid w:val="1C763D6F"/>
    <w:rsid w:val="1DCF26A1"/>
    <w:rsid w:val="1E741268"/>
    <w:rsid w:val="1FA47700"/>
    <w:rsid w:val="1FD843BB"/>
    <w:rsid w:val="223125DC"/>
    <w:rsid w:val="229026A0"/>
    <w:rsid w:val="23403BE4"/>
    <w:rsid w:val="235373AF"/>
    <w:rsid w:val="23907C91"/>
    <w:rsid w:val="245156B8"/>
    <w:rsid w:val="249D3020"/>
    <w:rsid w:val="25686850"/>
    <w:rsid w:val="25703F94"/>
    <w:rsid w:val="25D47407"/>
    <w:rsid w:val="264333CB"/>
    <w:rsid w:val="26676CA3"/>
    <w:rsid w:val="26830160"/>
    <w:rsid w:val="28A93C2F"/>
    <w:rsid w:val="29341A2A"/>
    <w:rsid w:val="29C4731D"/>
    <w:rsid w:val="2AC00071"/>
    <w:rsid w:val="2C8F476B"/>
    <w:rsid w:val="2DAE4927"/>
    <w:rsid w:val="2E3A7ABE"/>
    <w:rsid w:val="2EBD3C67"/>
    <w:rsid w:val="2F520F27"/>
    <w:rsid w:val="2F7455DA"/>
    <w:rsid w:val="2F772079"/>
    <w:rsid w:val="2F93192D"/>
    <w:rsid w:val="31916B13"/>
    <w:rsid w:val="31BA5C46"/>
    <w:rsid w:val="32453007"/>
    <w:rsid w:val="33552D94"/>
    <w:rsid w:val="33E17AAA"/>
    <w:rsid w:val="361425AF"/>
    <w:rsid w:val="369B1405"/>
    <w:rsid w:val="36CB3ED7"/>
    <w:rsid w:val="3788066B"/>
    <w:rsid w:val="37A040B6"/>
    <w:rsid w:val="37E4123B"/>
    <w:rsid w:val="37FF7807"/>
    <w:rsid w:val="37FFDE58"/>
    <w:rsid w:val="3860008F"/>
    <w:rsid w:val="39AD47AD"/>
    <w:rsid w:val="39FFED1E"/>
    <w:rsid w:val="3A1D2046"/>
    <w:rsid w:val="3AE419F4"/>
    <w:rsid w:val="3B554279"/>
    <w:rsid w:val="3C533C0B"/>
    <w:rsid w:val="3C63228A"/>
    <w:rsid w:val="3C7F0B32"/>
    <w:rsid w:val="3DF53B37"/>
    <w:rsid w:val="3E1A124B"/>
    <w:rsid w:val="3EAD12F5"/>
    <w:rsid w:val="3F3E1078"/>
    <w:rsid w:val="3F484A5E"/>
    <w:rsid w:val="3F51413E"/>
    <w:rsid w:val="3FDFE1C9"/>
    <w:rsid w:val="3FF28F75"/>
    <w:rsid w:val="3FF70CB1"/>
    <w:rsid w:val="40512B35"/>
    <w:rsid w:val="41A334C2"/>
    <w:rsid w:val="42FB06F2"/>
    <w:rsid w:val="43191809"/>
    <w:rsid w:val="43C04259"/>
    <w:rsid w:val="44021DD3"/>
    <w:rsid w:val="44A216AA"/>
    <w:rsid w:val="45FC5757"/>
    <w:rsid w:val="46002887"/>
    <w:rsid w:val="46DE157F"/>
    <w:rsid w:val="48D15649"/>
    <w:rsid w:val="496322F6"/>
    <w:rsid w:val="49A51C7E"/>
    <w:rsid w:val="49E3299D"/>
    <w:rsid w:val="4A1F0DB2"/>
    <w:rsid w:val="4A581C9D"/>
    <w:rsid w:val="4A8C4AF7"/>
    <w:rsid w:val="4BA80A71"/>
    <w:rsid w:val="4C936E94"/>
    <w:rsid w:val="4D2C7600"/>
    <w:rsid w:val="4DCD7C9F"/>
    <w:rsid w:val="4F063322"/>
    <w:rsid w:val="4F3877A3"/>
    <w:rsid w:val="505A32C4"/>
    <w:rsid w:val="51063691"/>
    <w:rsid w:val="516E2B6C"/>
    <w:rsid w:val="52823936"/>
    <w:rsid w:val="52F87979"/>
    <w:rsid w:val="53BA7261"/>
    <w:rsid w:val="53BC4515"/>
    <w:rsid w:val="53E81E61"/>
    <w:rsid w:val="54421234"/>
    <w:rsid w:val="547EBBFC"/>
    <w:rsid w:val="54B63838"/>
    <w:rsid w:val="55042E6B"/>
    <w:rsid w:val="55DF6F34"/>
    <w:rsid w:val="55FFEE0D"/>
    <w:rsid w:val="567B2712"/>
    <w:rsid w:val="56D86233"/>
    <w:rsid w:val="56F72EA9"/>
    <w:rsid w:val="56F82540"/>
    <w:rsid w:val="58205753"/>
    <w:rsid w:val="587C34AD"/>
    <w:rsid w:val="58C13E01"/>
    <w:rsid w:val="5A0A79CC"/>
    <w:rsid w:val="5A494BC1"/>
    <w:rsid w:val="5A5125C7"/>
    <w:rsid w:val="5ACD132B"/>
    <w:rsid w:val="5B7D9649"/>
    <w:rsid w:val="5BE25154"/>
    <w:rsid w:val="5BF81F4D"/>
    <w:rsid w:val="5C1A5B0F"/>
    <w:rsid w:val="5DFDA677"/>
    <w:rsid w:val="5E4A0E97"/>
    <w:rsid w:val="5E753359"/>
    <w:rsid w:val="5E7C56E4"/>
    <w:rsid w:val="5E956E77"/>
    <w:rsid w:val="5EBC59BB"/>
    <w:rsid w:val="5EEA272E"/>
    <w:rsid w:val="5EED049B"/>
    <w:rsid w:val="5EFEB4AD"/>
    <w:rsid w:val="5F3F3BDC"/>
    <w:rsid w:val="5FC5363E"/>
    <w:rsid w:val="60963EAC"/>
    <w:rsid w:val="643B0AD2"/>
    <w:rsid w:val="647E2EB0"/>
    <w:rsid w:val="64B24842"/>
    <w:rsid w:val="65AD68DC"/>
    <w:rsid w:val="661E684B"/>
    <w:rsid w:val="666E21D3"/>
    <w:rsid w:val="66954BF2"/>
    <w:rsid w:val="688530CD"/>
    <w:rsid w:val="6AFE295E"/>
    <w:rsid w:val="6BF53364"/>
    <w:rsid w:val="6C892477"/>
    <w:rsid w:val="6CB965E4"/>
    <w:rsid w:val="6D7B191D"/>
    <w:rsid w:val="6D9F0D29"/>
    <w:rsid w:val="6EDA12BB"/>
    <w:rsid w:val="6F7BEB57"/>
    <w:rsid w:val="6F7F7E08"/>
    <w:rsid w:val="6FB77AB4"/>
    <w:rsid w:val="6FFD25CB"/>
    <w:rsid w:val="70657DB3"/>
    <w:rsid w:val="71BC3220"/>
    <w:rsid w:val="71C455D3"/>
    <w:rsid w:val="729732E6"/>
    <w:rsid w:val="734050BC"/>
    <w:rsid w:val="73417AF3"/>
    <w:rsid w:val="7363447D"/>
    <w:rsid w:val="73E51BB4"/>
    <w:rsid w:val="73F44951"/>
    <w:rsid w:val="755D184F"/>
    <w:rsid w:val="75D57D60"/>
    <w:rsid w:val="76307DAC"/>
    <w:rsid w:val="769211D6"/>
    <w:rsid w:val="777F3B6E"/>
    <w:rsid w:val="777FD4F6"/>
    <w:rsid w:val="77FDF415"/>
    <w:rsid w:val="79882CF2"/>
    <w:rsid w:val="79896BC2"/>
    <w:rsid w:val="79D85F74"/>
    <w:rsid w:val="7B37A1E3"/>
    <w:rsid w:val="7BCE8507"/>
    <w:rsid w:val="7BFB6827"/>
    <w:rsid w:val="7C5B09E8"/>
    <w:rsid w:val="7C6A7D38"/>
    <w:rsid w:val="7D253442"/>
    <w:rsid w:val="7D2661FD"/>
    <w:rsid w:val="7D31799A"/>
    <w:rsid w:val="7D4B0427"/>
    <w:rsid w:val="7D625DE5"/>
    <w:rsid w:val="7D8B30CD"/>
    <w:rsid w:val="7DBE8DE3"/>
    <w:rsid w:val="7DBFC1F4"/>
    <w:rsid w:val="7FB5508A"/>
    <w:rsid w:val="7FCE294E"/>
    <w:rsid w:val="7FD63203"/>
    <w:rsid w:val="99BFF47F"/>
    <w:rsid w:val="9E7D02B1"/>
    <w:rsid w:val="9FF64E58"/>
    <w:rsid w:val="9FFE5A6F"/>
    <w:rsid w:val="ADFFD1CC"/>
    <w:rsid w:val="AFC63EF7"/>
    <w:rsid w:val="AFEBD08C"/>
    <w:rsid w:val="B1F9EE04"/>
    <w:rsid w:val="B6FBBD01"/>
    <w:rsid w:val="B7CACF10"/>
    <w:rsid w:val="BE4FD38E"/>
    <w:rsid w:val="BEBEA6B9"/>
    <w:rsid w:val="BF7B922C"/>
    <w:rsid w:val="CEEB9245"/>
    <w:rsid w:val="D1EEF596"/>
    <w:rsid w:val="D3D713A3"/>
    <w:rsid w:val="D9DB2F69"/>
    <w:rsid w:val="DF7EF7E2"/>
    <w:rsid w:val="DF86BA31"/>
    <w:rsid w:val="DFD177C3"/>
    <w:rsid w:val="EB3FB6E5"/>
    <w:rsid w:val="EBEEC7A7"/>
    <w:rsid w:val="EDEB7587"/>
    <w:rsid w:val="EDFD6F52"/>
    <w:rsid w:val="EE7F5004"/>
    <w:rsid w:val="FA7F41AA"/>
    <w:rsid w:val="FB17EC01"/>
    <w:rsid w:val="FBB3D137"/>
    <w:rsid w:val="FBFF8480"/>
    <w:rsid w:val="FF3901F9"/>
    <w:rsid w:val="FFB7DE5E"/>
    <w:rsid w:val="FFF93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Calibri" w:hAnsi="Calibri" w:eastAsia="宋体" w:cs="Times New Roman"/>
      <w:kern w:val="2"/>
      <w:sz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0"/>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3"/>
    <w:unhideWhenUsed/>
    <w:qFormat/>
    <w:uiPriority w:val="0"/>
    <w:pPr>
      <w:keepNext/>
      <w:keepLines/>
      <w:spacing w:before="280" w:after="290" w:line="376" w:lineRule="auto"/>
      <w:outlineLvl w:val="3"/>
    </w:pPr>
    <w:rPr>
      <w:rFonts w:ascii="等线 Light" w:hAnsi="等线 Light" w:eastAsia="等线 Light"/>
      <w:b/>
      <w:bCs/>
      <w:sz w:val="28"/>
      <w:szCs w:val="28"/>
    </w:rPr>
  </w:style>
  <w:style w:type="paragraph" w:styleId="6">
    <w:name w:val="heading 5"/>
    <w:basedOn w:val="1"/>
    <w:next w:val="1"/>
    <w:link w:val="47"/>
    <w:semiHidden/>
    <w:unhideWhenUsed/>
    <w:qFormat/>
    <w:uiPriority w:val="0"/>
    <w:pPr>
      <w:keepNext/>
      <w:keepLines/>
      <w:spacing w:before="280" w:after="290" w:line="376" w:lineRule="auto"/>
      <w:outlineLvl w:val="4"/>
    </w:pPr>
    <w:rPr>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widowControl w:val="0"/>
      <w:ind w:left="2520" w:leftChars="1200"/>
    </w:pPr>
    <w:rPr>
      <w:rFonts w:ascii="等线" w:hAnsi="等线" w:eastAsia="等线"/>
      <w:szCs w:val="22"/>
    </w:rPr>
  </w:style>
  <w:style w:type="paragraph" w:styleId="8">
    <w:name w:val="Document Map"/>
    <w:basedOn w:val="1"/>
    <w:link w:val="34"/>
    <w:qFormat/>
    <w:uiPriority w:val="0"/>
    <w:rPr>
      <w:rFonts w:ascii="宋体"/>
      <w:sz w:val="18"/>
      <w:szCs w:val="18"/>
    </w:rPr>
  </w:style>
  <w:style w:type="paragraph" w:styleId="9">
    <w:name w:val="annotation text"/>
    <w:basedOn w:val="1"/>
    <w:qFormat/>
    <w:uiPriority w:val="0"/>
    <w:pPr>
      <w:jc w:val="left"/>
    </w:pPr>
  </w:style>
  <w:style w:type="paragraph" w:styleId="10">
    <w:name w:val="Body Text"/>
    <w:basedOn w:val="1"/>
    <w:link w:val="35"/>
    <w:qFormat/>
    <w:uiPriority w:val="1"/>
    <w:pPr>
      <w:widowControl w:val="0"/>
      <w:autoSpaceDE w:val="0"/>
      <w:autoSpaceDN w:val="0"/>
      <w:adjustRightInd w:val="0"/>
      <w:ind w:left="820"/>
      <w:jc w:val="left"/>
    </w:pPr>
    <w:rPr>
      <w:rFonts w:ascii="仿宋" w:hAnsi="Times New Roman" w:eastAsia="仿宋"/>
      <w:kern w:val="0"/>
      <w:sz w:val="32"/>
      <w:szCs w:val="32"/>
    </w:rPr>
  </w:style>
  <w:style w:type="paragraph" w:styleId="11">
    <w:name w:val="toc 5"/>
    <w:basedOn w:val="1"/>
    <w:next w:val="1"/>
    <w:unhideWhenUsed/>
    <w:qFormat/>
    <w:uiPriority w:val="39"/>
    <w:pPr>
      <w:widowControl w:val="0"/>
      <w:ind w:left="1680" w:leftChars="800"/>
    </w:pPr>
    <w:rPr>
      <w:rFonts w:ascii="等线" w:hAnsi="等线" w:eastAsia="等线"/>
      <w:szCs w:val="22"/>
    </w:rPr>
  </w:style>
  <w:style w:type="paragraph" w:styleId="12">
    <w:name w:val="toc 3"/>
    <w:basedOn w:val="1"/>
    <w:next w:val="1"/>
    <w:qFormat/>
    <w:uiPriority w:val="39"/>
    <w:pPr>
      <w:tabs>
        <w:tab w:val="right" w:leader="dot" w:pos="8296"/>
      </w:tabs>
      <w:spacing w:line="360" w:lineRule="exact"/>
      <w:ind w:left="840" w:leftChars="400"/>
    </w:pPr>
    <w:rPr>
      <w:rFonts w:ascii="Times New Roman" w:hAnsi="楷体" w:eastAsia="楷体"/>
    </w:rPr>
  </w:style>
  <w:style w:type="paragraph" w:styleId="13">
    <w:name w:val="toc 8"/>
    <w:basedOn w:val="1"/>
    <w:next w:val="1"/>
    <w:unhideWhenUsed/>
    <w:qFormat/>
    <w:uiPriority w:val="39"/>
    <w:pPr>
      <w:widowControl w:val="0"/>
      <w:ind w:left="2940" w:leftChars="1400"/>
    </w:pPr>
    <w:rPr>
      <w:rFonts w:ascii="等线" w:hAnsi="等线" w:eastAsia="等线"/>
      <w:szCs w:val="22"/>
    </w:rPr>
  </w:style>
  <w:style w:type="paragraph" w:styleId="14">
    <w:name w:val="footer"/>
    <w:basedOn w:val="1"/>
    <w:link w:val="36"/>
    <w:unhideWhenUsed/>
    <w:qFormat/>
    <w:uiPriority w:val="99"/>
    <w:pPr>
      <w:tabs>
        <w:tab w:val="center" w:pos="4153"/>
        <w:tab w:val="right" w:pos="8306"/>
      </w:tabs>
      <w:snapToGrid w:val="0"/>
      <w:jc w:val="left"/>
    </w:pPr>
    <w:rPr>
      <w:sz w:val="18"/>
      <w:szCs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39"/>
  </w:style>
  <w:style w:type="paragraph" w:styleId="17">
    <w:name w:val="toc 4"/>
    <w:basedOn w:val="1"/>
    <w:next w:val="1"/>
    <w:unhideWhenUsed/>
    <w:qFormat/>
    <w:uiPriority w:val="39"/>
    <w:pPr>
      <w:widowControl w:val="0"/>
      <w:ind w:left="1260" w:leftChars="600"/>
    </w:pPr>
    <w:rPr>
      <w:rFonts w:ascii="等线" w:hAnsi="等线" w:eastAsia="等线"/>
      <w:szCs w:val="22"/>
    </w:rPr>
  </w:style>
  <w:style w:type="paragraph" w:styleId="18">
    <w:name w:val="footnote text"/>
    <w:basedOn w:val="1"/>
    <w:link w:val="37"/>
    <w:unhideWhenUsed/>
    <w:qFormat/>
    <w:uiPriority w:val="99"/>
    <w:pPr>
      <w:widowControl w:val="0"/>
      <w:snapToGrid w:val="0"/>
      <w:spacing w:line="360" w:lineRule="auto"/>
      <w:ind w:firstLine="200" w:firstLineChars="200"/>
      <w:jc w:val="left"/>
    </w:pPr>
    <w:rPr>
      <w:rFonts w:eastAsia="仿宋"/>
      <w:sz w:val="18"/>
      <w:szCs w:val="18"/>
    </w:rPr>
  </w:style>
  <w:style w:type="paragraph" w:styleId="19">
    <w:name w:val="toc 6"/>
    <w:basedOn w:val="1"/>
    <w:next w:val="1"/>
    <w:unhideWhenUsed/>
    <w:qFormat/>
    <w:uiPriority w:val="39"/>
    <w:pPr>
      <w:widowControl w:val="0"/>
      <w:ind w:left="2100" w:leftChars="1000"/>
    </w:pPr>
    <w:rPr>
      <w:rFonts w:ascii="等线" w:hAnsi="等线" w:eastAsia="等线"/>
      <w:szCs w:val="22"/>
    </w:rPr>
  </w:style>
  <w:style w:type="paragraph" w:styleId="20">
    <w:name w:val="toc 2"/>
    <w:basedOn w:val="1"/>
    <w:next w:val="1"/>
    <w:qFormat/>
    <w:uiPriority w:val="39"/>
    <w:pPr>
      <w:ind w:left="420" w:leftChars="200"/>
    </w:pPr>
  </w:style>
  <w:style w:type="paragraph" w:styleId="21">
    <w:name w:val="toc 9"/>
    <w:basedOn w:val="1"/>
    <w:next w:val="1"/>
    <w:unhideWhenUsed/>
    <w:qFormat/>
    <w:uiPriority w:val="39"/>
    <w:pPr>
      <w:widowControl w:val="0"/>
      <w:ind w:left="3360" w:leftChars="1600"/>
    </w:pPr>
    <w:rPr>
      <w:rFonts w:ascii="等线" w:hAnsi="等线" w:eastAsia="等线"/>
      <w:szCs w:val="22"/>
    </w:rPr>
  </w:style>
  <w:style w:type="paragraph" w:styleId="22">
    <w:name w:val="Body Text First Indent"/>
    <w:basedOn w:val="10"/>
    <w:unhideWhenUsed/>
    <w:qFormat/>
    <w:uiPriority w:val="99"/>
    <w:pPr>
      <w:jc w:val="both"/>
    </w:pPr>
    <w:rPr>
      <w:rFonts w:eastAsia="宋体"/>
      <w:sz w:val="21"/>
    </w:rPr>
  </w:style>
  <w:style w:type="table" w:styleId="24">
    <w:name w:val="Table Grid"/>
    <w:basedOn w:val="2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22"/>
    <w:rPr>
      <w:rFonts w:ascii="楷体" w:hAnsi="楷体" w:eastAsia="楷体"/>
      <w:b/>
    </w:rPr>
  </w:style>
  <w:style w:type="character" w:styleId="27">
    <w:name w:val="FollowedHyperlink"/>
    <w:qFormat/>
    <w:uiPriority w:val="0"/>
    <w:rPr>
      <w:color w:val="800080"/>
      <w:u w:val="single"/>
    </w:rPr>
  </w:style>
  <w:style w:type="character" w:styleId="28">
    <w:name w:val="Hyperlink"/>
    <w:unhideWhenUsed/>
    <w:qFormat/>
    <w:uiPriority w:val="99"/>
    <w:rPr>
      <w:color w:val="0563C1"/>
      <w:u w:val="single"/>
    </w:rPr>
  </w:style>
  <w:style w:type="character" w:styleId="29">
    <w:name w:val="annotation reference"/>
    <w:basedOn w:val="25"/>
    <w:qFormat/>
    <w:uiPriority w:val="0"/>
    <w:rPr>
      <w:sz w:val="21"/>
      <w:szCs w:val="21"/>
    </w:rPr>
  </w:style>
  <w:style w:type="character" w:styleId="30">
    <w:name w:val="footnote reference"/>
    <w:unhideWhenUsed/>
    <w:qFormat/>
    <w:uiPriority w:val="99"/>
    <w:rPr>
      <w:vertAlign w:val="superscript"/>
    </w:rPr>
  </w:style>
  <w:style w:type="character" w:customStyle="1" w:styleId="31">
    <w:name w:val="标题 3 字符"/>
    <w:link w:val="4"/>
    <w:qFormat/>
    <w:uiPriority w:val="9"/>
    <w:rPr>
      <w:b/>
      <w:bCs/>
      <w:kern w:val="2"/>
      <w:sz w:val="32"/>
      <w:szCs w:val="32"/>
    </w:rPr>
  </w:style>
  <w:style w:type="character" w:customStyle="1" w:styleId="32">
    <w:name w:val="标题 2 字符"/>
    <w:link w:val="3"/>
    <w:qFormat/>
    <w:uiPriority w:val="0"/>
    <w:rPr>
      <w:rFonts w:ascii="等线 Light" w:hAnsi="等线 Light" w:eastAsia="等线 Light" w:cs="Times New Roman"/>
      <w:b/>
      <w:bCs/>
      <w:kern w:val="2"/>
      <w:sz w:val="32"/>
      <w:szCs w:val="32"/>
    </w:rPr>
  </w:style>
  <w:style w:type="character" w:customStyle="1" w:styleId="33">
    <w:name w:val="标题 4 字符"/>
    <w:link w:val="5"/>
    <w:qFormat/>
    <w:uiPriority w:val="0"/>
    <w:rPr>
      <w:rFonts w:ascii="等线 Light" w:hAnsi="等线 Light" w:eastAsia="等线 Light"/>
      <w:b/>
      <w:bCs/>
      <w:kern w:val="2"/>
      <w:sz w:val="28"/>
      <w:szCs w:val="28"/>
    </w:rPr>
  </w:style>
  <w:style w:type="character" w:customStyle="1" w:styleId="34">
    <w:name w:val="文档结构图 字符"/>
    <w:link w:val="8"/>
    <w:qFormat/>
    <w:uiPriority w:val="0"/>
    <w:rPr>
      <w:rFonts w:ascii="宋体"/>
      <w:kern w:val="2"/>
      <w:sz w:val="18"/>
      <w:szCs w:val="18"/>
    </w:rPr>
  </w:style>
  <w:style w:type="character" w:customStyle="1" w:styleId="35">
    <w:name w:val="正文文本 字符"/>
    <w:link w:val="10"/>
    <w:qFormat/>
    <w:uiPriority w:val="1"/>
    <w:rPr>
      <w:rFonts w:ascii="仿宋" w:hAnsi="Times New Roman" w:eastAsia="仿宋" w:cs="仿宋"/>
      <w:sz w:val="32"/>
      <w:szCs w:val="32"/>
    </w:rPr>
  </w:style>
  <w:style w:type="character" w:customStyle="1" w:styleId="36">
    <w:name w:val="页脚 字符"/>
    <w:link w:val="14"/>
    <w:qFormat/>
    <w:uiPriority w:val="99"/>
    <w:rPr>
      <w:kern w:val="2"/>
      <w:sz w:val="18"/>
      <w:szCs w:val="18"/>
    </w:rPr>
  </w:style>
  <w:style w:type="character" w:customStyle="1" w:styleId="37">
    <w:name w:val="脚注文本 字符"/>
    <w:link w:val="18"/>
    <w:qFormat/>
    <w:uiPriority w:val="99"/>
    <w:rPr>
      <w:rFonts w:eastAsia="仿宋"/>
      <w:kern w:val="2"/>
      <w:sz w:val="18"/>
      <w:szCs w:val="18"/>
    </w:rPr>
  </w:style>
  <w:style w:type="paragraph" w:customStyle="1" w:styleId="38">
    <w:name w:val="TOC 标题1"/>
    <w:basedOn w:val="2"/>
    <w:next w:val="1"/>
    <w:unhideWhenUsed/>
    <w:qFormat/>
    <w:uiPriority w:val="39"/>
    <w:pPr>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39">
    <w:name w:val="Char Char Char Char Char Char3 Char Char Char Char Char Char Char"/>
    <w:basedOn w:val="1"/>
    <w:next w:val="1"/>
    <w:qFormat/>
    <w:uiPriority w:val="0"/>
    <w:pPr>
      <w:widowControl w:val="0"/>
    </w:pPr>
    <w:rPr>
      <w:rFonts w:ascii="Times New Roman" w:hAnsi="Times New Roman"/>
      <w:szCs w:val="24"/>
    </w:rPr>
  </w:style>
  <w:style w:type="paragraph" w:customStyle="1" w:styleId="40">
    <w:name w:val="Table Paragraph"/>
    <w:basedOn w:val="1"/>
    <w:qFormat/>
    <w:uiPriority w:val="1"/>
    <w:pPr>
      <w:widowControl w:val="0"/>
      <w:autoSpaceDE w:val="0"/>
      <w:autoSpaceDN w:val="0"/>
      <w:adjustRightInd w:val="0"/>
      <w:ind w:left="107"/>
      <w:jc w:val="left"/>
    </w:pPr>
    <w:rPr>
      <w:rFonts w:ascii="仿宋" w:hAnsi="Times New Roman" w:eastAsia="仿宋" w:cs="仿宋"/>
      <w:kern w:val="0"/>
      <w:sz w:val="24"/>
      <w:szCs w:val="24"/>
    </w:rPr>
  </w:style>
  <w:style w:type="table" w:customStyle="1" w:styleId="41">
    <w:name w:val="Table Normal"/>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42">
    <w:name w:val="_Style 37"/>
    <w:basedOn w:val="2"/>
    <w:next w:val="1"/>
    <w:unhideWhenUsed/>
    <w:qFormat/>
    <w:uiPriority w:val="39"/>
    <w:pPr>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43">
    <w:name w:val="_Style 31"/>
    <w:basedOn w:val="1"/>
    <w:next w:val="1"/>
    <w:unhideWhenUsed/>
    <w:qFormat/>
    <w:uiPriority w:val="39"/>
    <w:pPr>
      <w:spacing w:after="100" w:line="259" w:lineRule="auto"/>
      <w:ind w:left="440"/>
      <w:jc w:val="left"/>
    </w:pPr>
    <w:rPr>
      <w:rFonts w:ascii="等线" w:hAnsi="等线" w:eastAsia="等线"/>
      <w:kern w:val="0"/>
      <w:sz w:val="22"/>
      <w:szCs w:val="22"/>
    </w:rPr>
  </w:style>
  <w:style w:type="character" w:customStyle="1" w:styleId="44">
    <w:name w:val="页脚 Char"/>
    <w:qFormat/>
    <w:uiPriority w:val="99"/>
    <w:rPr>
      <w:lang w:eastAsia="zh-CN"/>
    </w:rPr>
  </w:style>
  <w:style w:type="paragraph" w:customStyle="1" w:styleId="45">
    <w:name w:val="_Style 13"/>
    <w:qFormat/>
    <w:uiPriority w:val="0"/>
    <w:pPr>
      <w:spacing w:before="120" w:after="120" w:line="288" w:lineRule="auto"/>
    </w:pPr>
    <w:rPr>
      <w:rFonts w:ascii="Arial" w:hAnsi="Arial" w:eastAsia="等线" w:cs="Arial"/>
      <w:sz w:val="22"/>
      <w:szCs w:val="22"/>
      <w:lang w:val="en-US" w:eastAsia="zh-CN" w:bidi="ar-SA"/>
    </w:rPr>
  </w:style>
  <w:style w:type="paragraph" w:styleId="46">
    <w:name w:val="List Paragraph"/>
    <w:basedOn w:val="1"/>
    <w:qFormat/>
    <w:uiPriority w:val="1"/>
  </w:style>
  <w:style w:type="character" w:customStyle="1" w:styleId="47">
    <w:name w:val="标题 5 字符"/>
    <w:basedOn w:val="25"/>
    <w:link w:val="6"/>
    <w:semiHidden/>
    <w:qFormat/>
    <w:uiPriority w:val="0"/>
    <w:rPr>
      <w:b/>
      <w:bCs/>
      <w:kern w:val="2"/>
      <w:sz w:val="28"/>
      <w:szCs w:val="28"/>
    </w:rPr>
  </w:style>
  <w:style w:type="paragraph" w:customStyle="1" w:styleId="48">
    <w:name w:val="正文2"/>
    <w:basedOn w:val="1"/>
    <w:link w:val="49"/>
    <w:qFormat/>
    <w:uiPriority w:val="0"/>
    <w:pPr>
      <w:widowControl w:val="0"/>
      <w:spacing w:line="588" w:lineRule="exact"/>
      <w:ind w:firstLine="640" w:firstLineChars="200"/>
    </w:pPr>
    <w:rPr>
      <w:rFonts w:ascii="仿宋" w:hAnsi="仿宋" w:eastAsia="仿宋"/>
      <w:sz w:val="32"/>
      <w:szCs w:val="32"/>
    </w:rPr>
  </w:style>
  <w:style w:type="character" w:customStyle="1" w:styleId="49">
    <w:name w:val="正文2 Char"/>
    <w:link w:val="48"/>
    <w:qFormat/>
    <w:uiPriority w:val="0"/>
    <w:rPr>
      <w:rFonts w:ascii="仿宋" w:hAnsi="仿宋" w:eastAsia="仿宋"/>
      <w:kern w:val="2"/>
      <w:sz w:val="32"/>
      <w:szCs w:val="32"/>
    </w:rPr>
  </w:style>
  <w:style w:type="paragraph" w:customStyle="1" w:styleId="50">
    <w:name w:val="LY正文1"/>
    <w:basedOn w:val="48"/>
    <w:link w:val="52"/>
    <w:qFormat/>
    <w:uiPriority w:val="0"/>
  </w:style>
  <w:style w:type="paragraph" w:customStyle="1" w:styleId="51">
    <w:name w:val="LY标题5"/>
    <w:basedOn w:val="1"/>
    <w:link w:val="53"/>
    <w:qFormat/>
    <w:uiPriority w:val="0"/>
    <w:pPr>
      <w:widowControl w:val="0"/>
      <w:ind w:firstLine="643" w:firstLineChars="200"/>
    </w:pPr>
    <w:rPr>
      <w:rFonts w:ascii="仿宋" w:hAnsi="仿宋" w:eastAsia="仿宋"/>
      <w:b/>
      <w:sz w:val="32"/>
      <w:szCs w:val="32"/>
    </w:rPr>
  </w:style>
  <w:style w:type="character" w:customStyle="1" w:styleId="52">
    <w:name w:val="LY正文1 Char"/>
    <w:basedOn w:val="49"/>
    <w:link w:val="50"/>
    <w:qFormat/>
    <w:uiPriority w:val="0"/>
    <w:rPr>
      <w:rFonts w:ascii="仿宋" w:hAnsi="仿宋" w:eastAsia="仿宋"/>
      <w:kern w:val="2"/>
      <w:sz w:val="32"/>
      <w:szCs w:val="32"/>
    </w:rPr>
  </w:style>
  <w:style w:type="character" w:customStyle="1" w:styleId="53">
    <w:name w:val="LY标题5 Char"/>
    <w:link w:val="51"/>
    <w:qFormat/>
    <w:uiPriority w:val="0"/>
    <w:rPr>
      <w:rFonts w:ascii="仿宋" w:hAnsi="仿宋" w:eastAsia="仿宋"/>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800" b="1">
                <a:effectLst/>
              </a:rPr>
              <a:t>洛阳市近年生产总值</a:t>
            </a:r>
            <a:endParaRPr lang="zh-CN" altLang="zh-CN" sz="1800">
              <a:effectLst/>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生产总值（亿元）</c:v>
                </c:pt>
              </c:strCache>
            </c:strRef>
          </c:tx>
          <c:spPr>
            <a:solidFill>
              <a:schemeClr val="accent1"/>
            </a:solidFill>
            <a:ln>
              <a:noFill/>
            </a:ln>
            <a:effectLst/>
          </c:spPr>
          <c:invertIfNegative val="0"/>
          <c:dLbls>
            <c:delete val="1"/>
          </c:dLbls>
          <c:cat>
            <c:strRef>
              <c:f>Sheet1!$A$2:$A$6</c:f>
              <c:strCache>
                <c:ptCount val="5"/>
                <c:pt idx="0">
                  <c:v>2021年</c:v>
                </c:pt>
                <c:pt idx="1">
                  <c:v>2022年</c:v>
                </c:pt>
                <c:pt idx="2">
                  <c:v>2023年</c:v>
                </c:pt>
                <c:pt idx="3">
                  <c:v>2024年</c:v>
                </c:pt>
                <c:pt idx="4">
                  <c:v>2025年</c:v>
                </c:pt>
              </c:strCache>
            </c:strRef>
          </c:cat>
          <c:val>
            <c:numRef>
              <c:f>Sheet1!$B$2:$B$6</c:f>
              <c:numCache>
                <c:formatCode>General</c:formatCode>
                <c:ptCount val="5"/>
                <c:pt idx="0">
                  <c:v>5447.1</c:v>
                </c:pt>
                <c:pt idx="1">
                  <c:v>5675.2</c:v>
                </c:pt>
                <c:pt idx="2">
                  <c:v>5481.6</c:v>
                </c:pt>
                <c:pt idx="3">
                  <c:v>5818.6</c:v>
                </c:pt>
                <c:pt idx="4">
                  <c:v>6164.52</c:v>
                </c:pt>
              </c:numCache>
            </c:numRef>
          </c:val>
        </c:ser>
        <c:ser>
          <c:idx val="1"/>
          <c:order val="1"/>
          <c:tx>
            <c:strRef>
              <c:f>Sheet1!$C$1</c:f>
              <c:strCache>
                <c:ptCount val="1"/>
                <c:pt idx="0">
                  <c:v>第一生产总值（亿元）</c:v>
                </c:pt>
              </c:strCache>
            </c:strRef>
          </c:tx>
          <c:spPr>
            <a:solidFill>
              <a:schemeClr val="accent2"/>
            </a:solidFill>
            <a:ln>
              <a:noFill/>
            </a:ln>
            <a:effectLst/>
          </c:spPr>
          <c:invertIfNegative val="0"/>
          <c:dLbls>
            <c:delete val="1"/>
          </c:dLbls>
          <c:cat>
            <c:strRef>
              <c:f>Sheet1!$A$2:$A$6</c:f>
              <c:strCache>
                <c:ptCount val="5"/>
                <c:pt idx="0">
                  <c:v>2021年</c:v>
                </c:pt>
                <c:pt idx="1">
                  <c:v>2022年</c:v>
                </c:pt>
                <c:pt idx="2">
                  <c:v>2023年</c:v>
                </c:pt>
                <c:pt idx="3">
                  <c:v>2024年</c:v>
                </c:pt>
                <c:pt idx="4">
                  <c:v>2025年</c:v>
                </c:pt>
              </c:strCache>
            </c:strRef>
          </c:cat>
          <c:val>
            <c:numRef>
              <c:f>Sheet1!$C$2:$C$6</c:f>
              <c:numCache>
                <c:formatCode>General</c:formatCode>
                <c:ptCount val="5"/>
                <c:pt idx="0">
                  <c:v>261</c:v>
                </c:pt>
                <c:pt idx="1">
                  <c:v>257.9</c:v>
                </c:pt>
                <c:pt idx="2">
                  <c:v>214.1</c:v>
                </c:pt>
                <c:pt idx="3">
                  <c:v>236.6</c:v>
                </c:pt>
                <c:pt idx="4">
                  <c:v>230.71</c:v>
                </c:pt>
              </c:numCache>
            </c:numRef>
          </c:val>
        </c:ser>
        <c:ser>
          <c:idx val="2"/>
          <c:order val="2"/>
          <c:tx>
            <c:strRef>
              <c:f>Sheet1!$D$1</c:f>
              <c:strCache>
                <c:ptCount val="1"/>
                <c:pt idx="0">
                  <c:v>第二生产总值（亿元）</c:v>
                </c:pt>
              </c:strCache>
            </c:strRef>
          </c:tx>
          <c:spPr>
            <a:solidFill>
              <a:schemeClr val="accent3"/>
            </a:solidFill>
            <a:ln>
              <a:noFill/>
            </a:ln>
            <a:effectLst/>
          </c:spPr>
          <c:invertIfNegative val="0"/>
          <c:dLbls>
            <c:delete val="1"/>
          </c:dLbls>
          <c:cat>
            <c:strRef>
              <c:f>Sheet1!$A$2:$A$6</c:f>
              <c:strCache>
                <c:ptCount val="5"/>
                <c:pt idx="0">
                  <c:v>2021年</c:v>
                </c:pt>
                <c:pt idx="1">
                  <c:v>2022年</c:v>
                </c:pt>
                <c:pt idx="2">
                  <c:v>2023年</c:v>
                </c:pt>
                <c:pt idx="3">
                  <c:v>2024年</c:v>
                </c:pt>
                <c:pt idx="4">
                  <c:v>2025年</c:v>
                </c:pt>
              </c:strCache>
            </c:strRef>
          </c:cat>
          <c:val>
            <c:numRef>
              <c:f>Sheet1!$D$2:$D$6</c:f>
              <c:numCache>
                <c:formatCode>General</c:formatCode>
                <c:ptCount val="5"/>
                <c:pt idx="0">
                  <c:v>2378.7</c:v>
                </c:pt>
                <c:pt idx="1">
                  <c:v>2473.9</c:v>
                </c:pt>
                <c:pt idx="2">
                  <c:v>2139</c:v>
                </c:pt>
                <c:pt idx="3">
                  <c:v>2362.7</c:v>
                </c:pt>
                <c:pt idx="4">
                  <c:v>2470.63</c:v>
                </c:pt>
              </c:numCache>
            </c:numRef>
          </c:val>
        </c:ser>
        <c:ser>
          <c:idx val="3"/>
          <c:order val="3"/>
          <c:tx>
            <c:strRef>
              <c:f>Sheet1!$E$1</c:f>
              <c:strCache>
                <c:ptCount val="1"/>
                <c:pt idx="0">
                  <c:v>第三生产总值（亿元）</c:v>
                </c:pt>
              </c:strCache>
            </c:strRef>
          </c:tx>
          <c:spPr>
            <a:solidFill>
              <a:schemeClr val="accent4"/>
            </a:solidFill>
            <a:ln>
              <a:noFill/>
            </a:ln>
            <a:effectLst/>
          </c:spPr>
          <c:invertIfNegative val="0"/>
          <c:dLbls>
            <c:delete val="1"/>
          </c:dLbls>
          <c:cat>
            <c:strRef>
              <c:f>Sheet1!$A$2:$A$6</c:f>
              <c:strCache>
                <c:ptCount val="5"/>
                <c:pt idx="0">
                  <c:v>2021年</c:v>
                </c:pt>
                <c:pt idx="1">
                  <c:v>2022年</c:v>
                </c:pt>
                <c:pt idx="2">
                  <c:v>2023年</c:v>
                </c:pt>
                <c:pt idx="3">
                  <c:v>2024年</c:v>
                </c:pt>
                <c:pt idx="4">
                  <c:v>2025年</c:v>
                </c:pt>
              </c:strCache>
            </c:strRef>
          </c:cat>
          <c:val>
            <c:numRef>
              <c:f>Sheet1!$E$2:$E$6</c:f>
              <c:numCache>
                <c:formatCode>General</c:formatCode>
                <c:ptCount val="5"/>
                <c:pt idx="0">
                  <c:v>2807.4</c:v>
                </c:pt>
                <c:pt idx="1">
                  <c:v>2943.4</c:v>
                </c:pt>
                <c:pt idx="2">
                  <c:v>3128.5</c:v>
                </c:pt>
                <c:pt idx="3">
                  <c:v>3219.4</c:v>
                </c:pt>
                <c:pt idx="4">
                  <c:v>3463.18</c:v>
                </c:pt>
              </c:numCache>
            </c:numRef>
          </c:val>
        </c:ser>
        <c:dLbls>
          <c:showLegendKey val="0"/>
          <c:showVal val="0"/>
          <c:showCatName val="0"/>
          <c:showSerName val="0"/>
          <c:showPercent val="0"/>
          <c:showBubbleSize val="0"/>
        </c:dLbls>
        <c:gapWidth val="219"/>
        <c:overlap val="-27"/>
        <c:axId val="1473012976"/>
        <c:axId val="1544082191"/>
      </c:barChart>
      <c:catAx>
        <c:axId val="147301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44082191"/>
        <c:crosses val="autoZero"/>
        <c:auto val="1"/>
        <c:lblAlgn val="ctr"/>
        <c:lblOffset val="100"/>
        <c:noMultiLvlLbl val="0"/>
      </c:catAx>
      <c:valAx>
        <c:axId val="15440821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30129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800" b="1">
                <a:effectLst/>
              </a:rPr>
              <a:t>洛阳市近年粮食产量</a:t>
            </a:r>
            <a:endParaRPr lang="zh-CN" altLang="zh-CN" sz="1800">
              <a:effectLst/>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2021年</c:v>
                </c:pt>
              </c:strCache>
            </c:strRef>
          </c:tx>
          <c:spPr>
            <a:solidFill>
              <a:schemeClr val="accent1"/>
            </a:solidFill>
            <a:ln>
              <a:noFill/>
            </a:ln>
            <a:effectLst/>
          </c:spPr>
          <c:invertIfNegative val="0"/>
          <c:dLbls>
            <c:delete val="1"/>
          </c:dLbls>
          <c:cat>
            <c:strRef>
              <c:f>Sheet1!$A$2:$A$4</c:f>
              <c:strCache>
                <c:ptCount val="3"/>
                <c:pt idx="0">
                  <c:v>粮食总产量（万吨）</c:v>
                </c:pt>
                <c:pt idx="1">
                  <c:v>夏粮产量（万吨）</c:v>
                </c:pt>
                <c:pt idx="2">
                  <c:v>秋粮产量（万吨）</c:v>
                </c:pt>
              </c:strCache>
            </c:strRef>
          </c:cat>
          <c:val>
            <c:numRef>
              <c:f>Sheet1!$B$2:$B$4</c:f>
              <c:numCache>
                <c:formatCode>General</c:formatCode>
                <c:ptCount val="3"/>
                <c:pt idx="0">
                  <c:v>241</c:v>
                </c:pt>
                <c:pt idx="1">
                  <c:v>122.6</c:v>
                </c:pt>
                <c:pt idx="2">
                  <c:v>118.5</c:v>
                </c:pt>
              </c:numCache>
            </c:numRef>
          </c:val>
        </c:ser>
        <c:ser>
          <c:idx val="1"/>
          <c:order val="1"/>
          <c:tx>
            <c:strRef>
              <c:f>Sheet1!$C$1</c:f>
              <c:strCache>
                <c:ptCount val="1"/>
                <c:pt idx="0">
                  <c:v>2022年</c:v>
                </c:pt>
              </c:strCache>
            </c:strRef>
          </c:tx>
          <c:spPr>
            <a:solidFill>
              <a:schemeClr val="accent2"/>
            </a:solidFill>
            <a:ln>
              <a:noFill/>
            </a:ln>
            <a:effectLst/>
          </c:spPr>
          <c:invertIfNegative val="0"/>
          <c:dLbls>
            <c:delete val="1"/>
          </c:dLbls>
          <c:cat>
            <c:strRef>
              <c:f>Sheet1!$A$2:$A$4</c:f>
              <c:strCache>
                <c:ptCount val="3"/>
                <c:pt idx="0">
                  <c:v>粮食总产量（万吨）</c:v>
                </c:pt>
                <c:pt idx="1">
                  <c:v>夏粮产量（万吨）</c:v>
                </c:pt>
                <c:pt idx="2">
                  <c:v>秋粮产量（万吨）</c:v>
                </c:pt>
              </c:strCache>
            </c:strRef>
          </c:cat>
          <c:val>
            <c:numRef>
              <c:f>Sheet1!$C$2:$C$4</c:f>
              <c:numCache>
                <c:formatCode>General</c:formatCode>
                <c:ptCount val="3"/>
                <c:pt idx="0">
                  <c:v>245.6</c:v>
                </c:pt>
                <c:pt idx="1">
                  <c:v>122.5</c:v>
                </c:pt>
                <c:pt idx="2">
                  <c:v>123.1</c:v>
                </c:pt>
              </c:numCache>
            </c:numRef>
          </c:val>
        </c:ser>
        <c:ser>
          <c:idx val="2"/>
          <c:order val="2"/>
          <c:tx>
            <c:strRef>
              <c:f>Sheet1!$D$1</c:f>
              <c:strCache>
                <c:ptCount val="1"/>
                <c:pt idx="0">
                  <c:v>2023年</c:v>
                </c:pt>
              </c:strCache>
            </c:strRef>
          </c:tx>
          <c:spPr>
            <a:solidFill>
              <a:schemeClr val="accent3"/>
            </a:solidFill>
            <a:ln>
              <a:noFill/>
            </a:ln>
            <a:effectLst/>
          </c:spPr>
          <c:invertIfNegative val="0"/>
          <c:dLbls>
            <c:delete val="1"/>
          </c:dLbls>
          <c:cat>
            <c:strRef>
              <c:f>Sheet1!$A$2:$A$4</c:f>
              <c:strCache>
                <c:ptCount val="3"/>
                <c:pt idx="0">
                  <c:v>粮食总产量（万吨）</c:v>
                </c:pt>
                <c:pt idx="1">
                  <c:v>夏粮产量（万吨）</c:v>
                </c:pt>
                <c:pt idx="2">
                  <c:v>秋粮产量（万吨）</c:v>
                </c:pt>
              </c:strCache>
            </c:strRef>
          </c:cat>
          <c:val>
            <c:numRef>
              <c:f>Sheet1!$D$2:$D$4</c:f>
              <c:numCache>
                <c:formatCode>General</c:formatCode>
                <c:ptCount val="3"/>
                <c:pt idx="0">
                  <c:v>241.5</c:v>
                </c:pt>
                <c:pt idx="1">
                  <c:v>114.6</c:v>
                </c:pt>
                <c:pt idx="2">
                  <c:v>126.9</c:v>
                </c:pt>
              </c:numCache>
            </c:numRef>
          </c:val>
        </c:ser>
        <c:ser>
          <c:idx val="3"/>
          <c:order val="3"/>
          <c:tx>
            <c:strRef>
              <c:f>Sheet1!$E$1</c:f>
              <c:strCache>
                <c:ptCount val="1"/>
                <c:pt idx="0">
                  <c:v>2024年</c:v>
                </c:pt>
              </c:strCache>
            </c:strRef>
          </c:tx>
          <c:spPr>
            <a:solidFill>
              <a:schemeClr val="accent4"/>
            </a:solidFill>
            <a:ln>
              <a:noFill/>
            </a:ln>
            <a:effectLst/>
          </c:spPr>
          <c:invertIfNegative val="0"/>
          <c:dLbls>
            <c:delete val="1"/>
          </c:dLbls>
          <c:cat>
            <c:strRef>
              <c:f>Sheet1!$A$2:$A$4</c:f>
              <c:strCache>
                <c:ptCount val="3"/>
                <c:pt idx="0">
                  <c:v>粮食总产量（万吨）</c:v>
                </c:pt>
                <c:pt idx="1">
                  <c:v>夏粮产量（万吨）</c:v>
                </c:pt>
                <c:pt idx="2">
                  <c:v>秋粮产量（万吨）</c:v>
                </c:pt>
              </c:strCache>
            </c:strRef>
          </c:cat>
          <c:val>
            <c:numRef>
              <c:f>Sheet1!$E$2:$E$4</c:f>
              <c:numCache>
                <c:formatCode>General</c:formatCode>
                <c:ptCount val="3"/>
                <c:pt idx="0">
                  <c:v>249.6</c:v>
                </c:pt>
                <c:pt idx="1">
                  <c:v>122.5</c:v>
                </c:pt>
                <c:pt idx="2">
                  <c:v>127.2</c:v>
                </c:pt>
              </c:numCache>
            </c:numRef>
          </c:val>
        </c:ser>
        <c:ser>
          <c:idx val="4"/>
          <c:order val="4"/>
          <c:tx>
            <c:strRef>
              <c:f>Sheet1!$F$1</c:f>
              <c:strCache>
                <c:ptCount val="1"/>
                <c:pt idx="0">
                  <c:v>2025年</c:v>
                </c:pt>
              </c:strCache>
            </c:strRef>
          </c:tx>
          <c:spPr>
            <a:solidFill>
              <a:schemeClr val="accent5"/>
            </a:solidFill>
            <a:ln>
              <a:noFill/>
            </a:ln>
            <a:effectLst/>
          </c:spPr>
          <c:invertIfNegative val="0"/>
          <c:dLbls>
            <c:delete val="1"/>
          </c:dLbls>
          <c:cat>
            <c:strRef>
              <c:f>Sheet1!$A$2:$A$4</c:f>
              <c:strCache>
                <c:ptCount val="3"/>
                <c:pt idx="0">
                  <c:v>粮食总产量（万吨）</c:v>
                </c:pt>
                <c:pt idx="1">
                  <c:v>夏粮产量（万吨）</c:v>
                </c:pt>
                <c:pt idx="2">
                  <c:v>秋粮产量（万吨）</c:v>
                </c:pt>
              </c:strCache>
            </c:strRef>
          </c:cat>
          <c:val>
            <c:numRef>
              <c:f>Sheet1!$F$2:$F$4</c:f>
              <c:numCache>
                <c:formatCode>General</c:formatCode>
                <c:ptCount val="3"/>
                <c:pt idx="0">
                  <c:v>247.3</c:v>
                </c:pt>
                <c:pt idx="1">
                  <c:v>119.6</c:v>
                </c:pt>
                <c:pt idx="2">
                  <c:v>127.8</c:v>
                </c:pt>
              </c:numCache>
            </c:numRef>
          </c:val>
        </c:ser>
        <c:dLbls>
          <c:showLegendKey val="0"/>
          <c:showVal val="0"/>
          <c:showCatName val="0"/>
          <c:showSerName val="0"/>
          <c:showPercent val="0"/>
          <c:showBubbleSize val="0"/>
        </c:dLbls>
        <c:gapWidth val="219"/>
        <c:overlap val="-27"/>
        <c:axId val="1473012976"/>
        <c:axId val="1544082191"/>
      </c:barChart>
      <c:catAx>
        <c:axId val="147301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44082191"/>
        <c:crosses val="autoZero"/>
        <c:auto val="1"/>
        <c:lblAlgn val="ctr"/>
        <c:lblOffset val="100"/>
        <c:noMultiLvlLbl val="0"/>
      </c:catAx>
      <c:valAx>
        <c:axId val="15440821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30129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5885</Words>
  <Characters>33546</Characters>
  <Lines>279</Lines>
  <Paragraphs>78</Paragraphs>
  <TotalTime>53</TotalTime>
  <ScaleCrop>false</ScaleCrop>
  <LinksUpToDate>false</LinksUpToDate>
  <CharactersWithSpaces>39353</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2026-09-21T18:46:00Z</dcterms:created>
  <dc:creator>dell</dc:creator>
  <cp:lastModifiedBy>WPS_1490085581</cp:lastModifiedBy>
  <cp:lastPrinted>2025-12-31T03:58:00Z</cp:lastPrinted>
  <dcterms:modified xsi:type="dcterms:W3CDTF">2026-09-23T23:41:03Z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KSOTemplateDocerSaveRecord">
    <vt:lpwstr>eyJoZGlkIjoiYWFjN2NjZTc2YjYzMGE3MzIxMzdlZjZhNmUwMTMxMzkiLCJ1c2VySWQiOiIyNDQ1MTQ2MjcifQ==</vt:lpwstr>
  </property>
  <property fmtid="{D5CDD505-2E9C-101B-9397-08002B2CF9AE}" pid="4" name="ICV">
    <vt:lpwstr>937C1EAAD837455CBEDA826AD2F61FFA_13</vt:lpwstr>
  </property>
</Properties>
</file>