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kinsoku/>
        <w:wordWrap/>
        <w:overflowPunct/>
        <w:topLinePunct w:val="0"/>
        <w:autoSpaceDE/>
        <w:autoSpaceDN/>
        <w:bidi w:val="0"/>
        <w:adjustRightInd w:val="0"/>
        <w:snapToGrid/>
        <w:spacing w:before="100" w:after="100" w:line="600" w:lineRule="exact"/>
        <w:textAlignment w:val="auto"/>
        <w:rPr>
          <w:rFonts w:ascii="宋体" w:hAnsi="宋体" w:eastAsia="宋体" w:cs="宋体"/>
          <w:sz w:val="24"/>
        </w:rPr>
      </w:pPr>
    </w:p>
    <w:p>
      <w:pPr>
        <w:pStyle w:val="4"/>
        <w:ind w:left="0" w:leftChars="0" w:firstLine="0" w:firstLineChars="0"/>
        <w:rPr>
          <w:rFonts w:ascii="宋体" w:hAnsi="宋体" w:eastAsia="宋体" w:cs="宋体"/>
          <w:sz w:val="24"/>
        </w:rPr>
      </w:pPr>
    </w:p>
    <w:p>
      <w:pPr>
        <w:rPr>
          <w:rFonts w:ascii="宋体" w:hAnsi="宋体" w:eastAsia="宋体" w:cs="宋体"/>
          <w:sz w:val="24"/>
        </w:rPr>
      </w:pPr>
    </w:p>
    <w:p>
      <w:pPr>
        <w:pStyle w:val="2"/>
        <w:ind w:left="0" w:leftChars="0" w:firstLine="0" w:firstLineChars="0"/>
      </w:pPr>
    </w:p>
    <w:p>
      <w:pPr>
        <w:keepNext w:val="0"/>
        <w:keepLines w:val="0"/>
        <w:pageBreakBefore w:val="0"/>
        <w:widowControl/>
        <w:shd w:val="clear" w:color="auto"/>
        <w:kinsoku/>
        <w:wordWrap/>
        <w:overflowPunct/>
        <w:topLinePunct w:val="0"/>
        <w:autoSpaceDE/>
        <w:autoSpaceDN/>
        <w:bidi w:val="0"/>
        <w:adjustRightInd w:val="0"/>
        <w:snapToGrid/>
        <w:spacing w:before="100" w:after="100"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洛阳市地质灾害防治“十五五”规划</w:t>
      </w:r>
    </w:p>
    <w:p>
      <w:pPr>
        <w:pStyle w:val="2"/>
        <w:keepNext w:val="0"/>
        <w:keepLines w:val="0"/>
        <w:pageBreakBefore w:val="0"/>
        <w:shd w:val="clear"/>
        <w:kinsoku/>
        <w:wordWrap/>
        <w:overflowPunct/>
        <w:topLinePunct w:val="0"/>
        <w:autoSpaceDE/>
        <w:autoSpaceDN/>
        <w:bidi w:val="0"/>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kern w:val="28"/>
          <w:sz w:val="44"/>
          <w:szCs w:val="44"/>
        </w:rPr>
        <w:t>（2026—2030年）</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kern w:val="28"/>
          <w:sz w:val="44"/>
          <w:szCs w:val="44"/>
          <w:lang w:val="en-US" w:eastAsia="zh-CN"/>
        </w:rPr>
        <w:t>征求意见稿</w:t>
      </w:r>
      <w:r>
        <w:rPr>
          <w:rFonts w:hint="eastAsia" w:ascii="方正小标宋简体" w:hAnsi="方正小标宋简体" w:eastAsia="方正小标宋简体" w:cs="方正小标宋简体"/>
          <w:sz w:val="44"/>
          <w:szCs w:val="44"/>
          <w:lang w:eastAsia="zh-CN"/>
        </w:rPr>
        <w:t>）</w:t>
      </w:r>
    </w:p>
    <w:p>
      <w:pPr>
        <w:keepNext w:val="0"/>
        <w:keepLines w:val="0"/>
        <w:pageBreakBefore w:val="0"/>
        <w:widowControl/>
        <w:shd w:val="clear" w:color="auto"/>
        <w:kinsoku/>
        <w:wordWrap/>
        <w:overflowPunct/>
        <w:topLinePunct w:val="0"/>
        <w:autoSpaceDE/>
        <w:autoSpaceDN/>
        <w:bidi w:val="0"/>
        <w:adjustRightInd w:val="0"/>
        <w:snapToGrid/>
        <w:spacing w:before="100" w:after="100" w:line="600" w:lineRule="exact"/>
        <w:jc w:val="center"/>
        <w:textAlignment w:val="auto"/>
        <w:rPr>
          <w:rFonts w:hint="eastAsia" w:ascii="宋体" w:hAnsi="宋体" w:eastAsia="宋体" w:cs="宋体"/>
          <w:kern w:val="28"/>
          <w:sz w:val="44"/>
          <w:szCs w:val="44"/>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textAlignment w:val="auto"/>
        <w:rPr>
          <w:rFonts w:ascii="宋体" w:hAnsi="宋体" w:eastAsia="宋体" w:cs="宋体"/>
          <w:b/>
          <w:bCs/>
          <w:color w:val="0F1115"/>
          <w:sz w:val="24"/>
          <w:shd w:val="clear" w:color="auto" w:fill="FFFFFF"/>
        </w:rPr>
      </w:pPr>
    </w:p>
    <w:p>
      <w:pPr>
        <w:shd w:val="clear"/>
        <w:rPr>
          <w:rFonts w:hint="eastAsia"/>
        </w:rPr>
      </w:pPr>
    </w:p>
    <w:p>
      <w:pPr>
        <w:keepNext w:val="0"/>
        <w:keepLines w:val="0"/>
        <w:pageBreakBefore w:val="0"/>
        <w:shd w:val="clear"/>
        <w:kinsoku/>
        <w:wordWrap/>
        <w:overflowPunct/>
        <w:topLinePunct w:val="0"/>
        <w:autoSpaceDE/>
        <w:autoSpaceDN/>
        <w:bidi w:val="0"/>
        <w:snapToGrid/>
        <w:spacing w:line="600" w:lineRule="exact"/>
        <w:jc w:val="center"/>
        <w:textAlignment w:val="auto"/>
        <w:rPr>
          <w:rFonts w:hint="eastAsia" w:ascii="宋体" w:hAnsi="宋体" w:eastAsia="宋体" w:cs="宋体"/>
          <w:b/>
          <w:bCs/>
          <w:color w:val="0F1115"/>
          <w:sz w:val="24"/>
          <w:shd w:val="clear" w:color="auto" w:fill="FFFFFF"/>
        </w:rPr>
      </w:pPr>
    </w:p>
    <w:p>
      <w:pPr>
        <w:keepNext w:val="0"/>
        <w:keepLines w:val="0"/>
        <w:pageBreakBefore w:val="0"/>
        <w:shd w:val="clear"/>
        <w:kinsoku/>
        <w:wordWrap/>
        <w:overflowPunct/>
        <w:topLinePunct w:val="0"/>
        <w:autoSpaceDE/>
        <w:autoSpaceDN/>
        <w:bidi w:val="0"/>
        <w:snapToGrid/>
        <w:spacing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0F1115"/>
          <w:sz w:val="32"/>
          <w:szCs w:val="32"/>
          <w:shd w:val="clear" w:color="auto" w:fill="FFFFFF"/>
        </w:rPr>
        <w:t>洛阳市自然资源和规划局</w:t>
      </w:r>
      <w:r>
        <w:rPr>
          <w:rFonts w:hint="eastAsia" w:ascii="仿宋_GB2312" w:hAnsi="仿宋_GB2312" w:eastAsia="仿宋_GB2312" w:cs="仿宋_GB2312"/>
          <w:color w:val="0F1115"/>
          <w:sz w:val="32"/>
          <w:szCs w:val="32"/>
          <w:shd w:val="clear" w:color="auto" w:fill="FFFFFF"/>
        </w:rPr>
        <w:br w:type="textWrapping"/>
      </w:r>
      <w:r>
        <w:rPr>
          <w:rFonts w:hint="eastAsia" w:ascii="仿宋_GB2312" w:hAnsi="仿宋_GB2312" w:eastAsia="仿宋_GB2312" w:cs="仿宋_GB2312"/>
          <w:b/>
          <w:bCs/>
          <w:color w:val="0F1115"/>
          <w:sz w:val="32"/>
          <w:szCs w:val="32"/>
          <w:shd w:val="clear" w:color="auto" w:fill="FFFFFF"/>
        </w:rPr>
        <w:t>2026年9月</w:t>
      </w:r>
    </w:p>
    <w:p>
      <w:pPr>
        <w:shd w:val="clear"/>
        <w:spacing w:line="360" w:lineRule="auto"/>
        <w:jc w:val="center"/>
        <w:rPr>
          <w:rFonts w:ascii="宋体" w:hAnsi="宋体" w:eastAsia="宋体" w:cs="宋体"/>
          <w:sz w:val="24"/>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sdt>
      <w:sdtPr>
        <w:rPr>
          <w:rFonts w:hint="eastAsia" w:ascii="宋体" w:hAnsi="宋体" w:eastAsia="宋体" w:cs="宋体"/>
          <w:kern w:val="2"/>
          <w:sz w:val="21"/>
          <w:szCs w:val="24"/>
        </w:rPr>
        <w:id w:val="147465993"/>
        <w:docPartObj>
          <w:docPartGallery w:val="Table of Contents"/>
          <w:docPartUnique/>
        </w:docPartObj>
      </w:sdtPr>
      <w:sdtEndPr>
        <w:rPr>
          <w:rFonts w:hint="eastAsia" w:ascii="宋体" w:hAnsi="宋体" w:eastAsia="宋体" w:cs="宋体"/>
          <w:kern w:val="2"/>
          <w:sz w:val="24"/>
          <w:szCs w:val="24"/>
        </w:rPr>
      </w:sdtEndPr>
      <w:sdtContent>
        <w:p>
          <w:pPr>
            <w:pStyle w:val="42"/>
            <w:shd w:val="clear"/>
            <w:jc w:val="center"/>
            <w:outlineLvl w:val="9"/>
            <w:rPr>
              <w:rFonts w:ascii="宋体" w:hAnsi="宋体" w:eastAsia="宋体" w:cs="宋体"/>
              <w:sz w:val="21"/>
              <w:szCs w:val="21"/>
            </w:rPr>
          </w:pPr>
          <w:r>
            <w:rPr>
              <w:rFonts w:hint="eastAsia" w:ascii="宋体" w:hAnsi="宋体" w:eastAsia="宋体" w:cs="宋体"/>
              <w:sz w:val="21"/>
              <w:szCs w:val="21"/>
            </w:rPr>
            <w:t>目录</w:t>
          </w:r>
        </w:p>
        <w:p>
          <w:pPr>
            <w:pStyle w:val="24"/>
            <w:shd w:val="clear"/>
            <w:tabs>
              <w:tab w:val="right" w:leader="dot" w:pos="8306"/>
            </w:tabs>
            <w:rPr>
              <w:sz w:val="21"/>
              <w:szCs w:val="21"/>
            </w:rPr>
          </w:pPr>
          <w:r>
            <w:rPr>
              <w:rFonts w:eastAsia="宋体"/>
              <w:sz w:val="21"/>
              <w:szCs w:val="21"/>
            </w:rPr>
            <w:fldChar w:fldCharType="begin"/>
          </w:r>
          <w:r>
            <w:rPr>
              <w:rFonts w:eastAsia="宋体"/>
              <w:sz w:val="21"/>
              <w:szCs w:val="21"/>
            </w:rPr>
            <w:instrText xml:space="preserve">TOC \o "1-9" \h \u </w:instrText>
          </w:r>
          <w:r>
            <w:rPr>
              <w:rFonts w:eastAsia="宋体"/>
              <w:sz w:val="21"/>
              <w:szCs w:val="21"/>
            </w:rPr>
            <w:fldChar w:fldCharType="separate"/>
          </w:r>
          <w:r>
            <w:rPr>
              <w:rFonts w:eastAsia="宋体"/>
              <w:sz w:val="21"/>
              <w:szCs w:val="21"/>
            </w:rPr>
            <w:fldChar w:fldCharType="begin"/>
          </w:r>
          <w:r>
            <w:rPr>
              <w:rFonts w:eastAsia="宋体"/>
              <w:sz w:val="21"/>
              <w:szCs w:val="21"/>
            </w:rPr>
            <w:instrText xml:space="preserve"> HYPERLINK \l _Toc6888 </w:instrText>
          </w:r>
          <w:r>
            <w:rPr>
              <w:rFonts w:eastAsia="宋体"/>
              <w:sz w:val="21"/>
              <w:szCs w:val="21"/>
            </w:rPr>
            <w:fldChar w:fldCharType="separate"/>
          </w:r>
          <w:r>
            <w:rPr>
              <w:sz w:val="21"/>
              <w:szCs w:val="21"/>
            </w:rPr>
            <w:t>总则</w:t>
          </w:r>
          <w:r>
            <w:rPr>
              <w:sz w:val="21"/>
              <w:szCs w:val="21"/>
            </w:rPr>
            <w:tab/>
          </w:r>
          <w:r>
            <w:rPr>
              <w:sz w:val="21"/>
              <w:szCs w:val="21"/>
            </w:rPr>
            <w:fldChar w:fldCharType="begin"/>
          </w:r>
          <w:r>
            <w:rPr>
              <w:sz w:val="21"/>
              <w:szCs w:val="21"/>
            </w:rPr>
            <w:instrText xml:space="preserve"> PAGEREF _Toc6888 \h </w:instrText>
          </w:r>
          <w:r>
            <w:rPr>
              <w:sz w:val="21"/>
              <w:szCs w:val="21"/>
            </w:rPr>
            <w:fldChar w:fldCharType="separate"/>
          </w:r>
          <w:r>
            <w:rPr>
              <w:sz w:val="21"/>
              <w:szCs w:val="21"/>
            </w:rPr>
            <w:t>1</w:t>
          </w:r>
          <w:r>
            <w:rPr>
              <w:sz w:val="21"/>
              <w:szCs w:val="21"/>
            </w:rPr>
            <w:fldChar w:fldCharType="end"/>
          </w:r>
          <w:r>
            <w:rPr>
              <w:rFonts w:eastAsia="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_Toc25604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（一） </w:t>
          </w:r>
          <w:r>
            <w:rPr>
              <w:sz w:val="21"/>
              <w:szCs w:val="21"/>
            </w:rPr>
            <w:t>编制背景与目的</w:t>
          </w:r>
          <w:r>
            <w:rPr>
              <w:sz w:val="21"/>
              <w:szCs w:val="21"/>
            </w:rPr>
            <w:tab/>
          </w:r>
          <w:r>
            <w:rPr>
              <w:sz w:val="21"/>
              <w:szCs w:val="21"/>
            </w:rPr>
            <w:fldChar w:fldCharType="begin"/>
          </w:r>
          <w:r>
            <w:rPr>
              <w:sz w:val="21"/>
              <w:szCs w:val="21"/>
            </w:rPr>
            <w:instrText xml:space="preserve"> PAGEREF _Toc25604 \h </w:instrText>
          </w:r>
          <w:r>
            <w:rPr>
              <w:sz w:val="21"/>
              <w:szCs w:val="21"/>
            </w:rPr>
            <w:fldChar w:fldCharType="separate"/>
          </w:r>
          <w:r>
            <w:rPr>
              <w:sz w:val="21"/>
              <w:szCs w:val="21"/>
            </w:rPr>
            <w:t>1</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_Toc17538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（二） </w:t>
          </w:r>
          <w:r>
            <w:rPr>
              <w:sz w:val="21"/>
              <w:szCs w:val="21"/>
            </w:rPr>
            <w:t>编制依据</w:t>
          </w:r>
          <w:r>
            <w:rPr>
              <w:sz w:val="21"/>
              <w:szCs w:val="21"/>
            </w:rPr>
            <w:tab/>
          </w:r>
          <w:r>
            <w:rPr>
              <w:sz w:val="21"/>
              <w:szCs w:val="21"/>
            </w:rPr>
            <w:fldChar w:fldCharType="begin"/>
          </w:r>
          <w:r>
            <w:rPr>
              <w:sz w:val="21"/>
              <w:szCs w:val="21"/>
            </w:rPr>
            <w:instrText xml:space="preserve"> PAGEREF _Toc17538 \h </w:instrText>
          </w:r>
          <w:r>
            <w:rPr>
              <w:sz w:val="21"/>
              <w:szCs w:val="21"/>
            </w:rPr>
            <w:fldChar w:fldCharType="separate"/>
          </w:r>
          <w:r>
            <w:rPr>
              <w:sz w:val="21"/>
              <w:szCs w:val="21"/>
            </w:rPr>
            <w:t>2</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_Toc6854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（三） </w:t>
          </w:r>
          <w:r>
            <w:rPr>
              <w:sz w:val="21"/>
              <w:szCs w:val="21"/>
            </w:rPr>
            <w:t>规划范围与期限</w:t>
          </w:r>
          <w:r>
            <w:rPr>
              <w:sz w:val="21"/>
              <w:szCs w:val="21"/>
            </w:rPr>
            <w:tab/>
          </w:r>
          <w:r>
            <w:rPr>
              <w:sz w:val="21"/>
              <w:szCs w:val="21"/>
            </w:rPr>
            <w:fldChar w:fldCharType="begin"/>
          </w:r>
          <w:r>
            <w:rPr>
              <w:sz w:val="21"/>
              <w:szCs w:val="21"/>
            </w:rPr>
            <w:instrText xml:space="preserve"> PAGEREF _Toc6854 \h </w:instrText>
          </w:r>
          <w:r>
            <w:rPr>
              <w:sz w:val="21"/>
              <w:szCs w:val="21"/>
            </w:rPr>
            <w:fldChar w:fldCharType="separate"/>
          </w:r>
          <w:r>
            <w:rPr>
              <w:sz w:val="21"/>
              <w:szCs w:val="21"/>
            </w:rPr>
            <w:t>2</w:t>
          </w:r>
          <w:r>
            <w:rPr>
              <w:sz w:val="21"/>
              <w:szCs w:val="21"/>
            </w:rPr>
            <w:fldChar w:fldCharType="end"/>
          </w:r>
          <w:r>
            <w:rPr>
              <w:rFonts w:hint="eastAsia" w:ascii="宋体" w:hAnsi="宋体" w:eastAsia="宋体" w:cs="宋体"/>
              <w:sz w:val="21"/>
              <w:szCs w:val="21"/>
            </w:rPr>
            <w:fldChar w:fldCharType="end"/>
          </w:r>
        </w:p>
        <w:p>
          <w:pPr>
            <w:pStyle w:val="24"/>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_Toc28468 </w:instrText>
          </w:r>
          <w:r>
            <w:rPr>
              <w:rFonts w:hint="eastAsia" w:ascii="宋体" w:hAnsi="宋体" w:eastAsia="宋体" w:cs="宋体"/>
              <w:sz w:val="21"/>
              <w:szCs w:val="21"/>
            </w:rPr>
            <w:fldChar w:fldCharType="separate"/>
          </w:r>
          <w:r>
            <w:rPr>
              <w:rFonts w:hint="eastAsia" w:ascii="宋体" w:hAnsi="宋体" w:eastAsia="宋体" w:cs="宋体"/>
              <w:sz w:val="21"/>
              <w:szCs w:val="21"/>
            </w:rPr>
            <w:t>一、</w:t>
          </w:r>
          <w:r>
            <w:rPr>
              <w:sz w:val="21"/>
              <w:szCs w:val="21"/>
            </w:rPr>
            <w:t>地质灾害防治现状与形势</w:t>
          </w:r>
          <w:r>
            <w:rPr>
              <w:sz w:val="21"/>
              <w:szCs w:val="21"/>
            </w:rPr>
            <w:tab/>
          </w:r>
          <w:r>
            <w:rPr>
              <w:sz w:val="21"/>
              <w:szCs w:val="21"/>
            </w:rPr>
            <w:fldChar w:fldCharType="begin"/>
          </w:r>
          <w:r>
            <w:rPr>
              <w:sz w:val="21"/>
              <w:szCs w:val="21"/>
            </w:rPr>
            <w:instrText xml:space="preserve"> PAGEREF _Toc28468 \h </w:instrText>
          </w:r>
          <w:r>
            <w:rPr>
              <w:sz w:val="21"/>
              <w:szCs w:val="21"/>
            </w:rPr>
            <w:fldChar w:fldCharType="separate"/>
          </w:r>
          <w:r>
            <w:rPr>
              <w:sz w:val="21"/>
              <w:szCs w:val="21"/>
            </w:rPr>
            <w:t>4</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_Toc28909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（一） </w:t>
          </w:r>
          <w:r>
            <w:rPr>
              <w:sz w:val="21"/>
              <w:szCs w:val="21"/>
            </w:rPr>
            <w:t>地质灾害现状</w:t>
          </w:r>
          <w:r>
            <w:rPr>
              <w:sz w:val="21"/>
              <w:szCs w:val="21"/>
            </w:rPr>
            <w:tab/>
          </w:r>
          <w:r>
            <w:rPr>
              <w:sz w:val="21"/>
              <w:szCs w:val="21"/>
            </w:rPr>
            <w:fldChar w:fldCharType="begin"/>
          </w:r>
          <w:r>
            <w:rPr>
              <w:sz w:val="21"/>
              <w:szCs w:val="21"/>
            </w:rPr>
            <w:instrText xml:space="preserve"> PAGEREF _Toc28909 \h </w:instrText>
          </w:r>
          <w:r>
            <w:rPr>
              <w:sz w:val="21"/>
              <w:szCs w:val="21"/>
            </w:rPr>
            <w:fldChar w:fldCharType="separate"/>
          </w:r>
          <w:r>
            <w:rPr>
              <w:sz w:val="21"/>
              <w:szCs w:val="21"/>
            </w:rPr>
            <w:t>4</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_Toc4086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（二） </w:t>
          </w:r>
          <w:r>
            <w:rPr>
              <w:sz w:val="21"/>
              <w:szCs w:val="21"/>
            </w:rPr>
            <w:t>“十四五”地质灾害防治工作成效</w:t>
          </w:r>
          <w:r>
            <w:rPr>
              <w:sz w:val="21"/>
              <w:szCs w:val="21"/>
            </w:rPr>
            <w:tab/>
          </w:r>
          <w:r>
            <w:rPr>
              <w:sz w:val="21"/>
              <w:szCs w:val="21"/>
            </w:rPr>
            <w:fldChar w:fldCharType="begin"/>
          </w:r>
          <w:r>
            <w:rPr>
              <w:sz w:val="21"/>
              <w:szCs w:val="21"/>
            </w:rPr>
            <w:instrText xml:space="preserve"> PAGEREF _Toc4086 \h </w:instrText>
          </w:r>
          <w:r>
            <w:rPr>
              <w:sz w:val="21"/>
              <w:szCs w:val="21"/>
            </w:rPr>
            <w:fldChar w:fldCharType="separate"/>
          </w:r>
          <w:r>
            <w:rPr>
              <w:sz w:val="21"/>
              <w:szCs w:val="21"/>
            </w:rPr>
            <w:t>7</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_Toc3028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（三） </w:t>
          </w:r>
          <w:r>
            <w:rPr>
              <w:sz w:val="21"/>
              <w:szCs w:val="21"/>
            </w:rPr>
            <w:t>存在的主要问题</w:t>
          </w:r>
          <w:r>
            <w:rPr>
              <w:sz w:val="21"/>
              <w:szCs w:val="21"/>
            </w:rPr>
            <w:tab/>
          </w:r>
          <w:r>
            <w:rPr>
              <w:sz w:val="21"/>
              <w:szCs w:val="21"/>
            </w:rPr>
            <w:fldChar w:fldCharType="begin"/>
          </w:r>
          <w:r>
            <w:rPr>
              <w:sz w:val="21"/>
              <w:szCs w:val="21"/>
            </w:rPr>
            <w:instrText xml:space="preserve"> PAGEREF _Toc3028 \h </w:instrText>
          </w:r>
          <w:r>
            <w:rPr>
              <w:sz w:val="21"/>
              <w:szCs w:val="21"/>
            </w:rPr>
            <w:fldChar w:fldCharType="separate"/>
          </w:r>
          <w:r>
            <w:rPr>
              <w:sz w:val="21"/>
              <w:szCs w:val="21"/>
            </w:rPr>
            <w:t>9</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_Toc16855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（四） </w:t>
          </w:r>
          <w:r>
            <w:rPr>
              <w:sz w:val="21"/>
              <w:szCs w:val="21"/>
            </w:rPr>
            <w:t>“十五五”形势研判</w:t>
          </w:r>
          <w:r>
            <w:rPr>
              <w:sz w:val="21"/>
              <w:szCs w:val="21"/>
            </w:rPr>
            <w:tab/>
          </w:r>
          <w:r>
            <w:rPr>
              <w:sz w:val="21"/>
              <w:szCs w:val="21"/>
            </w:rPr>
            <w:fldChar w:fldCharType="begin"/>
          </w:r>
          <w:r>
            <w:rPr>
              <w:sz w:val="21"/>
              <w:szCs w:val="21"/>
            </w:rPr>
            <w:instrText xml:space="preserve"> PAGEREF _Toc16855 \h </w:instrText>
          </w:r>
          <w:r>
            <w:rPr>
              <w:sz w:val="21"/>
              <w:szCs w:val="21"/>
            </w:rPr>
            <w:fldChar w:fldCharType="separate"/>
          </w:r>
          <w:r>
            <w:rPr>
              <w:sz w:val="21"/>
              <w:szCs w:val="21"/>
            </w:rPr>
            <w:t>10</w:t>
          </w:r>
          <w:r>
            <w:rPr>
              <w:sz w:val="21"/>
              <w:szCs w:val="21"/>
            </w:rPr>
            <w:fldChar w:fldCharType="end"/>
          </w:r>
          <w:r>
            <w:rPr>
              <w:rFonts w:hint="eastAsia" w:ascii="宋体" w:hAnsi="宋体" w:eastAsia="宋体" w:cs="宋体"/>
              <w:sz w:val="21"/>
              <w:szCs w:val="21"/>
            </w:rPr>
            <w:fldChar w:fldCharType="end"/>
          </w:r>
        </w:p>
        <w:p>
          <w:pPr>
            <w:pStyle w:val="24"/>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_Toc2235 </w:instrText>
          </w:r>
          <w:r>
            <w:rPr>
              <w:rFonts w:hint="eastAsia" w:ascii="宋体" w:hAnsi="宋体" w:eastAsia="宋体" w:cs="宋体"/>
              <w:sz w:val="21"/>
              <w:szCs w:val="21"/>
            </w:rPr>
            <w:fldChar w:fldCharType="separate"/>
          </w:r>
          <w:r>
            <w:rPr>
              <w:rFonts w:hint="eastAsia" w:ascii="宋体" w:hAnsi="宋体" w:eastAsia="宋体" w:cs="宋体"/>
              <w:sz w:val="21"/>
              <w:szCs w:val="21"/>
            </w:rPr>
            <w:t>二、</w:t>
          </w:r>
          <w:r>
            <w:rPr>
              <w:sz w:val="21"/>
              <w:szCs w:val="21"/>
            </w:rPr>
            <w:t>指导思想、基本原则与规划目标</w:t>
          </w:r>
          <w:r>
            <w:rPr>
              <w:sz w:val="21"/>
              <w:szCs w:val="21"/>
            </w:rPr>
            <w:tab/>
          </w:r>
          <w:r>
            <w:rPr>
              <w:sz w:val="21"/>
              <w:szCs w:val="21"/>
            </w:rPr>
            <w:fldChar w:fldCharType="begin"/>
          </w:r>
          <w:r>
            <w:rPr>
              <w:sz w:val="21"/>
              <w:szCs w:val="21"/>
            </w:rPr>
            <w:instrText xml:space="preserve"> PAGEREF _Toc2235 \h </w:instrText>
          </w:r>
          <w:r>
            <w:rPr>
              <w:sz w:val="21"/>
              <w:szCs w:val="21"/>
            </w:rPr>
            <w:fldChar w:fldCharType="separate"/>
          </w:r>
          <w:r>
            <w:rPr>
              <w:sz w:val="21"/>
              <w:szCs w:val="21"/>
            </w:rPr>
            <w:t>11</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_Toc9912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（一） </w:t>
          </w:r>
          <w:r>
            <w:rPr>
              <w:sz w:val="21"/>
              <w:szCs w:val="21"/>
            </w:rPr>
            <w:t>指导思想</w:t>
          </w:r>
          <w:r>
            <w:rPr>
              <w:sz w:val="21"/>
              <w:szCs w:val="21"/>
            </w:rPr>
            <w:tab/>
          </w:r>
          <w:r>
            <w:rPr>
              <w:sz w:val="21"/>
              <w:szCs w:val="21"/>
            </w:rPr>
            <w:fldChar w:fldCharType="begin"/>
          </w:r>
          <w:r>
            <w:rPr>
              <w:sz w:val="21"/>
              <w:szCs w:val="21"/>
            </w:rPr>
            <w:instrText xml:space="preserve"> PAGEREF _Toc9912 \h </w:instrText>
          </w:r>
          <w:r>
            <w:rPr>
              <w:sz w:val="21"/>
              <w:szCs w:val="21"/>
            </w:rPr>
            <w:fldChar w:fldCharType="separate"/>
          </w:r>
          <w:r>
            <w:rPr>
              <w:sz w:val="21"/>
              <w:szCs w:val="21"/>
            </w:rPr>
            <w:t>11</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_Toc11379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（二） </w:t>
          </w:r>
          <w:r>
            <w:rPr>
              <w:sz w:val="21"/>
              <w:szCs w:val="21"/>
            </w:rPr>
            <w:t>基本原则</w:t>
          </w:r>
          <w:r>
            <w:rPr>
              <w:sz w:val="21"/>
              <w:szCs w:val="21"/>
            </w:rPr>
            <w:tab/>
          </w:r>
          <w:r>
            <w:rPr>
              <w:sz w:val="21"/>
              <w:szCs w:val="21"/>
            </w:rPr>
            <w:fldChar w:fldCharType="begin"/>
          </w:r>
          <w:r>
            <w:rPr>
              <w:sz w:val="21"/>
              <w:szCs w:val="21"/>
            </w:rPr>
            <w:instrText xml:space="preserve"> PAGEREF _Toc11379 \h </w:instrText>
          </w:r>
          <w:r>
            <w:rPr>
              <w:sz w:val="21"/>
              <w:szCs w:val="21"/>
            </w:rPr>
            <w:fldChar w:fldCharType="separate"/>
          </w:r>
          <w:r>
            <w:rPr>
              <w:sz w:val="21"/>
              <w:szCs w:val="21"/>
            </w:rPr>
            <w:t>11</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_Toc5406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（三） </w:t>
          </w:r>
          <w:r>
            <w:rPr>
              <w:sz w:val="21"/>
              <w:szCs w:val="21"/>
            </w:rPr>
            <w:t>规划目标</w:t>
          </w:r>
          <w:r>
            <w:rPr>
              <w:sz w:val="21"/>
              <w:szCs w:val="21"/>
            </w:rPr>
            <w:tab/>
          </w:r>
          <w:r>
            <w:rPr>
              <w:sz w:val="21"/>
              <w:szCs w:val="21"/>
            </w:rPr>
            <w:fldChar w:fldCharType="begin"/>
          </w:r>
          <w:r>
            <w:rPr>
              <w:sz w:val="21"/>
              <w:szCs w:val="21"/>
            </w:rPr>
            <w:instrText xml:space="preserve"> PAGEREF _Toc5406 \h </w:instrText>
          </w:r>
          <w:r>
            <w:rPr>
              <w:sz w:val="21"/>
              <w:szCs w:val="21"/>
            </w:rPr>
            <w:fldChar w:fldCharType="separate"/>
          </w:r>
          <w:r>
            <w:rPr>
              <w:sz w:val="21"/>
              <w:szCs w:val="21"/>
            </w:rPr>
            <w:t>12</w:t>
          </w:r>
          <w:r>
            <w:rPr>
              <w:sz w:val="21"/>
              <w:szCs w:val="21"/>
            </w:rPr>
            <w:fldChar w:fldCharType="end"/>
          </w:r>
          <w:r>
            <w:rPr>
              <w:rFonts w:hint="eastAsia" w:ascii="宋体" w:hAnsi="宋体" w:eastAsia="宋体" w:cs="宋体"/>
              <w:sz w:val="21"/>
              <w:szCs w:val="21"/>
            </w:rPr>
            <w:fldChar w:fldCharType="end"/>
          </w:r>
        </w:p>
        <w:p>
          <w:pPr>
            <w:pStyle w:val="24"/>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_Toc8832 </w:instrText>
          </w:r>
          <w:r>
            <w:rPr>
              <w:rFonts w:hint="eastAsia" w:ascii="宋体" w:hAnsi="宋体" w:eastAsia="宋体" w:cs="宋体"/>
              <w:sz w:val="21"/>
              <w:szCs w:val="21"/>
            </w:rPr>
            <w:fldChar w:fldCharType="separate"/>
          </w:r>
          <w:r>
            <w:rPr>
              <w:rFonts w:hint="eastAsia" w:ascii="宋体" w:hAnsi="宋体" w:eastAsia="宋体" w:cs="宋体"/>
              <w:sz w:val="21"/>
              <w:szCs w:val="21"/>
            </w:rPr>
            <w:t>三、</w:t>
          </w:r>
          <w:r>
            <w:rPr>
              <w:sz w:val="21"/>
              <w:szCs w:val="21"/>
            </w:rPr>
            <w:t>地质灾害易发区、风险区和防治区</w:t>
          </w:r>
          <w:r>
            <w:rPr>
              <w:sz w:val="21"/>
              <w:szCs w:val="21"/>
            </w:rPr>
            <w:tab/>
          </w:r>
          <w:r>
            <w:rPr>
              <w:sz w:val="21"/>
              <w:szCs w:val="21"/>
            </w:rPr>
            <w:fldChar w:fldCharType="begin"/>
          </w:r>
          <w:r>
            <w:rPr>
              <w:sz w:val="21"/>
              <w:szCs w:val="21"/>
            </w:rPr>
            <w:instrText xml:space="preserve"> PAGEREF _Toc8832 \h </w:instrText>
          </w:r>
          <w:r>
            <w:rPr>
              <w:sz w:val="21"/>
              <w:szCs w:val="21"/>
            </w:rPr>
            <w:fldChar w:fldCharType="separate"/>
          </w:r>
          <w:r>
            <w:rPr>
              <w:sz w:val="21"/>
              <w:szCs w:val="21"/>
            </w:rPr>
            <w:t>14</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_Toc7637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（一） </w:t>
          </w:r>
          <w:r>
            <w:rPr>
              <w:sz w:val="21"/>
              <w:szCs w:val="21"/>
            </w:rPr>
            <w:t>地质灾害易发区</w:t>
          </w:r>
          <w:r>
            <w:rPr>
              <w:sz w:val="21"/>
              <w:szCs w:val="21"/>
            </w:rPr>
            <w:tab/>
          </w:r>
          <w:r>
            <w:rPr>
              <w:sz w:val="21"/>
              <w:szCs w:val="21"/>
            </w:rPr>
            <w:fldChar w:fldCharType="begin"/>
          </w:r>
          <w:r>
            <w:rPr>
              <w:sz w:val="21"/>
              <w:szCs w:val="21"/>
            </w:rPr>
            <w:instrText xml:space="preserve"> PAGEREF _Toc7637 \h </w:instrText>
          </w:r>
          <w:r>
            <w:rPr>
              <w:sz w:val="21"/>
              <w:szCs w:val="21"/>
            </w:rPr>
            <w:fldChar w:fldCharType="separate"/>
          </w:r>
          <w:r>
            <w:rPr>
              <w:sz w:val="21"/>
              <w:szCs w:val="21"/>
            </w:rPr>
            <w:t>15</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_Toc29976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（二） </w:t>
          </w:r>
          <w:r>
            <w:rPr>
              <w:sz w:val="21"/>
              <w:szCs w:val="21"/>
            </w:rPr>
            <w:t>地质灾害风险区</w:t>
          </w:r>
          <w:r>
            <w:rPr>
              <w:sz w:val="21"/>
              <w:szCs w:val="21"/>
            </w:rPr>
            <w:tab/>
          </w:r>
          <w:r>
            <w:rPr>
              <w:sz w:val="21"/>
              <w:szCs w:val="21"/>
            </w:rPr>
            <w:fldChar w:fldCharType="begin"/>
          </w:r>
          <w:r>
            <w:rPr>
              <w:sz w:val="21"/>
              <w:szCs w:val="21"/>
            </w:rPr>
            <w:instrText xml:space="preserve"> PAGEREF _Toc29976 \h </w:instrText>
          </w:r>
          <w:r>
            <w:rPr>
              <w:sz w:val="21"/>
              <w:szCs w:val="21"/>
            </w:rPr>
            <w:fldChar w:fldCharType="separate"/>
          </w:r>
          <w:r>
            <w:rPr>
              <w:sz w:val="21"/>
              <w:szCs w:val="21"/>
            </w:rPr>
            <w:t>17</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_Toc7551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（三） </w:t>
          </w:r>
          <w:r>
            <w:rPr>
              <w:sz w:val="21"/>
              <w:szCs w:val="21"/>
            </w:rPr>
            <w:t>地质灾害防治区</w:t>
          </w:r>
          <w:r>
            <w:rPr>
              <w:sz w:val="21"/>
              <w:szCs w:val="21"/>
            </w:rPr>
            <w:tab/>
          </w:r>
          <w:r>
            <w:rPr>
              <w:sz w:val="21"/>
              <w:szCs w:val="21"/>
            </w:rPr>
            <w:fldChar w:fldCharType="begin"/>
          </w:r>
          <w:r>
            <w:rPr>
              <w:sz w:val="21"/>
              <w:szCs w:val="21"/>
            </w:rPr>
            <w:instrText xml:space="preserve"> PAGEREF _Toc7551 \h </w:instrText>
          </w:r>
          <w:r>
            <w:rPr>
              <w:sz w:val="21"/>
              <w:szCs w:val="21"/>
            </w:rPr>
            <w:fldChar w:fldCharType="separate"/>
          </w:r>
          <w:r>
            <w:rPr>
              <w:sz w:val="21"/>
              <w:szCs w:val="21"/>
            </w:rPr>
            <w:t>18</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_Toc21687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（四） </w:t>
          </w:r>
          <w:r>
            <w:rPr>
              <w:sz w:val="21"/>
              <w:szCs w:val="21"/>
            </w:rPr>
            <w:t>重点片区差异化管控</w:t>
          </w:r>
          <w:r>
            <w:rPr>
              <w:sz w:val="21"/>
              <w:szCs w:val="21"/>
            </w:rPr>
            <w:tab/>
          </w:r>
          <w:r>
            <w:rPr>
              <w:sz w:val="21"/>
              <w:szCs w:val="21"/>
            </w:rPr>
            <w:fldChar w:fldCharType="begin"/>
          </w:r>
          <w:r>
            <w:rPr>
              <w:sz w:val="21"/>
              <w:szCs w:val="21"/>
            </w:rPr>
            <w:instrText xml:space="preserve"> PAGEREF _Toc21687 \h </w:instrText>
          </w:r>
          <w:r>
            <w:rPr>
              <w:sz w:val="21"/>
              <w:szCs w:val="21"/>
            </w:rPr>
            <w:fldChar w:fldCharType="separate"/>
          </w:r>
          <w:r>
            <w:rPr>
              <w:sz w:val="21"/>
              <w:szCs w:val="21"/>
            </w:rPr>
            <w:t>20</w:t>
          </w:r>
          <w:r>
            <w:rPr>
              <w:sz w:val="21"/>
              <w:szCs w:val="21"/>
            </w:rPr>
            <w:fldChar w:fldCharType="end"/>
          </w:r>
          <w:r>
            <w:rPr>
              <w:rFonts w:hint="eastAsia" w:ascii="宋体" w:hAnsi="宋体" w:eastAsia="宋体" w:cs="宋体"/>
              <w:sz w:val="21"/>
              <w:szCs w:val="21"/>
            </w:rPr>
            <w:fldChar w:fldCharType="end"/>
          </w:r>
        </w:p>
        <w:p>
          <w:pPr>
            <w:pStyle w:val="24"/>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_Toc9288 </w:instrText>
          </w:r>
          <w:r>
            <w:rPr>
              <w:rFonts w:hint="eastAsia" w:ascii="宋体" w:hAnsi="宋体" w:eastAsia="宋体" w:cs="宋体"/>
              <w:sz w:val="21"/>
              <w:szCs w:val="21"/>
            </w:rPr>
            <w:fldChar w:fldCharType="separate"/>
          </w:r>
          <w:r>
            <w:rPr>
              <w:rFonts w:hint="eastAsia" w:ascii="宋体" w:hAnsi="宋体" w:eastAsia="宋体" w:cs="宋体"/>
              <w:sz w:val="21"/>
              <w:szCs w:val="21"/>
            </w:rPr>
            <w:t>四、</w:t>
          </w:r>
          <w:r>
            <w:rPr>
              <w:sz w:val="21"/>
              <w:szCs w:val="21"/>
            </w:rPr>
            <w:t>地质灾害综合防治工程</w:t>
          </w:r>
          <w:r>
            <w:rPr>
              <w:sz w:val="21"/>
              <w:szCs w:val="21"/>
            </w:rPr>
            <w:tab/>
          </w:r>
          <w:r>
            <w:rPr>
              <w:sz w:val="21"/>
              <w:szCs w:val="21"/>
            </w:rPr>
            <w:fldChar w:fldCharType="begin"/>
          </w:r>
          <w:r>
            <w:rPr>
              <w:sz w:val="21"/>
              <w:szCs w:val="21"/>
            </w:rPr>
            <w:instrText xml:space="preserve"> PAGEREF _Toc9288 \h </w:instrText>
          </w:r>
          <w:r>
            <w:rPr>
              <w:sz w:val="21"/>
              <w:szCs w:val="21"/>
            </w:rPr>
            <w:fldChar w:fldCharType="separate"/>
          </w:r>
          <w:r>
            <w:rPr>
              <w:sz w:val="21"/>
              <w:szCs w:val="21"/>
            </w:rPr>
            <w:t>22</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_Toc14168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（一） </w:t>
          </w:r>
          <w:r>
            <w:rPr>
              <w:sz w:val="21"/>
              <w:szCs w:val="21"/>
            </w:rPr>
            <w:t>调查评价</w:t>
          </w:r>
          <w:r>
            <w:rPr>
              <w:sz w:val="21"/>
              <w:szCs w:val="21"/>
            </w:rPr>
            <w:tab/>
          </w:r>
          <w:r>
            <w:rPr>
              <w:sz w:val="21"/>
              <w:szCs w:val="21"/>
            </w:rPr>
            <w:fldChar w:fldCharType="begin"/>
          </w:r>
          <w:r>
            <w:rPr>
              <w:sz w:val="21"/>
              <w:szCs w:val="21"/>
            </w:rPr>
            <w:instrText xml:space="preserve"> PAGEREF _Toc14168 \h </w:instrText>
          </w:r>
          <w:r>
            <w:rPr>
              <w:sz w:val="21"/>
              <w:szCs w:val="21"/>
            </w:rPr>
            <w:fldChar w:fldCharType="separate"/>
          </w:r>
          <w:r>
            <w:rPr>
              <w:sz w:val="21"/>
              <w:szCs w:val="21"/>
            </w:rPr>
            <w:t>22</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_Toc19419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（二） </w:t>
          </w:r>
          <w:r>
            <w:rPr>
              <w:sz w:val="21"/>
              <w:szCs w:val="21"/>
            </w:rPr>
            <w:t>监测预警</w:t>
          </w:r>
          <w:r>
            <w:rPr>
              <w:sz w:val="21"/>
              <w:szCs w:val="21"/>
            </w:rPr>
            <w:tab/>
          </w:r>
          <w:r>
            <w:rPr>
              <w:sz w:val="21"/>
              <w:szCs w:val="21"/>
            </w:rPr>
            <w:fldChar w:fldCharType="begin"/>
          </w:r>
          <w:r>
            <w:rPr>
              <w:sz w:val="21"/>
              <w:szCs w:val="21"/>
            </w:rPr>
            <w:instrText xml:space="preserve"> PAGEREF _Toc19419 \h </w:instrText>
          </w:r>
          <w:r>
            <w:rPr>
              <w:sz w:val="21"/>
              <w:szCs w:val="21"/>
            </w:rPr>
            <w:fldChar w:fldCharType="separate"/>
          </w:r>
          <w:r>
            <w:rPr>
              <w:sz w:val="21"/>
              <w:szCs w:val="21"/>
            </w:rPr>
            <w:t>23</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_Toc25947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（三） </w:t>
          </w:r>
          <w:r>
            <w:rPr>
              <w:sz w:val="21"/>
              <w:szCs w:val="21"/>
            </w:rPr>
            <w:t>综合治理</w:t>
          </w:r>
          <w:r>
            <w:rPr>
              <w:sz w:val="21"/>
              <w:szCs w:val="21"/>
            </w:rPr>
            <w:tab/>
          </w:r>
          <w:r>
            <w:rPr>
              <w:sz w:val="21"/>
              <w:szCs w:val="21"/>
            </w:rPr>
            <w:fldChar w:fldCharType="begin"/>
          </w:r>
          <w:r>
            <w:rPr>
              <w:sz w:val="21"/>
              <w:szCs w:val="21"/>
            </w:rPr>
            <w:instrText xml:space="preserve"> PAGEREF _Toc25947 \h </w:instrText>
          </w:r>
          <w:r>
            <w:rPr>
              <w:sz w:val="21"/>
              <w:szCs w:val="21"/>
            </w:rPr>
            <w:fldChar w:fldCharType="separate"/>
          </w:r>
          <w:r>
            <w:rPr>
              <w:sz w:val="21"/>
              <w:szCs w:val="21"/>
            </w:rPr>
            <w:t>25</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_Toc24052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（四） </w:t>
          </w:r>
          <w:r>
            <w:rPr>
              <w:sz w:val="21"/>
              <w:szCs w:val="21"/>
            </w:rPr>
            <w:t>科技防灾</w:t>
          </w:r>
          <w:r>
            <w:rPr>
              <w:sz w:val="21"/>
              <w:szCs w:val="21"/>
            </w:rPr>
            <w:tab/>
          </w:r>
          <w:r>
            <w:rPr>
              <w:sz w:val="21"/>
              <w:szCs w:val="21"/>
            </w:rPr>
            <w:fldChar w:fldCharType="begin"/>
          </w:r>
          <w:r>
            <w:rPr>
              <w:sz w:val="21"/>
              <w:szCs w:val="21"/>
            </w:rPr>
            <w:instrText xml:space="preserve"> PAGEREF _Toc24052 \h </w:instrText>
          </w:r>
          <w:r>
            <w:rPr>
              <w:sz w:val="21"/>
              <w:szCs w:val="21"/>
            </w:rPr>
            <w:fldChar w:fldCharType="separate"/>
          </w:r>
          <w:r>
            <w:rPr>
              <w:sz w:val="21"/>
              <w:szCs w:val="21"/>
            </w:rPr>
            <w:t>26</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_Toc23855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（五） </w:t>
          </w:r>
          <w:r>
            <w:rPr>
              <w:sz w:val="21"/>
              <w:szCs w:val="21"/>
            </w:rPr>
            <w:t>防御响应</w:t>
          </w:r>
          <w:r>
            <w:rPr>
              <w:sz w:val="21"/>
              <w:szCs w:val="21"/>
            </w:rPr>
            <w:tab/>
          </w:r>
          <w:r>
            <w:rPr>
              <w:sz w:val="21"/>
              <w:szCs w:val="21"/>
            </w:rPr>
            <w:fldChar w:fldCharType="begin"/>
          </w:r>
          <w:r>
            <w:rPr>
              <w:sz w:val="21"/>
              <w:szCs w:val="21"/>
            </w:rPr>
            <w:instrText xml:space="preserve"> PAGEREF _Toc23855 \h </w:instrText>
          </w:r>
          <w:r>
            <w:rPr>
              <w:sz w:val="21"/>
              <w:szCs w:val="21"/>
            </w:rPr>
            <w:fldChar w:fldCharType="separate"/>
          </w:r>
          <w:r>
            <w:rPr>
              <w:sz w:val="21"/>
              <w:szCs w:val="21"/>
            </w:rPr>
            <w:t>27</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_Toc10079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（六） </w:t>
          </w:r>
          <w:r>
            <w:rPr>
              <w:sz w:val="21"/>
              <w:szCs w:val="21"/>
            </w:rPr>
            <w:t>风险管控</w:t>
          </w:r>
          <w:r>
            <w:rPr>
              <w:sz w:val="21"/>
              <w:szCs w:val="21"/>
            </w:rPr>
            <w:tab/>
          </w:r>
          <w:r>
            <w:rPr>
              <w:sz w:val="21"/>
              <w:szCs w:val="21"/>
            </w:rPr>
            <w:fldChar w:fldCharType="begin"/>
          </w:r>
          <w:r>
            <w:rPr>
              <w:sz w:val="21"/>
              <w:szCs w:val="21"/>
            </w:rPr>
            <w:instrText xml:space="preserve"> PAGEREF _Toc10079 \h </w:instrText>
          </w:r>
          <w:r>
            <w:rPr>
              <w:sz w:val="21"/>
              <w:szCs w:val="21"/>
            </w:rPr>
            <w:fldChar w:fldCharType="separate"/>
          </w:r>
          <w:r>
            <w:rPr>
              <w:sz w:val="21"/>
              <w:szCs w:val="21"/>
            </w:rPr>
            <w:t>28</w:t>
          </w:r>
          <w:r>
            <w:rPr>
              <w:sz w:val="21"/>
              <w:szCs w:val="21"/>
            </w:rPr>
            <w:fldChar w:fldCharType="end"/>
          </w:r>
          <w:r>
            <w:rPr>
              <w:rFonts w:hint="eastAsia" w:ascii="宋体" w:hAnsi="宋体" w:eastAsia="宋体" w:cs="宋体"/>
              <w:sz w:val="21"/>
              <w:szCs w:val="21"/>
            </w:rPr>
            <w:fldChar w:fldCharType="end"/>
          </w:r>
        </w:p>
        <w:p>
          <w:pPr>
            <w:pStyle w:val="24"/>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_Toc10770 </w:instrText>
          </w:r>
          <w:r>
            <w:rPr>
              <w:rFonts w:hint="eastAsia" w:ascii="宋体" w:hAnsi="宋体" w:eastAsia="宋体" w:cs="宋体"/>
              <w:sz w:val="21"/>
              <w:szCs w:val="21"/>
            </w:rPr>
            <w:fldChar w:fldCharType="separate"/>
          </w:r>
          <w:r>
            <w:rPr>
              <w:rFonts w:hint="eastAsia" w:ascii="宋体" w:hAnsi="宋体" w:eastAsia="宋体" w:cs="宋体"/>
              <w:sz w:val="21"/>
              <w:szCs w:val="21"/>
            </w:rPr>
            <w:t>五、</w:t>
          </w:r>
          <w:r>
            <w:rPr>
              <w:sz w:val="21"/>
              <w:szCs w:val="21"/>
            </w:rPr>
            <w:t>保障措施</w:t>
          </w:r>
          <w:r>
            <w:rPr>
              <w:sz w:val="21"/>
              <w:szCs w:val="21"/>
            </w:rPr>
            <w:tab/>
          </w:r>
          <w:r>
            <w:rPr>
              <w:sz w:val="21"/>
              <w:szCs w:val="21"/>
            </w:rPr>
            <w:fldChar w:fldCharType="begin"/>
          </w:r>
          <w:r>
            <w:rPr>
              <w:sz w:val="21"/>
              <w:szCs w:val="21"/>
            </w:rPr>
            <w:instrText xml:space="preserve"> PAGEREF _Toc10770 \h </w:instrText>
          </w:r>
          <w:r>
            <w:rPr>
              <w:sz w:val="21"/>
              <w:szCs w:val="21"/>
            </w:rPr>
            <w:fldChar w:fldCharType="separate"/>
          </w:r>
          <w:r>
            <w:rPr>
              <w:sz w:val="21"/>
              <w:szCs w:val="21"/>
            </w:rPr>
            <w:t>30</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_Toc32573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（一） </w:t>
          </w:r>
          <w:r>
            <w:rPr>
              <w:sz w:val="21"/>
              <w:szCs w:val="21"/>
            </w:rPr>
            <w:t>组织领导</w:t>
          </w:r>
          <w:r>
            <w:rPr>
              <w:sz w:val="21"/>
              <w:szCs w:val="21"/>
            </w:rPr>
            <w:tab/>
          </w:r>
          <w:r>
            <w:rPr>
              <w:sz w:val="21"/>
              <w:szCs w:val="21"/>
            </w:rPr>
            <w:fldChar w:fldCharType="begin"/>
          </w:r>
          <w:r>
            <w:rPr>
              <w:sz w:val="21"/>
              <w:szCs w:val="21"/>
            </w:rPr>
            <w:instrText xml:space="preserve"> PAGEREF _Toc32573 \h </w:instrText>
          </w:r>
          <w:r>
            <w:rPr>
              <w:sz w:val="21"/>
              <w:szCs w:val="21"/>
            </w:rPr>
            <w:fldChar w:fldCharType="separate"/>
          </w:r>
          <w:r>
            <w:rPr>
              <w:sz w:val="21"/>
              <w:szCs w:val="21"/>
            </w:rPr>
            <w:t>30</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_Toc6763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（二） </w:t>
          </w:r>
          <w:r>
            <w:rPr>
              <w:sz w:val="21"/>
              <w:szCs w:val="21"/>
            </w:rPr>
            <w:t>资金保障</w:t>
          </w:r>
          <w:r>
            <w:rPr>
              <w:sz w:val="21"/>
              <w:szCs w:val="21"/>
            </w:rPr>
            <w:tab/>
          </w:r>
          <w:r>
            <w:rPr>
              <w:sz w:val="21"/>
              <w:szCs w:val="21"/>
            </w:rPr>
            <w:fldChar w:fldCharType="begin"/>
          </w:r>
          <w:r>
            <w:rPr>
              <w:sz w:val="21"/>
              <w:szCs w:val="21"/>
            </w:rPr>
            <w:instrText xml:space="preserve"> PAGEREF _Toc6763 \h </w:instrText>
          </w:r>
          <w:r>
            <w:rPr>
              <w:sz w:val="21"/>
              <w:szCs w:val="21"/>
            </w:rPr>
            <w:fldChar w:fldCharType="separate"/>
          </w:r>
          <w:r>
            <w:rPr>
              <w:sz w:val="21"/>
              <w:szCs w:val="21"/>
            </w:rPr>
            <w:t>31</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_Toc23877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（三） </w:t>
          </w:r>
          <w:r>
            <w:rPr>
              <w:sz w:val="21"/>
              <w:szCs w:val="21"/>
            </w:rPr>
            <w:t>监督考核</w:t>
          </w:r>
          <w:r>
            <w:rPr>
              <w:sz w:val="21"/>
              <w:szCs w:val="21"/>
            </w:rPr>
            <w:tab/>
          </w:r>
          <w:r>
            <w:rPr>
              <w:sz w:val="21"/>
              <w:szCs w:val="21"/>
            </w:rPr>
            <w:fldChar w:fldCharType="begin"/>
          </w:r>
          <w:r>
            <w:rPr>
              <w:sz w:val="21"/>
              <w:szCs w:val="21"/>
            </w:rPr>
            <w:instrText xml:space="preserve"> PAGEREF _Toc23877 \h </w:instrText>
          </w:r>
          <w:r>
            <w:rPr>
              <w:sz w:val="21"/>
              <w:szCs w:val="21"/>
            </w:rPr>
            <w:fldChar w:fldCharType="separate"/>
          </w:r>
          <w:r>
            <w:rPr>
              <w:sz w:val="21"/>
              <w:szCs w:val="21"/>
            </w:rPr>
            <w:t>32</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_Toc27191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（四） </w:t>
          </w:r>
          <w:r>
            <w:rPr>
              <w:sz w:val="21"/>
              <w:szCs w:val="21"/>
            </w:rPr>
            <w:t>技术支撑</w:t>
          </w:r>
          <w:r>
            <w:rPr>
              <w:sz w:val="21"/>
              <w:szCs w:val="21"/>
            </w:rPr>
            <w:tab/>
          </w:r>
          <w:r>
            <w:rPr>
              <w:sz w:val="21"/>
              <w:szCs w:val="21"/>
            </w:rPr>
            <w:fldChar w:fldCharType="begin"/>
          </w:r>
          <w:r>
            <w:rPr>
              <w:sz w:val="21"/>
              <w:szCs w:val="21"/>
            </w:rPr>
            <w:instrText xml:space="preserve"> PAGEREF _Toc27191 \h </w:instrText>
          </w:r>
          <w:r>
            <w:rPr>
              <w:sz w:val="21"/>
              <w:szCs w:val="21"/>
            </w:rPr>
            <w:fldChar w:fldCharType="separate"/>
          </w:r>
          <w:r>
            <w:rPr>
              <w:sz w:val="21"/>
              <w:szCs w:val="21"/>
            </w:rPr>
            <w:t>33</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_Toc19151 </w:instrText>
          </w:r>
          <w:r>
            <w:rPr>
              <w:rFonts w:hint="eastAsia" w:ascii="宋体" w:hAnsi="宋体" w:eastAsia="宋体" w:cs="宋体"/>
              <w:sz w:val="21"/>
              <w:szCs w:val="21"/>
            </w:rPr>
            <w:fldChar w:fldCharType="separate"/>
          </w:r>
          <w:r>
            <w:rPr>
              <w:rFonts w:hint="eastAsia" w:ascii="宋体" w:hAnsi="宋体" w:eastAsia="宋体" w:cs="宋体"/>
              <w:sz w:val="21"/>
              <w:szCs w:val="21"/>
            </w:rPr>
            <w:t xml:space="preserve">（五） </w:t>
          </w:r>
          <w:r>
            <w:rPr>
              <w:sz w:val="21"/>
              <w:szCs w:val="21"/>
            </w:rPr>
            <w:t>宣传培训</w:t>
          </w:r>
          <w:r>
            <w:rPr>
              <w:sz w:val="21"/>
              <w:szCs w:val="21"/>
            </w:rPr>
            <w:tab/>
          </w:r>
          <w:r>
            <w:rPr>
              <w:sz w:val="21"/>
              <w:szCs w:val="21"/>
            </w:rPr>
            <w:fldChar w:fldCharType="begin"/>
          </w:r>
          <w:r>
            <w:rPr>
              <w:sz w:val="21"/>
              <w:szCs w:val="21"/>
            </w:rPr>
            <w:instrText xml:space="preserve"> PAGEREF _Toc19151 \h </w:instrText>
          </w:r>
          <w:r>
            <w:rPr>
              <w:sz w:val="21"/>
              <w:szCs w:val="21"/>
            </w:rPr>
            <w:fldChar w:fldCharType="separate"/>
          </w:r>
          <w:r>
            <w:rPr>
              <w:sz w:val="21"/>
              <w:szCs w:val="21"/>
            </w:rPr>
            <w:t>34</w:t>
          </w:r>
          <w:r>
            <w:rPr>
              <w:sz w:val="21"/>
              <w:szCs w:val="21"/>
            </w:rPr>
            <w:fldChar w:fldCharType="end"/>
          </w:r>
          <w:r>
            <w:rPr>
              <w:rFonts w:hint="eastAsia" w:ascii="宋体" w:hAnsi="宋体" w:eastAsia="宋体" w:cs="宋体"/>
              <w:sz w:val="21"/>
              <w:szCs w:val="21"/>
            </w:rPr>
            <w:fldChar w:fldCharType="end"/>
          </w:r>
        </w:p>
        <w:p>
          <w:pPr>
            <w:pStyle w:val="24"/>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_Toc15090 </w:instrText>
          </w:r>
          <w:r>
            <w:rPr>
              <w:rFonts w:hint="eastAsia" w:ascii="宋体" w:hAnsi="宋体" w:eastAsia="宋体" w:cs="宋体"/>
              <w:sz w:val="21"/>
              <w:szCs w:val="21"/>
            </w:rPr>
            <w:fldChar w:fldCharType="separate"/>
          </w:r>
          <w:r>
            <w:rPr>
              <w:sz w:val="21"/>
              <w:szCs w:val="21"/>
            </w:rPr>
            <w:t>附则</w:t>
          </w:r>
          <w:r>
            <w:rPr>
              <w:sz w:val="21"/>
              <w:szCs w:val="21"/>
            </w:rPr>
            <w:tab/>
          </w:r>
          <w:r>
            <w:rPr>
              <w:sz w:val="21"/>
              <w:szCs w:val="21"/>
            </w:rPr>
            <w:fldChar w:fldCharType="begin"/>
          </w:r>
          <w:r>
            <w:rPr>
              <w:sz w:val="21"/>
              <w:szCs w:val="21"/>
            </w:rPr>
            <w:instrText xml:space="preserve"> PAGEREF _Toc15090 \h </w:instrText>
          </w:r>
          <w:r>
            <w:rPr>
              <w:sz w:val="21"/>
              <w:szCs w:val="21"/>
            </w:rPr>
            <w:fldChar w:fldCharType="separate"/>
          </w:r>
          <w:r>
            <w:rPr>
              <w:sz w:val="21"/>
              <w:szCs w:val="21"/>
            </w:rPr>
            <w:t>35</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_Toc31799 </w:instrText>
          </w:r>
          <w:r>
            <w:rPr>
              <w:rFonts w:hint="eastAsia" w:ascii="宋体" w:hAnsi="宋体" w:eastAsia="宋体" w:cs="宋体"/>
              <w:sz w:val="21"/>
              <w:szCs w:val="21"/>
            </w:rPr>
            <w:fldChar w:fldCharType="separate"/>
          </w:r>
          <w:r>
            <w:rPr>
              <w:rFonts w:hint="eastAsia" w:ascii="宋体" w:hAnsi="宋体" w:eastAsia="宋体" w:cs="宋体"/>
              <w:sz w:val="21"/>
              <w:szCs w:val="21"/>
            </w:rPr>
            <w:t>（一）</w:t>
          </w:r>
          <w:r>
            <w:rPr>
              <w:sz w:val="21"/>
              <w:szCs w:val="21"/>
            </w:rPr>
            <w:t>规划效力</w:t>
          </w:r>
          <w:r>
            <w:rPr>
              <w:sz w:val="21"/>
              <w:szCs w:val="21"/>
            </w:rPr>
            <w:tab/>
          </w:r>
          <w:r>
            <w:rPr>
              <w:sz w:val="21"/>
              <w:szCs w:val="21"/>
            </w:rPr>
            <w:fldChar w:fldCharType="begin"/>
          </w:r>
          <w:r>
            <w:rPr>
              <w:sz w:val="21"/>
              <w:szCs w:val="21"/>
            </w:rPr>
            <w:instrText xml:space="preserve"> PAGEREF _Toc31799 \h </w:instrText>
          </w:r>
          <w:r>
            <w:rPr>
              <w:sz w:val="21"/>
              <w:szCs w:val="21"/>
            </w:rPr>
            <w:fldChar w:fldCharType="separate"/>
          </w:r>
          <w:r>
            <w:rPr>
              <w:sz w:val="21"/>
              <w:szCs w:val="21"/>
            </w:rPr>
            <w:t>35</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_Toc27917 </w:instrText>
          </w:r>
          <w:r>
            <w:rPr>
              <w:rFonts w:hint="eastAsia" w:ascii="宋体" w:hAnsi="宋体" w:eastAsia="宋体" w:cs="宋体"/>
              <w:sz w:val="21"/>
              <w:szCs w:val="21"/>
            </w:rPr>
            <w:fldChar w:fldCharType="separate"/>
          </w:r>
          <w:r>
            <w:rPr>
              <w:rFonts w:hint="eastAsia" w:ascii="宋体" w:hAnsi="宋体" w:eastAsia="宋体" w:cs="宋体"/>
              <w:sz w:val="21"/>
              <w:szCs w:val="21"/>
            </w:rPr>
            <w:t>（二）</w:t>
          </w:r>
          <w:r>
            <w:rPr>
              <w:sz w:val="21"/>
              <w:szCs w:val="21"/>
            </w:rPr>
            <w:t>实施期限</w:t>
          </w:r>
          <w:r>
            <w:rPr>
              <w:sz w:val="21"/>
              <w:szCs w:val="21"/>
            </w:rPr>
            <w:tab/>
          </w:r>
          <w:r>
            <w:rPr>
              <w:sz w:val="21"/>
              <w:szCs w:val="21"/>
            </w:rPr>
            <w:fldChar w:fldCharType="begin"/>
          </w:r>
          <w:r>
            <w:rPr>
              <w:sz w:val="21"/>
              <w:szCs w:val="21"/>
            </w:rPr>
            <w:instrText xml:space="preserve"> PAGEREF _Toc27917 \h </w:instrText>
          </w:r>
          <w:r>
            <w:rPr>
              <w:sz w:val="21"/>
              <w:szCs w:val="21"/>
            </w:rPr>
            <w:fldChar w:fldCharType="separate"/>
          </w:r>
          <w:r>
            <w:rPr>
              <w:sz w:val="21"/>
              <w:szCs w:val="21"/>
            </w:rPr>
            <w:t>35</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_Toc32654 </w:instrText>
          </w:r>
          <w:r>
            <w:rPr>
              <w:rFonts w:hint="eastAsia" w:ascii="宋体" w:hAnsi="宋体" w:eastAsia="宋体" w:cs="宋体"/>
              <w:sz w:val="21"/>
              <w:szCs w:val="21"/>
            </w:rPr>
            <w:fldChar w:fldCharType="separate"/>
          </w:r>
          <w:r>
            <w:rPr>
              <w:rFonts w:hint="eastAsia" w:ascii="宋体" w:hAnsi="宋体" w:eastAsia="宋体" w:cs="宋体"/>
              <w:sz w:val="21"/>
              <w:szCs w:val="21"/>
            </w:rPr>
            <w:t>（三）</w:t>
          </w:r>
          <w:r>
            <w:rPr>
              <w:sz w:val="21"/>
              <w:szCs w:val="21"/>
            </w:rPr>
            <w:t>解释权限</w:t>
          </w:r>
          <w:r>
            <w:rPr>
              <w:sz w:val="21"/>
              <w:szCs w:val="21"/>
            </w:rPr>
            <w:tab/>
          </w:r>
          <w:r>
            <w:rPr>
              <w:sz w:val="21"/>
              <w:szCs w:val="21"/>
            </w:rPr>
            <w:fldChar w:fldCharType="begin"/>
          </w:r>
          <w:r>
            <w:rPr>
              <w:sz w:val="21"/>
              <w:szCs w:val="21"/>
            </w:rPr>
            <w:instrText xml:space="preserve"> PAGEREF _Toc32654 \h </w:instrText>
          </w:r>
          <w:r>
            <w:rPr>
              <w:sz w:val="21"/>
              <w:szCs w:val="21"/>
            </w:rPr>
            <w:fldChar w:fldCharType="separate"/>
          </w:r>
          <w:r>
            <w:rPr>
              <w:sz w:val="21"/>
              <w:szCs w:val="21"/>
            </w:rPr>
            <w:t>35</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_Toc20528 </w:instrText>
          </w:r>
          <w:r>
            <w:rPr>
              <w:rFonts w:hint="eastAsia" w:ascii="宋体" w:hAnsi="宋体" w:eastAsia="宋体" w:cs="宋体"/>
              <w:sz w:val="21"/>
              <w:szCs w:val="21"/>
            </w:rPr>
            <w:fldChar w:fldCharType="separate"/>
          </w:r>
          <w:r>
            <w:rPr>
              <w:rFonts w:hint="eastAsia" w:ascii="宋体" w:hAnsi="宋体" w:eastAsia="宋体" w:cs="宋体"/>
              <w:sz w:val="21"/>
              <w:szCs w:val="21"/>
            </w:rPr>
            <w:t>（四）</w:t>
          </w:r>
          <w:r>
            <w:rPr>
              <w:sz w:val="21"/>
              <w:szCs w:val="21"/>
            </w:rPr>
            <w:t>动态调整</w:t>
          </w:r>
          <w:r>
            <w:rPr>
              <w:sz w:val="21"/>
              <w:szCs w:val="21"/>
            </w:rPr>
            <w:tab/>
          </w:r>
          <w:r>
            <w:rPr>
              <w:sz w:val="21"/>
              <w:szCs w:val="21"/>
            </w:rPr>
            <w:fldChar w:fldCharType="begin"/>
          </w:r>
          <w:r>
            <w:rPr>
              <w:sz w:val="21"/>
              <w:szCs w:val="21"/>
            </w:rPr>
            <w:instrText xml:space="preserve"> PAGEREF _Toc20528 \h </w:instrText>
          </w:r>
          <w:r>
            <w:rPr>
              <w:sz w:val="21"/>
              <w:szCs w:val="21"/>
            </w:rPr>
            <w:fldChar w:fldCharType="separate"/>
          </w:r>
          <w:r>
            <w:rPr>
              <w:sz w:val="21"/>
              <w:szCs w:val="21"/>
            </w:rPr>
            <w:t>35</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_Toc24654 </w:instrText>
          </w:r>
          <w:r>
            <w:rPr>
              <w:rFonts w:hint="eastAsia" w:ascii="宋体" w:hAnsi="宋体" w:eastAsia="宋体" w:cs="宋体"/>
              <w:sz w:val="21"/>
              <w:szCs w:val="21"/>
            </w:rPr>
            <w:fldChar w:fldCharType="separate"/>
          </w:r>
          <w:r>
            <w:rPr>
              <w:rFonts w:hint="eastAsia" w:ascii="宋体" w:hAnsi="宋体" w:eastAsia="宋体" w:cs="宋体"/>
              <w:sz w:val="21"/>
              <w:szCs w:val="21"/>
            </w:rPr>
            <w:t>（五）</w:t>
          </w:r>
          <w:r>
            <w:rPr>
              <w:sz w:val="21"/>
              <w:szCs w:val="21"/>
            </w:rPr>
            <w:t>规划研究报告</w:t>
          </w:r>
          <w:r>
            <w:rPr>
              <w:sz w:val="21"/>
              <w:szCs w:val="21"/>
            </w:rPr>
            <w:tab/>
          </w:r>
          <w:r>
            <w:rPr>
              <w:sz w:val="21"/>
              <w:szCs w:val="21"/>
            </w:rPr>
            <w:fldChar w:fldCharType="begin"/>
          </w:r>
          <w:r>
            <w:rPr>
              <w:sz w:val="21"/>
              <w:szCs w:val="21"/>
            </w:rPr>
            <w:instrText xml:space="preserve"> PAGEREF _Toc24654 \h </w:instrText>
          </w:r>
          <w:r>
            <w:rPr>
              <w:sz w:val="21"/>
              <w:szCs w:val="21"/>
            </w:rPr>
            <w:fldChar w:fldCharType="separate"/>
          </w:r>
          <w:r>
            <w:rPr>
              <w:sz w:val="21"/>
              <w:szCs w:val="21"/>
            </w:rPr>
            <w:t>36</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_Toc6806 </w:instrText>
          </w:r>
          <w:r>
            <w:rPr>
              <w:rFonts w:hint="eastAsia" w:ascii="宋体" w:hAnsi="宋体" w:eastAsia="宋体" w:cs="宋体"/>
              <w:sz w:val="21"/>
              <w:szCs w:val="21"/>
            </w:rPr>
            <w:fldChar w:fldCharType="separate"/>
          </w:r>
          <w:r>
            <w:rPr>
              <w:rFonts w:hint="eastAsia" w:ascii="宋体" w:hAnsi="宋体" w:eastAsia="宋体" w:cs="宋体"/>
              <w:sz w:val="21"/>
              <w:szCs w:val="21"/>
            </w:rPr>
            <w:t>（六）</w:t>
          </w:r>
          <w:r>
            <w:rPr>
              <w:sz w:val="21"/>
              <w:szCs w:val="21"/>
            </w:rPr>
            <w:t>附图编制依据</w:t>
          </w:r>
          <w:r>
            <w:rPr>
              <w:sz w:val="21"/>
              <w:szCs w:val="21"/>
            </w:rPr>
            <w:tab/>
          </w:r>
          <w:r>
            <w:rPr>
              <w:sz w:val="21"/>
              <w:szCs w:val="21"/>
            </w:rPr>
            <w:fldChar w:fldCharType="begin"/>
          </w:r>
          <w:r>
            <w:rPr>
              <w:sz w:val="21"/>
              <w:szCs w:val="21"/>
            </w:rPr>
            <w:instrText xml:space="preserve"> PAGEREF _Toc6806 \h </w:instrText>
          </w:r>
          <w:r>
            <w:rPr>
              <w:sz w:val="21"/>
              <w:szCs w:val="21"/>
            </w:rPr>
            <w:fldChar w:fldCharType="separate"/>
          </w:r>
          <w:r>
            <w:rPr>
              <w:sz w:val="21"/>
              <w:szCs w:val="21"/>
            </w:rPr>
            <w:t>36</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_Toc6599 </w:instrText>
          </w:r>
          <w:r>
            <w:rPr>
              <w:rFonts w:hint="eastAsia" w:ascii="宋体" w:hAnsi="宋体" w:eastAsia="宋体" w:cs="宋体"/>
              <w:sz w:val="21"/>
              <w:szCs w:val="21"/>
            </w:rPr>
            <w:fldChar w:fldCharType="separate"/>
          </w:r>
          <w:r>
            <w:rPr>
              <w:rFonts w:hint="eastAsia" w:ascii="宋体" w:hAnsi="宋体" w:eastAsia="宋体" w:cs="宋体"/>
              <w:sz w:val="21"/>
              <w:szCs w:val="21"/>
            </w:rPr>
            <w:t>（七）</w:t>
          </w:r>
          <w:r>
            <w:rPr>
              <w:sz w:val="21"/>
              <w:szCs w:val="21"/>
            </w:rPr>
            <w:t>生效日期</w:t>
          </w:r>
          <w:r>
            <w:rPr>
              <w:sz w:val="21"/>
              <w:szCs w:val="21"/>
            </w:rPr>
            <w:tab/>
          </w:r>
          <w:r>
            <w:rPr>
              <w:sz w:val="21"/>
              <w:szCs w:val="21"/>
            </w:rPr>
            <w:fldChar w:fldCharType="begin"/>
          </w:r>
          <w:r>
            <w:rPr>
              <w:sz w:val="21"/>
              <w:szCs w:val="21"/>
            </w:rPr>
            <w:instrText xml:space="preserve"> PAGEREF _Toc6599 \h </w:instrText>
          </w:r>
          <w:r>
            <w:rPr>
              <w:sz w:val="21"/>
              <w:szCs w:val="21"/>
            </w:rPr>
            <w:fldChar w:fldCharType="separate"/>
          </w:r>
          <w:r>
            <w:rPr>
              <w:sz w:val="21"/>
              <w:szCs w:val="21"/>
            </w:rPr>
            <w:t>36</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_Toc2123 </w:instrText>
          </w:r>
          <w:r>
            <w:rPr>
              <w:rFonts w:hint="eastAsia" w:ascii="宋体" w:hAnsi="宋体" w:eastAsia="宋体" w:cs="宋体"/>
              <w:sz w:val="21"/>
              <w:szCs w:val="21"/>
            </w:rPr>
            <w:fldChar w:fldCharType="separate"/>
          </w:r>
          <w:r>
            <w:rPr>
              <w:rFonts w:hint="eastAsia" w:ascii="宋体" w:hAnsi="宋体" w:eastAsia="宋体" w:cs="宋体"/>
              <w:sz w:val="21"/>
              <w:szCs w:val="21"/>
            </w:rPr>
            <w:t>（八）</w:t>
          </w:r>
          <w:r>
            <w:rPr>
              <w:sz w:val="21"/>
              <w:szCs w:val="21"/>
            </w:rPr>
            <w:t>档案管理</w:t>
          </w:r>
          <w:r>
            <w:rPr>
              <w:sz w:val="21"/>
              <w:szCs w:val="21"/>
            </w:rPr>
            <w:tab/>
          </w:r>
          <w:r>
            <w:rPr>
              <w:sz w:val="21"/>
              <w:szCs w:val="21"/>
            </w:rPr>
            <w:fldChar w:fldCharType="begin"/>
          </w:r>
          <w:r>
            <w:rPr>
              <w:sz w:val="21"/>
              <w:szCs w:val="21"/>
            </w:rPr>
            <w:instrText xml:space="preserve"> PAGEREF _Toc2123 \h </w:instrText>
          </w:r>
          <w:r>
            <w:rPr>
              <w:sz w:val="21"/>
              <w:szCs w:val="21"/>
            </w:rPr>
            <w:fldChar w:fldCharType="separate"/>
          </w:r>
          <w:r>
            <w:rPr>
              <w:sz w:val="21"/>
              <w:szCs w:val="21"/>
            </w:rPr>
            <w:t>36</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_Toc21990 </w:instrText>
          </w:r>
          <w:r>
            <w:rPr>
              <w:rFonts w:hint="eastAsia" w:ascii="宋体" w:hAnsi="宋体" w:eastAsia="宋体" w:cs="宋体"/>
              <w:sz w:val="21"/>
              <w:szCs w:val="21"/>
            </w:rPr>
            <w:fldChar w:fldCharType="separate"/>
          </w:r>
          <w:r>
            <w:rPr>
              <w:rFonts w:hint="eastAsia" w:ascii="宋体" w:hAnsi="宋体" w:eastAsia="宋体" w:cs="宋体"/>
              <w:sz w:val="21"/>
              <w:szCs w:val="21"/>
            </w:rPr>
            <w:t>（九）</w:t>
          </w:r>
          <w:r>
            <w:rPr>
              <w:sz w:val="21"/>
              <w:szCs w:val="21"/>
            </w:rPr>
            <w:t>术语释义</w:t>
          </w:r>
          <w:r>
            <w:rPr>
              <w:sz w:val="21"/>
              <w:szCs w:val="21"/>
            </w:rPr>
            <w:tab/>
          </w:r>
          <w:r>
            <w:rPr>
              <w:sz w:val="21"/>
              <w:szCs w:val="21"/>
            </w:rPr>
            <w:fldChar w:fldCharType="begin"/>
          </w:r>
          <w:r>
            <w:rPr>
              <w:sz w:val="21"/>
              <w:szCs w:val="21"/>
            </w:rPr>
            <w:instrText xml:space="preserve"> PAGEREF _Toc21990 \h </w:instrText>
          </w:r>
          <w:r>
            <w:rPr>
              <w:sz w:val="21"/>
              <w:szCs w:val="21"/>
            </w:rPr>
            <w:fldChar w:fldCharType="separate"/>
          </w:r>
          <w:r>
            <w:rPr>
              <w:sz w:val="21"/>
              <w:szCs w:val="21"/>
            </w:rPr>
            <w:t>36</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_Toc18771 </w:instrText>
          </w:r>
          <w:r>
            <w:rPr>
              <w:rFonts w:hint="eastAsia" w:ascii="宋体" w:hAnsi="宋体" w:eastAsia="宋体" w:cs="宋体"/>
              <w:sz w:val="21"/>
              <w:szCs w:val="21"/>
            </w:rPr>
            <w:fldChar w:fldCharType="separate"/>
          </w:r>
          <w:r>
            <w:rPr>
              <w:rFonts w:hint="eastAsia" w:ascii="宋体" w:hAnsi="宋体" w:eastAsia="宋体" w:cs="宋体"/>
              <w:sz w:val="21"/>
              <w:szCs w:val="21"/>
            </w:rPr>
            <w:t>（十）</w:t>
          </w:r>
          <w:r>
            <w:rPr>
              <w:sz w:val="21"/>
              <w:szCs w:val="21"/>
            </w:rPr>
            <w:t>数据一致性</w:t>
          </w:r>
          <w:r>
            <w:rPr>
              <w:sz w:val="21"/>
              <w:szCs w:val="21"/>
            </w:rPr>
            <w:tab/>
          </w:r>
          <w:r>
            <w:rPr>
              <w:sz w:val="21"/>
              <w:szCs w:val="21"/>
            </w:rPr>
            <w:fldChar w:fldCharType="begin"/>
          </w:r>
          <w:r>
            <w:rPr>
              <w:sz w:val="21"/>
              <w:szCs w:val="21"/>
            </w:rPr>
            <w:instrText xml:space="preserve"> PAGEREF _Toc18771 \h </w:instrText>
          </w:r>
          <w:r>
            <w:rPr>
              <w:sz w:val="21"/>
              <w:szCs w:val="21"/>
            </w:rPr>
            <w:fldChar w:fldCharType="separate"/>
          </w:r>
          <w:r>
            <w:rPr>
              <w:sz w:val="21"/>
              <w:szCs w:val="21"/>
            </w:rPr>
            <w:t>37</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_Toc9026 </w:instrText>
          </w:r>
          <w:r>
            <w:rPr>
              <w:rFonts w:hint="eastAsia" w:ascii="宋体" w:hAnsi="宋体" w:eastAsia="宋体" w:cs="宋体"/>
              <w:sz w:val="21"/>
              <w:szCs w:val="21"/>
            </w:rPr>
            <w:fldChar w:fldCharType="separate"/>
          </w:r>
          <w:r>
            <w:rPr>
              <w:rFonts w:hint="eastAsia" w:ascii="宋体" w:hAnsi="宋体" w:eastAsia="宋体" w:cs="宋体"/>
              <w:sz w:val="21"/>
              <w:szCs w:val="21"/>
            </w:rPr>
            <w:t>（十一）</w:t>
          </w:r>
          <w:r>
            <w:rPr>
              <w:sz w:val="21"/>
              <w:szCs w:val="21"/>
            </w:rPr>
            <w:t>附图与附表匹配</w:t>
          </w:r>
          <w:r>
            <w:rPr>
              <w:sz w:val="21"/>
              <w:szCs w:val="21"/>
            </w:rPr>
            <w:tab/>
          </w:r>
          <w:r>
            <w:rPr>
              <w:sz w:val="21"/>
              <w:szCs w:val="21"/>
            </w:rPr>
            <w:fldChar w:fldCharType="begin"/>
          </w:r>
          <w:r>
            <w:rPr>
              <w:sz w:val="21"/>
              <w:szCs w:val="21"/>
            </w:rPr>
            <w:instrText xml:space="preserve"> PAGEREF _Toc9026 \h </w:instrText>
          </w:r>
          <w:r>
            <w:rPr>
              <w:sz w:val="21"/>
              <w:szCs w:val="21"/>
            </w:rPr>
            <w:fldChar w:fldCharType="separate"/>
          </w:r>
          <w:r>
            <w:rPr>
              <w:sz w:val="21"/>
              <w:szCs w:val="21"/>
            </w:rPr>
            <w:t>38</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_Toc24064 </w:instrText>
          </w:r>
          <w:r>
            <w:rPr>
              <w:rFonts w:hint="eastAsia" w:ascii="宋体" w:hAnsi="宋体" w:eastAsia="宋体" w:cs="宋体"/>
              <w:sz w:val="21"/>
              <w:szCs w:val="21"/>
            </w:rPr>
            <w:fldChar w:fldCharType="separate"/>
          </w:r>
          <w:r>
            <w:rPr>
              <w:rFonts w:hint="eastAsia" w:ascii="宋体" w:hAnsi="宋体" w:eastAsia="宋体" w:cs="宋体"/>
              <w:sz w:val="21"/>
              <w:szCs w:val="21"/>
            </w:rPr>
            <w:t>（十二）</w:t>
          </w:r>
          <w:r>
            <w:rPr>
              <w:sz w:val="21"/>
              <w:szCs w:val="21"/>
            </w:rPr>
            <w:t>与国土空间规划衔接</w:t>
          </w:r>
          <w:r>
            <w:rPr>
              <w:sz w:val="21"/>
              <w:szCs w:val="21"/>
            </w:rPr>
            <w:tab/>
          </w:r>
          <w:r>
            <w:rPr>
              <w:sz w:val="21"/>
              <w:szCs w:val="21"/>
            </w:rPr>
            <w:fldChar w:fldCharType="begin"/>
          </w:r>
          <w:r>
            <w:rPr>
              <w:sz w:val="21"/>
              <w:szCs w:val="21"/>
            </w:rPr>
            <w:instrText xml:space="preserve"> PAGEREF _Toc24064 \h </w:instrText>
          </w:r>
          <w:r>
            <w:rPr>
              <w:sz w:val="21"/>
              <w:szCs w:val="21"/>
            </w:rPr>
            <w:fldChar w:fldCharType="separate"/>
          </w:r>
          <w:r>
            <w:rPr>
              <w:sz w:val="21"/>
              <w:szCs w:val="21"/>
            </w:rPr>
            <w:t>38</w:t>
          </w:r>
          <w:r>
            <w:rPr>
              <w:sz w:val="21"/>
              <w:szCs w:val="21"/>
            </w:rPr>
            <w:fldChar w:fldCharType="end"/>
          </w:r>
          <w:r>
            <w:rPr>
              <w:rFonts w:hint="eastAsia" w:ascii="宋体" w:hAnsi="宋体" w:eastAsia="宋体" w:cs="宋体"/>
              <w:sz w:val="21"/>
              <w:szCs w:val="21"/>
            </w:rPr>
            <w:fldChar w:fldCharType="end"/>
          </w:r>
        </w:p>
        <w:p>
          <w:pPr>
            <w:pStyle w:val="24"/>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_Toc25754 </w:instrText>
          </w:r>
          <w:r>
            <w:rPr>
              <w:rFonts w:hint="eastAsia" w:ascii="宋体" w:hAnsi="宋体" w:eastAsia="宋体" w:cs="宋体"/>
              <w:sz w:val="21"/>
              <w:szCs w:val="21"/>
            </w:rPr>
            <w:fldChar w:fldCharType="separate"/>
          </w:r>
          <w:r>
            <w:rPr>
              <w:sz w:val="21"/>
              <w:szCs w:val="21"/>
            </w:rPr>
            <w:t>附表</w:t>
          </w:r>
          <w:r>
            <w:rPr>
              <w:sz w:val="21"/>
              <w:szCs w:val="21"/>
            </w:rPr>
            <w:tab/>
          </w:r>
          <w:r>
            <w:rPr>
              <w:sz w:val="21"/>
              <w:szCs w:val="21"/>
            </w:rPr>
            <w:fldChar w:fldCharType="begin"/>
          </w:r>
          <w:r>
            <w:rPr>
              <w:sz w:val="21"/>
              <w:szCs w:val="21"/>
            </w:rPr>
            <w:instrText xml:space="preserve"> PAGEREF _Toc25754 \h </w:instrText>
          </w:r>
          <w:r>
            <w:rPr>
              <w:sz w:val="21"/>
              <w:szCs w:val="21"/>
            </w:rPr>
            <w:fldChar w:fldCharType="separate"/>
          </w:r>
          <w:r>
            <w:rPr>
              <w:sz w:val="21"/>
              <w:szCs w:val="21"/>
            </w:rPr>
            <w:t>40</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_Toc15104 </w:instrText>
          </w:r>
          <w:r>
            <w:rPr>
              <w:rFonts w:hint="eastAsia" w:ascii="宋体" w:hAnsi="宋体" w:eastAsia="宋体" w:cs="宋体"/>
              <w:sz w:val="21"/>
              <w:szCs w:val="21"/>
            </w:rPr>
            <w:fldChar w:fldCharType="separate"/>
          </w:r>
          <w:r>
            <w:rPr>
              <w:rFonts w:hint="eastAsia" w:ascii="黑体" w:hAnsi="黑体" w:cs="黑体"/>
              <w:sz w:val="21"/>
              <w:szCs w:val="21"/>
            </w:rPr>
            <w:t>附表一洛阳市地质灾害易发程度分区说明表（区县）——（隐患点+风险斜坡双控）</w:t>
          </w:r>
          <w:r>
            <w:rPr>
              <w:sz w:val="21"/>
              <w:szCs w:val="21"/>
            </w:rPr>
            <w:tab/>
          </w:r>
          <w:r>
            <w:rPr>
              <w:sz w:val="21"/>
              <w:szCs w:val="21"/>
            </w:rPr>
            <w:fldChar w:fldCharType="begin"/>
          </w:r>
          <w:r>
            <w:rPr>
              <w:sz w:val="21"/>
              <w:szCs w:val="21"/>
            </w:rPr>
            <w:instrText xml:space="preserve"> PAGEREF _Toc15104 \h </w:instrText>
          </w:r>
          <w:r>
            <w:rPr>
              <w:sz w:val="21"/>
              <w:szCs w:val="21"/>
            </w:rPr>
            <w:fldChar w:fldCharType="separate"/>
          </w:r>
          <w:r>
            <w:rPr>
              <w:sz w:val="21"/>
              <w:szCs w:val="21"/>
            </w:rPr>
            <w:t>41</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_Toc3362 </w:instrText>
          </w:r>
          <w:r>
            <w:rPr>
              <w:rFonts w:hint="eastAsia" w:ascii="宋体" w:hAnsi="宋体" w:eastAsia="宋体" w:cs="宋体"/>
              <w:sz w:val="21"/>
              <w:szCs w:val="21"/>
            </w:rPr>
            <w:fldChar w:fldCharType="separate"/>
          </w:r>
          <w:r>
            <w:rPr>
              <w:rFonts w:hint="eastAsia" w:ascii="黑体" w:hAnsi="黑体" w:cs="黑体"/>
              <w:sz w:val="21"/>
              <w:szCs w:val="21"/>
            </w:rPr>
            <w:t>附表二洛阳市地质灾害易发程度分区说明表（乡镇）——（隐患点+风险斜坡双控）</w:t>
          </w:r>
          <w:r>
            <w:rPr>
              <w:sz w:val="21"/>
              <w:szCs w:val="21"/>
            </w:rPr>
            <w:tab/>
          </w:r>
          <w:r>
            <w:rPr>
              <w:sz w:val="21"/>
              <w:szCs w:val="21"/>
            </w:rPr>
            <w:fldChar w:fldCharType="begin"/>
          </w:r>
          <w:r>
            <w:rPr>
              <w:sz w:val="21"/>
              <w:szCs w:val="21"/>
            </w:rPr>
            <w:instrText xml:space="preserve"> PAGEREF _Toc3362 \h </w:instrText>
          </w:r>
          <w:r>
            <w:rPr>
              <w:sz w:val="21"/>
              <w:szCs w:val="21"/>
            </w:rPr>
            <w:fldChar w:fldCharType="separate"/>
          </w:r>
          <w:r>
            <w:rPr>
              <w:sz w:val="21"/>
              <w:szCs w:val="21"/>
            </w:rPr>
            <w:t>52</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_Toc6898 </w:instrText>
          </w:r>
          <w:r>
            <w:rPr>
              <w:rFonts w:hint="eastAsia" w:ascii="宋体" w:hAnsi="宋体" w:eastAsia="宋体" w:cs="宋体"/>
              <w:sz w:val="21"/>
              <w:szCs w:val="21"/>
            </w:rPr>
            <w:fldChar w:fldCharType="separate"/>
          </w:r>
          <w:r>
            <w:rPr>
              <w:rFonts w:hint="eastAsia" w:ascii="黑体" w:hAnsi="黑体" w:cs="黑体"/>
              <w:sz w:val="21"/>
              <w:szCs w:val="21"/>
            </w:rPr>
            <w:t>附表三洛阳市地质灾害风险等级分区说明表（区县）——（隐患点+风险斜坡双控）</w:t>
          </w:r>
          <w:r>
            <w:rPr>
              <w:sz w:val="21"/>
              <w:szCs w:val="21"/>
            </w:rPr>
            <w:tab/>
          </w:r>
          <w:r>
            <w:rPr>
              <w:sz w:val="21"/>
              <w:szCs w:val="21"/>
            </w:rPr>
            <w:fldChar w:fldCharType="begin"/>
          </w:r>
          <w:r>
            <w:rPr>
              <w:sz w:val="21"/>
              <w:szCs w:val="21"/>
            </w:rPr>
            <w:instrText xml:space="preserve"> PAGEREF _Toc6898 \h </w:instrText>
          </w:r>
          <w:r>
            <w:rPr>
              <w:sz w:val="21"/>
              <w:szCs w:val="21"/>
            </w:rPr>
            <w:fldChar w:fldCharType="separate"/>
          </w:r>
          <w:r>
            <w:rPr>
              <w:sz w:val="21"/>
              <w:szCs w:val="21"/>
            </w:rPr>
            <w:t>146</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_Toc6223 </w:instrText>
          </w:r>
          <w:r>
            <w:rPr>
              <w:rFonts w:hint="eastAsia" w:ascii="宋体" w:hAnsi="宋体" w:eastAsia="宋体" w:cs="宋体"/>
              <w:sz w:val="21"/>
              <w:szCs w:val="21"/>
            </w:rPr>
            <w:fldChar w:fldCharType="separate"/>
          </w:r>
          <w:r>
            <w:rPr>
              <w:rFonts w:hint="eastAsia" w:ascii="黑体" w:hAnsi="黑体" w:cs="黑体"/>
              <w:sz w:val="21"/>
              <w:szCs w:val="21"/>
            </w:rPr>
            <w:t>附表四洛阳市地质灾害风险等级分区说明表（乡镇）——（隐患点+风险斜坡双控）</w:t>
          </w:r>
          <w:r>
            <w:rPr>
              <w:sz w:val="21"/>
              <w:szCs w:val="21"/>
            </w:rPr>
            <w:tab/>
          </w:r>
          <w:r>
            <w:rPr>
              <w:sz w:val="21"/>
              <w:szCs w:val="21"/>
            </w:rPr>
            <w:fldChar w:fldCharType="begin"/>
          </w:r>
          <w:r>
            <w:rPr>
              <w:sz w:val="21"/>
              <w:szCs w:val="21"/>
            </w:rPr>
            <w:instrText xml:space="preserve"> PAGEREF _Toc6223 \h </w:instrText>
          </w:r>
          <w:r>
            <w:rPr>
              <w:sz w:val="21"/>
              <w:szCs w:val="21"/>
            </w:rPr>
            <w:fldChar w:fldCharType="separate"/>
          </w:r>
          <w:r>
            <w:rPr>
              <w:sz w:val="21"/>
              <w:szCs w:val="21"/>
            </w:rPr>
            <w:t>152</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_Toc20862 </w:instrText>
          </w:r>
          <w:r>
            <w:rPr>
              <w:rFonts w:hint="eastAsia" w:ascii="宋体" w:hAnsi="宋体" w:eastAsia="宋体" w:cs="宋体"/>
              <w:sz w:val="21"/>
              <w:szCs w:val="21"/>
            </w:rPr>
            <w:fldChar w:fldCharType="separate"/>
          </w:r>
          <w:r>
            <w:rPr>
              <w:rFonts w:hint="eastAsia" w:ascii="黑体" w:hAnsi="黑体" w:cs="黑体"/>
              <w:sz w:val="21"/>
              <w:szCs w:val="21"/>
            </w:rPr>
            <w:t>附表五洛阳市地质灾害防治分区表（区县）——（隐患点+风险斜坡双控）</w:t>
          </w:r>
          <w:r>
            <w:rPr>
              <w:sz w:val="21"/>
              <w:szCs w:val="21"/>
            </w:rPr>
            <w:tab/>
          </w:r>
          <w:r>
            <w:rPr>
              <w:sz w:val="21"/>
              <w:szCs w:val="21"/>
            </w:rPr>
            <w:fldChar w:fldCharType="begin"/>
          </w:r>
          <w:r>
            <w:rPr>
              <w:sz w:val="21"/>
              <w:szCs w:val="21"/>
            </w:rPr>
            <w:instrText xml:space="preserve"> PAGEREF _Toc20862 \h </w:instrText>
          </w:r>
          <w:r>
            <w:rPr>
              <w:sz w:val="21"/>
              <w:szCs w:val="21"/>
            </w:rPr>
            <w:fldChar w:fldCharType="separate"/>
          </w:r>
          <w:r>
            <w:rPr>
              <w:sz w:val="21"/>
              <w:szCs w:val="21"/>
            </w:rPr>
            <w:t>180</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_Toc24844 </w:instrText>
          </w:r>
          <w:r>
            <w:rPr>
              <w:rFonts w:hint="eastAsia" w:ascii="宋体" w:hAnsi="宋体" w:eastAsia="宋体" w:cs="宋体"/>
              <w:sz w:val="21"/>
              <w:szCs w:val="21"/>
            </w:rPr>
            <w:fldChar w:fldCharType="separate"/>
          </w:r>
          <w:r>
            <w:rPr>
              <w:rFonts w:hint="eastAsia" w:ascii="黑体" w:hAnsi="黑体" w:cs="黑体"/>
              <w:sz w:val="21"/>
              <w:szCs w:val="21"/>
            </w:rPr>
            <w:t>附表六洛阳市地质灾害防治分区表（乡镇）——（隐患点+风险斜坡双控）</w:t>
          </w:r>
          <w:r>
            <w:rPr>
              <w:sz w:val="21"/>
              <w:szCs w:val="21"/>
            </w:rPr>
            <w:tab/>
          </w:r>
          <w:r>
            <w:rPr>
              <w:sz w:val="21"/>
              <w:szCs w:val="21"/>
            </w:rPr>
            <w:fldChar w:fldCharType="begin"/>
          </w:r>
          <w:r>
            <w:rPr>
              <w:sz w:val="21"/>
              <w:szCs w:val="21"/>
            </w:rPr>
            <w:instrText xml:space="preserve"> PAGEREF _Toc24844 \h </w:instrText>
          </w:r>
          <w:r>
            <w:rPr>
              <w:sz w:val="21"/>
              <w:szCs w:val="21"/>
            </w:rPr>
            <w:fldChar w:fldCharType="separate"/>
          </w:r>
          <w:r>
            <w:rPr>
              <w:sz w:val="21"/>
              <w:szCs w:val="21"/>
            </w:rPr>
            <w:t>183</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_Toc21569 </w:instrText>
          </w:r>
          <w:r>
            <w:rPr>
              <w:rFonts w:hint="eastAsia" w:ascii="宋体" w:hAnsi="宋体" w:eastAsia="宋体" w:cs="宋体"/>
              <w:sz w:val="21"/>
              <w:szCs w:val="21"/>
            </w:rPr>
            <w:fldChar w:fldCharType="separate"/>
          </w:r>
          <w:r>
            <w:rPr>
              <w:rFonts w:hint="eastAsia" w:ascii="黑体" w:hAnsi="黑体" w:cs="黑体"/>
              <w:sz w:val="21"/>
              <w:szCs w:val="21"/>
            </w:rPr>
            <w:t>附表七洛阳市在册地质灾害隐患点、风险斜坡汇总表</w:t>
          </w:r>
          <w:r>
            <w:rPr>
              <w:sz w:val="21"/>
              <w:szCs w:val="21"/>
            </w:rPr>
            <w:tab/>
          </w:r>
          <w:r>
            <w:rPr>
              <w:sz w:val="21"/>
              <w:szCs w:val="21"/>
            </w:rPr>
            <w:fldChar w:fldCharType="begin"/>
          </w:r>
          <w:r>
            <w:rPr>
              <w:sz w:val="21"/>
              <w:szCs w:val="21"/>
            </w:rPr>
            <w:instrText xml:space="preserve"> PAGEREF _Toc21569 \h </w:instrText>
          </w:r>
          <w:r>
            <w:rPr>
              <w:sz w:val="21"/>
              <w:szCs w:val="21"/>
            </w:rPr>
            <w:fldChar w:fldCharType="separate"/>
          </w:r>
          <w:r>
            <w:rPr>
              <w:sz w:val="21"/>
              <w:szCs w:val="21"/>
            </w:rPr>
            <w:t>19</w:t>
          </w:r>
          <w:r>
            <w:rPr>
              <w:rFonts w:hint="eastAsia"/>
              <w:sz w:val="21"/>
              <w:szCs w:val="21"/>
              <w:lang w:val="en-US" w:eastAsia="zh-CN"/>
            </w:rPr>
            <w:t>7</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rFonts w:hint="default" w:eastAsia="宋体"/>
              <w:sz w:val="21"/>
              <w:szCs w:val="21"/>
              <w:lang w:val="en-US" w:eastAsia="zh-CN"/>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_Toc23413 </w:instrText>
          </w:r>
          <w:r>
            <w:rPr>
              <w:rFonts w:hint="eastAsia" w:ascii="宋体" w:hAnsi="宋体" w:eastAsia="宋体" w:cs="宋体"/>
              <w:sz w:val="21"/>
              <w:szCs w:val="21"/>
            </w:rPr>
            <w:fldChar w:fldCharType="separate"/>
          </w:r>
          <w:r>
            <w:rPr>
              <w:rFonts w:hint="eastAsia" w:ascii="黑体" w:hAnsi="黑体" w:cs="黑体"/>
              <w:sz w:val="21"/>
              <w:szCs w:val="21"/>
            </w:rPr>
            <w:t>附表八洛阳市1:1万风险调查评价项目计划实施明细表</w:t>
          </w:r>
          <w:r>
            <w:rPr>
              <w:sz w:val="21"/>
              <w:szCs w:val="21"/>
            </w:rPr>
            <w:tab/>
          </w:r>
          <w:r>
            <w:rPr>
              <w:rFonts w:hint="eastAsia"/>
              <w:sz w:val="21"/>
              <w:szCs w:val="21"/>
              <w:lang w:val="en-US" w:eastAsia="zh-CN"/>
            </w:rPr>
            <w:t>1</w:t>
          </w:r>
          <w:r>
            <w:rPr>
              <w:rFonts w:hint="eastAsia" w:ascii="宋体" w:hAnsi="宋体" w:eastAsia="宋体" w:cs="宋体"/>
              <w:sz w:val="21"/>
              <w:szCs w:val="21"/>
            </w:rPr>
            <w:fldChar w:fldCharType="end"/>
          </w:r>
          <w:r>
            <w:rPr>
              <w:rFonts w:hint="eastAsia" w:eastAsia="宋体" w:cs="宋体"/>
              <w:sz w:val="21"/>
              <w:szCs w:val="21"/>
              <w:lang w:val="en-US" w:eastAsia="zh-CN"/>
            </w:rPr>
            <w:t>99</w:t>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_Toc4113 </w:instrText>
          </w:r>
          <w:r>
            <w:rPr>
              <w:rFonts w:hint="eastAsia" w:ascii="宋体" w:hAnsi="宋体" w:eastAsia="宋体" w:cs="宋体"/>
              <w:sz w:val="21"/>
              <w:szCs w:val="21"/>
            </w:rPr>
            <w:fldChar w:fldCharType="separate"/>
          </w:r>
          <w:r>
            <w:rPr>
              <w:rFonts w:hint="eastAsia" w:ascii="黑体" w:hAnsi="黑体" w:cs="黑体"/>
              <w:sz w:val="21"/>
              <w:szCs w:val="21"/>
            </w:rPr>
            <w:t>附表九洛阳市地质灾害预警监测点统计表</w:t>
          </w:r>
          <w:r>
            <w:rPr>
              <w:sz w:val="21"/>
              <w:szCs w:val="21"/>
            </w:rPr>
            <w:tab/>
          </w:r>
          <w:r>
            <w:rPr>
              <w:sz w:val="21"/>
              <w:szCs w:val="21"/>
            </w:rPr>
            <w:fldChar w:fldCharType="begin"/>
          </w:r>
          <w:r>
            <w:rPr>
              <w:sz w:val="21"/>
              <w:szCs w:val="21"/>
            </w:rPr>
            <w:instrText xml:space="preserve"> PAGEREF _Toc4113 \h </w:instrText>
          </w:r>
          <w:r>
            <w:rPr>
              <w:sz w:val="21"/>
              <w:szCs w:val="21"/>
            </w:rPr>
            <w:fldChar w:fldCharType="separate"/>
          </w:r>
          <w:r>
            <w:rPr>
              <w:sz w:val="21"/>
              <w:szCs w:val="21"/>
            </w:rPr>
            <w:t>20</w:t>
          </w:r>
          <w:r>
            <w:rPr>
              <w:rFonts w:hint="eastAsia"/>
              <w:sz w:val="21"/>
              <w:szCs w:val="21"/>
              <w:lang w:val="en-US" w:eastAsia="zh-CN"/>
            </w:rPr>
            <w:t>3</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_Toc3467 </w:instrText>
          </w:r>
          <w:r>
            <w:rPr>
              <w:rFonts w:hint="eastAsia" w:ascii="宋体" w:hAnsi="宋体" w:eastAsia="宋体" w:cs="宋体"/>
              <w:sz w:val="21"/>
              <w:szCs w:val="21"/>
            </w:rPr>
            <w:fldChar w:fldCharType="separate"/>
          </w:r>
          <w:r>
            <w:rPr>
              <w:rFonts w:hint="eastAsia" w:ascii="黑体" w:hAnsi="黑体" w:cs="黑体"/>
              <w:sz w:val="21"/>
              <w:szCs w:val="21"/>
            </w:rPr>
            <w:t>附表十洛阳市“十五五”地质灾害防治五年投资汇总简表</w:t>
          </w:r>
          <w:r>
            <w:rPr>
              <w:sz w:val="21"/>
              <w:szCs w:val="21"/>
            </w:rPr>
            <w:tab/>
          </w:r>
          <w:r>
            <w:rPr>
              <w:sz w:val="21"/>
              <w:szCs w:val="21"/>
            </w:rPr>
            <w:fldChar w:fldCharType="begin"/>
          </w:r>
          <w:r>
            <w:rPr>
              <w:sz w:val="21"/>
              <w:szCs w:val="21"/>
            </w:rPr>
            <w:instrText xml:space="preserve"> PAGEREF _Toc3467 \h </w:instrText>
          </w:r>
          <w:r>
            <w:rPr>
              <w:sz w:val="21"/>
              <w:szCs w:val="21"/>
            </w:rPr>
            <w:fldChar w:fldCharType="separate"/>
          </w:r>
          <w:r>
            <w:rPr>
              <w:sz w:val="21"/>
              <w:szCs w:val="21"/>
            </w:rPr>
            <w:t>20</w:t>
          </w:r>
          <w:r>
            <w:rPr>
              <w:rFonts w:hint="eastAsia"/>
              <w:sz w:val="21"/>
              <w:szCs w:val="21"/>
              <w:lang w:val="en-US" w:eastAsia="zh-CN"/>
            </w:rPr>
            <w:t>5</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_Toc5471 </w:instrText>
          </w:r>
          <w:r>
            <w:rPr>
              <w:rFonts w:hint="eastAsia" w:ascii="宋体" w:hAnsi="宋体" w:eastAsia="宋体" w:cs="宋体"/>
              <w:sz w:val="21"/>
              <w:szCs w:val="21"/>
            </w:rPr>
            <w:fldChar w:fldCharType="separate"/>
          </w:r>
          <w:r>
            <w:rPr>
              <w:rFonts w:hint="eastAsia" w:ascii="黑体" w:hAnsi="黑体" w:cs="黑体"/>
              <w:sz w:val="21"/>
              <w:szCs w:val="21"/>
            </w:rPr>
            <w:t>附表十一洛阳市“十五五”地质灾害防治规划量化指标总表</w:t>
          </w:r>
          <w:r>
            <w:rPr>
              <w:sz w:val="21"/>
              <w:szCs w:val="21"/>
            </w:rPr>
            <w:tab/>
          </w:r>
          <w:r>
            <w:rPr>
              <w:sz w:val="21"/>
              <w:szCs w:val="21"/>
            </w:rPr>
            <w:fldChar w:fldCharType="begin"/>
          </w:r>
          <w:r>
            <w:rPr>
              <w:sz w:val="21"/>
              <w:szCs w:val="21"/>
            </w:rPr>
            <w:instrText xml:space="preserve"> PAGEREF _Toc5471 \h </w:instrText>
          </w:r>
          <w:r>
            <w:rPr>
              <w:sz w:val="21"/>
              <w:szCs w:val="21"/>
            </w:rPr>
            <w:fldChar w:fldCharType="separate"/>
          </w:r>
          <w:r>
            <w:rPr>
              <w:sz w:val="21"/>
              <w:szCs w:val="21"/>
            </w:rPr>
            <w:t>20</w:t>
          </w:r>
          <w:r>
            <w:rPr>
              <w:rFonts w:hint="eastAsia"/>
              <w:sz w:val="21"/>
              <w:szCs w:val="21"/>
              <w:lang w:val="en-US" w:eastAsia="zh-CN"/>
            </w:rPr>
            <w:t>7</w:t>
          </w:r>
          <w:r>
            <w:rPr>
              <w:sz w:val="21"/>
              <w:szCs w:val="21"/>
            </w:rPr>
            <w:fldChar w:fldCharType="end"/>
          </w:r>
          <w:r>
            <w:rPr>
              <w:rFonts w:hint="eastAsia" w:ascii="宋体" w:hAnsi="宋体" w:eastAsia="宋体" w:cs="宋体"/>
              <w:sz w:val="21"/>
              <w:szCs w:val="21"/>
            </w:rPr>
            <w:fldChar w:fldCharType="end"/>
          </w:r>
        </w:p>
        <w:p>
          <w:pPr>
            <w:pStyle w:val="28"/>
            <w:shd w:val="clear"/>
            <w:tabs>
              <w:tab w:val="right" w:leader="dot" w:pos="8306"/>
            </w:tabs>
            <w:rPr>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\l _Toc18057 </w:instrText>
          </w:r>
          <w:r>
            <w:rPr>
              <w:rFonts w:hint="eastAsia" w:ascii="宋体" w:hAnsi="宋体" w:eastAsia="宋体" w:cs="宋体"/>
              <w:sz w:val="21"/>
              <w:szCs w:val="21"/>
            </w:rPr>
            <w:fldChar w:fldCharType="separate"/>
          </w:r>
          <w:r>
            <w:rPr>
              <w:rFonts w:hint="eastAsia" w:ascii="黑体" w:hAnsi="黑体" w:cs="黑体"/>
              <w:sz w:val="21"/>
              <w:szCs w:val="21"/>
            </w:rPr>
            <w:t>附表十二洛阳市“十四五”地质灾害防灾短板与</w:t>
          </w:r>
          <w:r>
            <w:rPr>
              <w:rFonts w:hint="eastAsia" w:ascii="黑体" w:hAnsi="黑体" w:cs="黑体"/>
              <w:sz w:val="21"/>
              <w:szCs w:val="21"/>
              <w:lang w:eastAsia="zh-CN"/>
            </w:rPr>
            <w:t>“</w:t>
          </w:r>
          <w:r>
            <w:rPr>
              <w:rFonts w:hint="eastAsia" w:ascii="黑体" w:hAnsi="黑体" w:cs="黑体"/>
              <w:sz w:val="21"/>
              <w:szCs w:val="21"/>
            </w:rPr>
            <w:t>十五五</w:t>
          </w:r>
          <w:r>
            <w:rPr>
              <w:rFonts w:hint="eastAsia" w:ascii="黑体" w:hAnsi="黑体" w:cs="黑体"/>
              <w:sz w:val="21"/>
              <w:szCs w:val="21"/>
              <w:lang w:eastAsia="zh-CN"/>
            </w:rPr>
            <w:t>”</w:t>
          </w:r>
          <w:r>
            <w:rPr>
              <w:rFonts w:hint="eastAsia" w:ascii="黑体" w:hAnsi="黑体" w:cs="黑体"/>
              <w:sz w:val="21"/>
              <w:szCs w:val="21"/>
            </w:rPr>
            <w:t>提升量化对比表</w:t>
          </w:r>
          <w:r>
            <w:rPr>
              <w:sz w:val="21"/>
              <w:szCs w:val="21"/>
            </w:rPr>
            <w:tab/>
          </w:r>
          <w:r>
            <w:rPr>
              <w:sz w:val="21"/>
              <w:szCs w:val="21"/>
            </w:rPr>
            <w:fldChar w:fldCharType="begin"/>
          </w:r>
          <w:r>
            <w:rPr>
              <w:sz w:val="21"/>
              <w:szCs w:val="21"/>
            </w:rPr>
            <w:instrText xml:space="preserve"> PAGEREF _Toc18057 \h </w:instrText>
          </w:r>
          <w:r>
            <w:rPr>
              <w:sz w:val="21"/>
              <w:szCs w:val="21"/>
            </w:rPr>
            <w:fldChar w:fldCharType="separate"/>
          </w:r>
          <w:r>
            <w:rPr>
              <w:sz w:val="21"/>
              <w:szCs w:val="21"/>
            </w:rPr>
            <w:t>20</w:t>
          </w:r>
          <w:r>
            <w:rPr>
              <w:rFonts w:hint="eastAsia"/>
              <w:sz w:val="21"/>
              <w:szCs w:val="21"/>
              <w:lang w:val="en-US" w:eastAsia="zh-CN"/>
            </w:rPr>
            <w:t>8</w:t>
          </w:r>
          <w:r>
            <w:rPr>
              <w:sz w:val="21"/>
              <w:szCs w:val="21"/>
            </w:rPr>
            <w:fldChar w:fldCharType="end"/>
          </w:r>
          <w:r>
            <w:rPr>
              <w:rFonts w:hint="eastAsia" w:ascii="宋体" w:hAnsi="宋体" w:eastAsia="宋体" w:cs="宋体"/>
              <w:sz w:val="21"/>
              <w:szCs w:val="21"/>
            </w:rPr>
            <w:fldChar w:fldCharType="end"/>
          </w:r>
        </w:p>
        <w:p>
          <w:pPr>
            <w:shd w:val="clear"/>
            <w:spacing w:line="360" w:lineRule="auto"/>
            <w:rPr>
              <w:rFonts w:hint="eastAsia" w:ascii="宋体" w:hAnsi="宋体" w:eastAsia="宋体" w:cs="宋体"/>
              <w:sz w:val="21"/>
              <w:szCs w:val="21"/>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shd w:val="clear"/>
            <w:spacing w:line="360" w:lineRule="auto"/>
          </w:pPr>
          <w:r>
            <w:rPr>
              <w:rFonts w:hint="eastAsia" w:ascii="宋体" w:hAnsi="宋体" w:eastAsia="宋体" w:cs="宋体"/>
              <w:sz w:val="21"/>
              <w:szCs w:val="21"/>
            </w:rPr>
            <w:fldChar w:fldCharType="end"/>
          </w:r>
        </w:p>
      </w:sdtContent>
    </w:sdt>
    <w:p>
      <w:pPr>
        <w:pStyle w:val="7"/>
        <w:shd w:val="clear"/>
        <w:spacing w:line="360" w:lineRule="auto"/>
        <w:jc w:val="center"/>
        <w:rPr>
          <w:rFonts w:ascii="宋体" w:hAnsi="宋体" w:eastAsia="宋体" w:cs="宋体"/>
        </w:rPr>
      </w:pPr>
      <w:bookmarkStart w:id="0" w:name="_Toc240792960"/>
      <w:bookmarkStart w:id="1" w:name="_Toc6888"/>
      <w:r>
        <w:t>总则</w:t>
      </w:r>
      <w:bookmarkEnd w:id="0"/>
      <w:bookmarkEnd w:id="1"/>
    </w:p>
    <w:p>
      <w:pPr>
        <w:pStyle w:val="8"/>
        <w:widowControl/>
        <w:numPr>
          <w:ilvl w:val="0"/>
          <w:numId w:val="1"/>
        </w:numPr>
        <w:shd w:val="clear" w:color="auto"/>
        <w:spacing w:line="360" w:lineRule="auto"/>
        <w:rPr>
          <w:rFonts w:ascii="宋体" w:hAnsi="宋体" w:eastAsia="宋体" w:cs="宋体"/>
        </w:rPr>
      </w:pPr>
      <w:bookmarkStart w:id="2" w:name="_Toc25604"/>
      <w:bookmarkStart w:id="3" w:name="_Toc240792961"/>
      <w:r>
        <w:t>编制背景与目的</w:t>
      </w:r>
      <w:bookmarkEnd w:id="2"/>
      <w:bookmarkEnd w:id="3"/>
    </w:p>
    <w:p>
      <w:pPr>
        <w:pStyle w:val="3"/>
        <w:widowControl/>
        <w:shd w:val="clear"/>
        <w:spacing w:line="360" w:lineRule="auto"/>
        <w:ind w:firstLine="480"/>
        <w:rPr>
          <w:rFonts w:ascii="宋体" w:hAnsi="宋体" w:cs="宋体"/>
          <w:color w:val="0F1115"/>
        </w:rPr>
      </w:pPr>
      <w:r>
        <w:rPr>
          <w:rFonts w:hint="eastAsia" w:ascii="宋体" w:hAnsi="宋体" w:cs="宋体"/>
          <w:color w:val="0F1115"/>
        </w:rPr>
        <w:t>“十五五”时期，是我国将自然灾害综合风险防控纳入统筹发展与安全核心任务的关键阶段。《地质灾害防治条例》《全国地质灾害防治“十五五”实施方案》等法律法规和政策文件明确要求，全面推行“隐患点+风险区”双重管控全周期管理机制。《河南省地质灾害防治“十五五”规划》（豫自然资办函〔2026〕51号）对全省地质灾害防治工作作出系统部署，要求各地结合山地丘陵地质条件编制地质灾害防治五年专项规划，构建“调查打底、监测前置、工程治本、应急兜底”的标准化防控体系。</w:t>
      </w:r>
    </w:p>
    <w:p>
      <w:pPr>
        <w:pStyle w:val="3"/>
        <w:widowControl/>
        <w:shd w:val="clear"/>
        <w:spacing w:line="360" w:lineRule="auto"/>
        <w:ind w:firstLine="480"/>
        <w:rPr>
          <w:rFonts w:ascii="宋体" w:hAnsi="宋体" w:cs="宋体"/>
          <w:color w:val="0F1115"/>
        </w:rPr>
      </w:pPr>
      <w:r>
        <w:rPr>
          <w:rFonts w:hint="eastAsia" w:ascii="宋体" w:hAnsi="宋体" w:cs="宋体"/>
          <w:color w:val="0F1115"/>
        </w:rPr>
        <w:t>洛阳市地处豫西山区，山地丘陵面积占全域86.01%，地质条件复杂，是河南省地质灾害高发市之一。截至2025年底，全市在册地质灾害隐患点333处、风险斜坡917处，受威胁人口177828人（隐患点受威胁人数与风险斜坡潜在威胁人数之和），防治任务艰巨。“十四五”期间，洛阳市初步建成了地质灾害基础防控框架，但仍存在精细化调查覆盖不足、监测运维缺乏刚性预算保障、基层专业技术力量薄弱等结构性短板。为全面落实国家、省级部署，系统补齐市域防灾短板，统筹2026—2030年全域地质灾害风险防控工作，特编制本规划。</w:t>
      </w:r>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的主要目的是：筑牢群众生命财产安全底线，系统性消减存量地质灾害风险，从源头管控农村切坡、线性工程、矿山开采诱发的新增隐患，持续保持人员零伤亡；严格落实“隐患点+风险区”双控工作机制，建立年度复核、动态更新、完工销号的台账闭环管理制度；全面对标省级规划约束性指标和空间分区标准，衔接《洛阳市国土空间总体规划（2021—2035年）》“三区三线”管控规则；统筹规划期内六大工程建设与常态化运维经费，形成可向上申报、符合本级财政落地要求的标准化项目储备库；明确市、县、乡、村四级责任，建立政府主导、自然资源部门统筹协调、多部门协同联动的工作架构，配套年度考核、季度督查、失职追责制度体系。</w:t>
      </w:r>
    </w:p>
    <w:p>
      <w:pPr>
        <w:pStyle w:val="8"/>
        <w:widowControl/>
        <w:numPr>
          <w:ilvl w:val="0"/>
          <w:numId w:val="1"/>
        </w:numPr>
        <w:shd w:val="clear" w:color="auto"/>
        <w:spacing w:line="360" w:lineRule="auto"/>
        <w:rPr>
          <w:rFonts w:ascii="宋体" w:hAnsi="宋体" w:eastAsia="宋体" w:cs="宋体"/>
        </w:rPr>
      </w:pPr>
      <w:bookmarkStart w:id="4" w:name="_Toc17538"/>
      <w:bookmarkStart w:id="5" w:name="_Toc240792962"/>
      <w:r>
        <w:t>编制依据</w:t>
      </w:r>
      <w:bookmarkEnd w:id="4"/>
      <w:bookmarkEnd w:id="5"/>
    </w:p>
    <w:p>
      <w:pPr>
        <w:pStyle w:val="3"/>
        <w:widowControl/>
        <w:shd w:val="clear"/>
        <w:spacing w:line="360" w:lineRule="auto"/>
        <w:ind w:firstLine="480"/>
        <w:rPr>
          <w:rFonts w:ascii="宋体" w:hAnsi="宋体" w:cs="宋体"/>
          <w:color w:val="0F1115"/>
        </w:rPr>
      </w:pPr>
      <w:r>
        <w:rPr>
          <w:rFonts w:hint="eastAsia" w:ascii="宋体" w:hAnsi="宋体" w:cs="宋体"/>
          <w:color w:val="0F1115"/>
        </w:rPr>
        <w:t>《地质灾害防治条例》（国务院令第394号）；《中华人民共和国突发事件应对法》；《中华人民共和国黄河保护法》；《中华人民共和国土地管理法》；自然资源部《全国地质灾害防治“十五五”实施方案》（2026年7月印发）；自然资源部《“十五五”地质灾害综合防治体系建设实施导则》；自然资源部《关于全面推行“隐患点+风险区”双控管理的实施意见》；应急管理部《地质灾害临灾应急处置工作规范》；《地质灾害危险性评估规范》（GB/T40112-2021）；《地质灾害风险调查评价技术要求（2024试行版）》；《1∶10000县（市）地质灾害调查规范》；《河南省国土空间生态保护修复项目预算定额标准》（豫财环资〔2025〕123号）；《河南省地质灾害防治“十五五”规划》（豫自然资办函〔2026〕51号）；《河南省地质灾害防治条例》；《黄河流域（河南段）地质安全保障专项实施方案》；《洛阳市国土空间总体规划（2021—2035年）》；《洛阳市黄河流域生态保护和高质量发展专项规划》；《洛阳市工程建设项目地质灾害危险性评估管理实施细则》；《洛阳市地质灾害防治“十四五”规划（2021—2025）》。</w:t>
      </w:r>
    </w:p>
    <w:p>
      <w:pPr>
        <w:pStyle w:val="8"/>
        <w:widowControl/>
        <w:numPr>
          <w:ilvl w:val="0"/>
          <w:numId w:val="1"/>
        </w:numPr>
        <w:shd w:val="clear" w:color="auto"/>
        <w:spacing w:line="360" w:lineRule="auto"/>
        <w:rPr>
          <w:rFonts w:ascii="宋体" w:hAnsi="宋体" w:eastAsia="宋体" w:cs="宋体"/>
        </w:rPr>
      </w:pPr>
      <w:bookmarkStart w:id="6" w:name="_Toc6854"/>
      <w:bookmarkStart w:id="7" w:name="_Toc240792963"/>
      <w:r>
        <w:t>规划范围与期限</w:t>
      </w:r>
      <w:bookmarkEnd w:id="6"/>
      <w:bookmarkEnd w:id="7"/>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本规划完整覆盖洛阳市全部行政管辖区域，国土总面积15239.61km²，包含7个市辖区、7个下辖县，共188个乡镇（街道）。</w:t>
      </w:r>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本规划所指地质灾害，是指自然因素或者人为活动引发的危害人民生命和财产安全的山体崩塌、滑坡、泥石流、地面塌陷、地裂缝等与地质作用有关的灾害。</w:t>
      </w:r>
    </w:p>
    <w:p>
      <w:pPr>
        <w:pStyle w:val="3"/>
        <w:widowControl/>
        <w:shd w:val="clear"/>
        <w:spacing w:line="360" w:lineRule="auto"/>
        <w:ind w:firstLine="480"/>
        <w:rPr>
          <w:rFonts w:ascii="宋体" w:hAnsi="宋体" w:cs="宋体"/>
          <w:color w:val="0F1115"/>
        </w:rPr>
      </w:pPr>
      <w:r>
        <w:rPr>
          <w:rFonts w:hint="eastAsia" w:ascii="宋体" w:hAnsi="宋体" w:cs="宋体"/>
          <w:color w:val="0F1115"/>
        </w:rPr>
        <w:t>2025年为本规划现状统计基准年，所有在册隐患点、风险斜坡、监测点位及受威胁人口的统一统计基准时点为2025年12月31日，隐患点数据来源于市、县、乡三级联合实地核验核销的纸质台账，风险斜坡数据来源于各县（区）1:5万地质灾害风险调查评价报告成果。规划实施周期为2026年1月1日至2030年12月31日。</w:t>
      </w:r>
    </w:p>
    <w:p>
      <w:pPr>
        <w:shd w:val="clear"/>
        <w:spacing w:line="360" w:lineRule="auto"/>
        <w:rPr>
          <w:rFonts w:ascii="宋体" w:hAnsi="宋体" w:eastAsia="宋体" w:cs="宋体"/>
        </w:rPr>
      </w:pPr>
      <w:r>
        <w:rPr>
          <w:rFonts w:hint="eastAsia" w:ascii="宋体" w:hAnsi="宋体" w:eastAsia="宋体" w:cs="宋体"/>
          <w:color w:val="0F1115"/>
          <w:sz w:val="24"/>
        </w:rPr>
        <w:br w:type="page"/>
      </w:r>
    </w:p>
    <w:p>
      <w:pPr>
        <w:pStyle w:val="7"/>
        <w:widowControl/>
        <w:shd w:val="clear" w:color="auto"/>
        <w:spacing w:line="360" w:lineRule="auto"/>
        <w:rPr>
          <w:rFonts w:ascii="宋体" w:hAnsi="宋体" w:eastAsia="宋体" w:cs="宋体"/>
        </w:rPr>
      </w:pPr>
      <w:bookmarkStart w:id="8" w:name="_Toc240792964"/>
      <w:bookmarkStart w:id="9" w:name="_Toc28468"/>
      <w:r>
        <w:rPr>
          <w:rFonts w:hint="eastAsia" w:ascii="宋体" w:hAnsi="宋体" w:eastAsia="宋体" w:cs="宋体"/>
        </w:rPr>
        <w:t>一、</w:t>
      </w:r>
      <w:r>
        <w:t>地质灾害防治现状与形势</w:t>
      </w:r>
      <w:bookmarkEnd w:id="8"/>
      <w:bookmarkEnd w:id="9"/>
    </w:p>
    <w:p>
      <w:pPr>
        <w:pStyle w:val="8"/>
        <w:widowControl/>
        <w:numPr>
          <w:ilvl w:val="0"/>
          <w:numId w:val="2"/>
        </w:numPr>
        <w:shd w:val="clear" w:color="auto"/>
        <w:spacing w:line="360" w:lineRule="auto"/>
        <w:rPr>
          <w:rFonts w:ascii="宋体" w:hAnsi="宋体" w:eastAsia="宋体" w:cs="宋体"/>
        </w:rPr>
      </w:pPr>
      <w:bookmarkStart w:id="10" w:name="_Toc28909"/>
      <w:bookmarkStart w:id="11" w:name="_Toc240792965"/>
      <w:r>
        <w:t>地质灾害现状</w:t>
      </w:r>
      <w:bookmarkEnd w:id="10"/>
      <w:bookmarkEnd w:id="11"/>
    </w:p>
    <w:p>
      <w:pPr>
        <w:pStyle w:val="9"/>
        <w:widowControl/>
        <w:numPr>
          <w:ilvl w:val="0"/>
          <w:numId w:val="3"/>
        </w:numPr>
        <w:shd w:val="clear" w:color="auto"/>
        <w:spacing w:line="360" w:lineRule="auto"/>
        <w:rPr>
          <w:rFonts w:ascii="宋体" w:hAnsi="宋体" w:eastAsia="宋体" w:cs="宋体"/>
        </w:rPr>
      </w:pPr>
      <w:bookmarkStart w:id="12" w:name="_Toc240792966"/>
      <w:bookmarkStart w:id="13" w:name="_Toc27789"/>
      <w:bookmarkStart w:id="14" w:name="_Toc8358"/>
      <w:r>
        <w:t>地形地貌与地质构造</w:t>
      </w:r>
      <w:bookmarkEnd w:id="12"/>
      <w:bookmarkEnd w:id="13"/>
      <w:bookmarkEnd w:id="14"/>
    </w:p>
    <w:p>
      <w:pPr>
        <w:pStyle w:val="3"/>
        <w:widowControl/>
        <w:shd w:val="clear"/>
        <w:spacing w:line="360" w:lineRule="auto"/>
        <w:ind w:firstLine="480"/>
        <w:rPr>
          <w:rFonts w:ascii="宋体" w:hAnsi="宋体" w:cs="宋体"/>
          <w:color w:val="0F1115"/>
        </w:rPr>
      </w:pPr>
      <w:r>
        <w:rPr>
          <w:rFonts w:hint="eastAsia" w:ascii="宋体" w:hAnsi="宋体" w:cs="宋体"/>
          <w:color w:val="0F1115"/>
        </w:rPr>
        <w:t>洛阳市地处秦岭造山带东延伏牛山脉，市域地形西南高、东北平缓，山地丘陵占总面积86.01%，仅伊洛河下游分布狭窄河谷平原。区域断裂、节理网状发育，岩体风化破碎程度高，先天地质稳定性差。空间分异清晰：南部伏牛山片区高差600—1200m，坡角普遍超过30°，厚层残坡积物广泛分布，易发滑坡、泥石流；北部黄土丘陵片区大面积第四系黄土，垂直节理发育，遇水快速软化，窑洞、人工切坡滑塌高发；北部煤矿形成连片采空塌陷区，进一步放大灾害风险。先天脆弱地质格局无法短期改造，常态化防控具有长期性。</w:t>
      </w:r>
    </w:p>
    <w:p>
      <w:pPr>
        <w:pStyle w:val="9"/>
        <w:widowControl/>
        <w:numPr>
          <w:ilvl w:val="0"/>
          <w:numId w:val="3"/>
        </w:numPr>
        <w:shd w:val="clear" w:color="auto"/>
        <w:spacing w:line="360" w:lineRule="auto"/>
        <w:rPr>
          <w:rFonts w:ascii="宋体" w:hAnsi="宋体" w:eastAsia="宋体" w:cs="宋体"/>
        </w:rPr>
      </w:pPr>
      <w:bookmarkStart w:id="15" w:name="_Toc31967"/>
      <w:bookmarkStart w:id="16" w:name="_Toc240792967"/>
      <w:bookmarkStart w:id="17" w:name="_Toc7422"/>
      <w:r>
        <w:t>气候水文特征</w:t>
      </w:r>
      <w:bookmarkEnd w:id="15"/>
      <w:bookmarkEnd w:id="16"/>
      <w:bookmarkEnd w:id="17"/>
    </w:p>
    <w:p>
      <w:pPr>
        <w:pStyle w:val="3"/>
        <w:widowControl/>
        <w:shd w:val="clear"/>
        <w:spacing w:line="360" w:lineRule="auto"/>
        <w:ind w:firstLine="480"/>
        <w:rPr>
          <w:rFonts w:ascii="宋体" w:hAnsi="宋体" w:cs="宋体"/>
          <w:color w:val="0F1115"/>
        </w:rPr>
      </w:pPr>
      <w:r>
        <w:rPr>
          <w:rFonts w:hint="eastAsia" w:ascii="宋体" w:hAnsi="宋体" w:cs="宋体"/>
          <w:color w:val="0F1115"/>
        </w:rPr>
        <w:t>市域属暖温带大陆性季风气候，全年70%以上降雨集中在7—9月主汛期，短时特大暴雨、连阴雨频发。雨水入渗降低岩土抗剪强度，是滑坡、崩塌核心诱发因素。伊河、洛河、黄河及陆浑、故县、小浪底水库水位年度周期性涨落，库岸土体干湿交替持续蠕滑，形成降雨加水位双重耦合风险，山洪与地质灾害链式并发，处置难度较大。</w:t>
      </w:r>
    </w:p>
    <w:p>
      <w:pPr>
        <w:pStyle w:val="9"/>
        <w:widowControl/>
        <w:numPr>
          <w:ilvl w:val="0"/>
          <w:numId w:val="3"/>
        </w:numPr>
        <w:shd w:val="clear" w:color="auto"/>
        <w:spacing w:line="360" w:lineRule="auto"/>
        <w:rPr>
          <w:rFonts w:ascii="宋体" w:hAnsi="宋体" w:eastAsia="宋体" w:cs="宋体"/>
        </w:rPr>
      </w:pPr>
      <w:bookmarkStart w:id="18" w:name="_Toc18144"/>
      <w:bookmarkStart w:id="19" w:name="_Toc240792968"/>
      <w:bookmarkStart w:id="20" w:name="_Toc30866"/>
      <w:r>
        <w:t>人为工程活动影响</w:t>
      </w:r>
      <w:bookmarkEnd w:id="18"/>
      <w:bookmarkEnd w:id="19"/>
      <w:bookmarkEnd w:id="20"/>
    </w:p>
    <w:p>
      <w:pPr>
        <w:pStyle w:val="3"/>
        <w:widowControl/>
        <w:shd w:val="clear"/>
        <w:spacing w:line="360" w:lineRule="auto"/>
        <w:ind w:firstLine="480"/>
        <w:rPr>
          <w:rFonts w:ascii="宋体" w:hAnsi="宋体" w:cs="宋体"/>
          <w:color w:val="0F1115"/>
        </w:rPr>
      </w:pPr>
      <w:r>
        <w:rPr>
          <w:rFonts w:hint="eastAsia" w:ascii="宋体" w:hAnsi="宋体" w:cs="宋体"/>
          <w:color w:val="0F1115"/>
        </w:rPr>
        <w:t>全域60.9%的在册隐患由人工开挖边坡形成，四类扰动源头分布清晰：农村无序切坡建房，南北山区、黄土窑洞村落首要风险来源；国省县乡道路开挖，现存219处高风险人工边坡；矿山地下开采与露天尾矿堆，北部煤矿、南部金属矿区塌陷、泥石流物源；城镇园区场地平整，城区边缘零星小型边坡垮塌。人为扰动呈现“治理与新增同步”动态特征，仅靠工程消险无法清零隐患，必须配套源头管控。</w:t>
      </w:r>
    </w:p>
    <w:p>
      <w:pPr>
        <w:pStyle w:val="9"/>
        <w:widowControl/>
        <w:numPr>
          <w:ilvl w:val="0"/>
          <w:numId w:val="3"/>
        </w:numPr>
        <w:shd w:val="clear" w:color="auto"/>
        <w:spacing w:line="360" w:lineRule="auto"/>
        <w:rPr>
          <w:rFonts w:ascii="宋体" w:hAnsi="宋体" w:eastAsia="宋体" w:cs="宋体"/>
        </w:rPr>
      </w:pPr>
      <w:bookmarkStart w:id="21" w:name="_Toc240792969"/>
      <w:bookmarkStart w:id="22" w:name="_Toc26666"/>
      <w:bookmarkStart w:id="23" w:name="_Toc2735"/>
      <w:r>
        <w:t>2025年末隐患底数</w:t>
      </w:r>
      <w:bookmarkEnd w:id="21"/>
      <w:bookmarkEnd w:id="22"/>
      <w:bookmarkEnd w:id="23"/>
    </w:p>
    <w:p>
      <w:pPr>
        <w:pStyle w:val="10"/>
        <w:widowControl/>
        <w:numPr>
          <w:ilvl w:val="0"/>
          <w:numId w:val="4"/>
        </w:numPr>
        <w:shd w:val="clear" w:color="auto"/>
        <w:spacing w:line="360" w:lineRule="auto"/>
        <w:rPr>
          <w:rFonts w:ascii="宋体" w:hAnsi="宋体" w:eastAsia="宋体" w:cs="宋体"/>
        </w:rPr>
      </w:pPr>
      <w:bookmarkStart w:id="24" w:name="_Toc25386"/>
      <w:bookmarkStart w:id="25" w:name="_Toc29809"/>
      <w:bookmarkStart w:id="26" w:name="_Toc240792970"/>
      <w:r>
        <w:t>在册隐患点（点控基底）</w:t>
      </w:r>
      <w:bookmarkEnd w:id="24"/>
      <w:bookmarkEnd w:id="25"/>
      <w:bookmarkEnd w:id="26"/>
    </w:p>
    <w:p>
      <w:pPr>
        <w:pStyle w:val="3"/>
        <w:widowControl/>
        <w:shd w:val="clear"/>
        <w:spacing w:line="360" w:lineRule="auto"/>
        <w:ind w:firstLine="480"/>
        <w:rPr>
          <w:rFonts w:ascii="宋体" w:hAnsi="宋体" w:cs="宋体"/>
          <w:color w:val="0F1115"/>
        </w:rPr>
      </w:pPr>
      <w:r>
        <w:rPr>
          <w:rFonts w:hint="eastAsia" w:ascii="宋体" w:hAnsi="宋体" w:cs="宋体"/>
          <w:color w:val="0F1115"/>
        </w:rPr>
        <w:t>全市在册地质灾害隐患点共计333处，其中滑坡170处、崩塌130处、地面塌陷19处、泥石流13处、地裂缝1处（详见附表七）。从县域分布看，嵩县98处、栾川县77处为全市隐患最集中区域；汝阳县24处、伊川县22处、新安县24处、宜阳县40处隐患规模中等；偃师区18处、洛宁县14处、孟津区11处、洛龙区5处点位相对较少。南部伏牛山区滑坡、崩塌、泥石流集中发育，北部黄土丘陵及伊洛河谷以崩塌、地面塌陷为主。</w:t>
      </w:r>
    </w:p>
    <w:p>
      <w:pPr>
        <w:pStyle w:val="10"/>
        <w:widowControl/>
        <w:numPr>
          <w:ilvl w:val="0"/>
          <w:numId w:val="4"/>
        </w:numPr>
        <w:shd w:val="clear" w:color="auto"/>
        <w:spacing w:line="360" w:lineRule="auto"/>
        <w:rPr>
          <w:rFonts w:ascii="宋体" w:hAnsi="宋体" w:eastAsia="宋体" w:cs="宋体"/>
        </w:rPr>
      </w:pPr>
      <w:bookmarkStart w:id="27" w:name="_Toc4597"/>
      <w:bookmarkStart w:id="28" w:name="_Toc240792971"/>
      <w:bookmarkStart w:id="29" w:name="_Toc22621"/>
      <w:r>
        <w:t>风险斜坡（面控基底）</w:t>
      </w:r>
      <w:bookmarkEnd w:id="27"/>
      <w:bookmarkEnd w:id="28"/>
      <w:bookmarkEnd w:id="29"/>
    </w:p>
    <w:p>
      <w:pPr>
        <w:pStyle w:val="3"/>
        <w:widowControl/>
        <w:shd w:val="clear"/>
        <w:spacing w:line="360" w:lineRule="auto"/>
        <w:ind w:firstLine="480"/>
        <w:rPr>
          <w:rFonts w:ascii="宋体" w:hAnsi="宋体" w:cs="宋体"/>
          <w:color w:val="0F1115"/>
        </w:rPr>
      </w:pPr>
      <w:r>
        <w:rPr>
          <w:rFonts w:hint="eastAsia" w:ascii="宋体" w:hAnsi="宋体" w:cs="宋体"/>
          <w:color w:val="0F1115"/>
        </w:rPr>
        <w:t>本次调查共识别风险斜坡917处。风险斜坡底数由省厅两轮下发成果衔接形成，普查成果与精细化调查成果不重复计数：上一版省厅下发风险斜坡共805处，其中风险斜坡普查成果720处、1∶1万精细化调查成果85处（洛宁县55处、汝阳县30处）；“十五五”规划意见反馈阶段，省厅更新下发风险斜坡普查成果609处，该清单未包含栾川县、新安县，其余县（区）数据较上一版同步动态更新，与720处并非简单扣减关系。本次以更新后的609处普查成果为基础，将上一版720处普查清单中的栾川县208处、新安县15处按原值补回，并保留85处精细化调查成果，合计917处（917＝609处普查＋栾川县208处＋新安县15处＋85处精细化调查）。县域分布：洛龙区377处（含涧西区、伊滨区并入）、栾川县208处、伊川县124处，数量最多；洛宁县55处、孟津区38处次之；汝阳县32处、嵩县29处、宜阳县24处分布中等；偃师区、新安县各15处，数量较少。区域上，南部伏牛山中高山区栾川等地高陡斜坡密集，洛龙等城郊及人口聚居区因城镇建设、切坡建房形成大量风险斜坡，北部伊洛河谷平原斜坡发育相对有限。</w:t>
      </w:r>
    </w:p>
    <w:p>
      <w:pPr>
        <w:pStyle w:val="10"/>
        <w:widowControl/>
        <w:numPr>
          <w:ilvl w:val="0"/>
          <w:numId w:val="4"/>
        </w:numPr>
        <w:shd w:val="clear" w:color="auto"/>
        <w:spacing w:line="360" w:lineRule="auto"/>
        <w:rPr>
          <w:rFonts w:ascii="宋体" w:hAnsi="宋体" w:eastAsia="宋体" w:cs="宋体"/>
        </w:rPr>
      </w:pPr>
      <w:bookmarkStart w:id="30" w:name="_Toc28369"/>
      <w:bookmarkStart w:id="31" w:name="_Toc240792972"/>
      <w:bookmarkStart w:id="32" w:name="_Toc18112"/>
      <w:r>
        <w:t>受威胁人口与财产</w:t>
      </w:r>
      <w:bookmarkEnd w:id="30"/>
      <w:bookmarkEnd w:id="31"/>
      <w:bookmarkEnd w:id="32"/>
    </w:p>
    <w:p>
      <w:pPr>
        <w:pStyle w:val="3"/>
        <w:widowControl/>
        <w:shd w:val="clear"/>
        <w:spacing w:line="360" w:lineRule="auto"/>
        <w:ind w:firstLine="480"/>
        <w:rPr>
          <w:rFonts w:ascii="宋体" w:hAnsi="宋体" w:cs="宋体"/>
          <w:color w:val="0F1115"/>
        </w:rPr>
      </w:pPr>
      <w:r>
        <w:rPr>
          <w:rFonts w:hint="eastAsia" w:ascii="宋体" w:hAnsi="宋体" w:cs="宋体"/>
          <w:color w:val="0F1115"/>
        </w:rPr>
        <w:t>全域受威胁总人口177828人（其中：333处在册隐患点直接威胁14717人，917处风险斜坡潜在威胁163111人，风险斜坡潜在威胁人数按户籍人口统计），在册隐患点威胁财产合计49785万元、约4.98亿元。极高、高风险区面积合计939.15km²，约占全域国土面积的6.16%，集中了全市极高、高风险隐患点93处、风险斜坡627处，承载受威胁人口约11.6万人、约占总受威胁人口的65%，集镇、中小学、卫生院等高密度承灾体集中分布，群死群伤风险突出。</w:t>
      </w:r>
    </w:p>
    <w:p>
      <w:pPr>
        <w:pStyle w:val="3"/>
        <w:widowControl/>
        <w:shd w:val="clear"/>
        <w:spacing w:line="360" w:lineRule="auto"/>
        <w:ind w:firstLine="480"/>
        <w:rPr>
          <w:rFonts w:ascii="宋体" w:hAnsi="宋体" w:cs="宋体"/>
          <w:color w:val="0F1115"/>
        </w:rPr>
      </w:pPr>
      <w:r>
        <w:rPr>
          <w:rFonts w:hint="eastAsia" w:ascii="宋体" w:hAnsi="宋体" w:cs="宋体"/>
          <w:color w:val="0F1115"/>
        </w:rPr>
        <w:t>333处“点”与917处“面”共同构成洛阳市地质灾害“点面双控”的数据基底。</w:t>
      </w:r>
    </w:p>
    <w:p>
      <w:pPr>
        <w:pStyle w:val="9"/>
        <w:widowControl/>
        <w:numPr>
          <w:ilvl w:val="0"/>
          <w:numId w:val="3"/>
        </w:numPr>
        <w:shd w:val="clear" w:color="auto"/>
        <w:spacing w:line="360" w:lineRule="auto"/>
        <w:rPr>
          <w:rFonts w:ascii="宋体" w:hAnsi="宋体" w:eastAsia="宋体" w:cs="宋体"/>
        </w:rPr>
      </w:pPr>
      <w:bookmarkStart w:id="33" w:name="_Toc240792973"/>
      <w:bookmarkStart w:id="34" w:name="_Toc20429"/>
      <w:bookmarkStart w:id="35" w:name="_Toc9909"/>
      <w:r>
        <w:t>现有防灾设施</w:t>
      </w:r>
      <w:bookmarkEnd w:id="33"/>
      <w:bookmarkEnd w:id="34"/>
      <w:bookmarkEnd w:id="35"/>
    </w:p>
    <w:p>
      <w:pPr>
        <w:pStyle w:val="3"/>
        <w:widowControl/>
        <w:numPr>
          <w:ilvl w:val="0"/>
          <w:numId w:val="5"/>
        </w:numPr>
        <w:shd w:val="clear"/>
        <w:spacing w:line="360" w:lineRule="auto"/>
        <w:ind w:firstLineChars="0"/>
        <w:rPr>
          <w:rFonts w:ascii="宋体" w:hAnsi="宋体" w:cs="宋体"/>
          <w:color w:val="0F1115"/>
        </w:rPr>
      </w:pPr>
      <w:r>
        <w:rPr>
          <w:rFonts w:hint="eastAsia" w:ascii="宋体" w:hAnsi="宋体" w:cs="宋体"/>
          <w:color w:val="0F1115"/>
        </w:rPr>
        <w:t>自动化监测：全市建成标准化监测站点29处，全部为“十四五”分年度零散试点建设，未按地质灾害易发性分区进行系统性布设。市、县两级未设立自动化监测专项年度运维预算，设备故障维修缺乏稳定资金支撑。</w:t>
      </w:r>
    </w:p>
    <w:p>
      <w:pPr>
        <w:pStyle w:val="3"/>
        <w:widowControl/>
        <w:numPr>
          <w:ilvl w:val="0"/>
          <w:numId w:val="5"/>
        </w:numPr>
        <w:shd w:val="clear"/>
        <w:spacing w:line="360" w:lineRule="auto"/>
        <w:ind w:firstLineChars="0"/>
        <w:rPr>
          <w:rFonts w:ascii="宋体" w:hAnsi="宋体" w:cs="宋体"/>
          <w:color w:val="0F1115"/>
        </w:rPr>
      </w:pPr>
      <w:r>
        <w:rPr>
          <w:rFonts w:hint="eastAsia" w:ascii="宋体" w:hAnsi="宋体" w:cs="宋体"/>
          <w:color w:val="0F1115"/>
        </w:rPr>
        <w:t>村级避险载体：各村仅依托村部闲置院落、村内开阔空地设置简易临时避险点，未按标准化避险场地建设规范配套封闭物资库、独立应急厕所、长效照明、固定疏散标识等成套设施。</w:t>
      </w:r>
    </w:p>
    <w:p>
      <w:pPr>
        <w:pStyle w:val="3"/>
        <w:widowControl/>
        <w:numPr>
          <w:ilvl w:val="0"/>
          <w:numId w:val="5"/>
        </w:numPr>
        <w:shd w:val="clear"/>
        <w:spacing w:line="360" w:lineRule="auto"/>
        <w:ind w:firstLineChars="0"/>
        <w:rPr>
          <w:rFonts w:ascii="宋体" w:hAnsi="宋体" w:cs="宋体"/>
          <w:color w:val="0F1115"/>
        </w:rPr>
      </w:pPr>
      <w:r>
        <w:rPr>
          <w:rFonts w:hint="eastAsia" w:ascii="宋体" w:hAnsi="宋体" w:cs="宋体"/>
          <w:color w:val="0F1115"/>
        </w:rPr>
        <w:t>群测群防：333处在册隐患、917处风险斜坡均配备专职村级监测人员，实现全域巡查点位全覆盖。但市、县级财政未将监测员误工补助纳入年度刚性预算，巡查装备配发覆盖不足。</w:t>
      </w:r>
    </w:p>
    <w:p>
      <w:pPr>
        <w:pStyle w:val="3"/>
        <w:widowControl/>
        <w:numPr>
          <w:ilvl w:val="0"/>
          <w:numId w:val="5"/>
        </w:numPr>
        <w:shd w:val="clear"/>
        <w:spacing w:line="360" w:lineRule="auto"/>
        <w:ind w:firstLineChars="0"/>
        <w:rPr>
          <w:rFonts w:ascii="宋体" w:hAnsi="宋体" w:cs="宋体"/>
          <w:color w:val="0F1115"/>
        </w:rPr>
      </w:pPr>
      <w:r>
        <w:rPr>
          <w:rFonts w:hint="eastAsia" w:ascii="宋体" w:hAnsi="宋体" w:cs="宋体"/>
          <w:color w:val="0F1115"/>
        </w:rPr>
        <w:t>治理工程：“十四五”期间累计消险隐患263处。已完工治理构筑物未建立常态化年度管护机制，长期运行后防灾功能存在衰减风险。</w:t>
      </w:r>
    </w:p>
    <w:p>
      <w:pPr>
        <w:shd w:val="clear"/>
        <w:jc w:val="center"/>
        <w:rPr>
          <w:rFonts w:ascii="宋体" w:hAnsi="宋体" w:eastAsia="宋体" w:cs="宋体"/>
        </w:rPr>
      </w:pPr>
      <w:r>
        <w:rPr>
          <w:rFonts w:hint="eastAsia" w:ascii="宋体" w:hAnsi="宋体" w:cs="宋体"/>
          <w:color w:val="0F1115"/>
        </w:rPr>
        <w:t>“</w:t>
      </w:r>
      <w:r>
        <w:rPr>
          <w:rFonts w:hint="eastAsia" w:ascii="宋体" w:hAnsi="宋体" w:eastAsia="宋体" w:cs="宋体"/>
          <w:sz w:val="24"/>
        </w:rPr>
        <w:t>隐患点+风险区</w:t>
      </w:r>
      <w:r>
        <w:rPr>
          <w:rFonts w:hint="eastAsia" w:ascii="宋体" w:hAnsi="宋体" w:cs="宋体"/>
          <w:color w:val="0F1115"/>
        </w:rPr>
        <w:t>”</w:t>
      </w:r>
      <w:r>
        <w:rPr>
          <w:rFonts w:hint="eastAsia" w:ascii="宋体" w:hAnsi="宋体" w:eastAsia="宋体" w:cs="宋体"/>
          <w:sz w:val="24"/>
        </w:rPr>
        <w:t>双控管理</w:t>
      </w:r>
    </w:p>
    <w:tbl>
      <w:tblPr>
        <w:tblStyle w:val="3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210"/>
        <w:gridCol w:w="1474"/>
        <w:gridCol w:w="3927"/>
        <w:gridCol w:w="1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1210" w:type="dxa"/>
            <w:tcMar>
              <w:top w:w="120" w:type="dxa"/>
              <w:left w:w="120" w:type="dxa"/>
              <w:bottom w:w="120" w:type="dxa"/>
              <w:right w:w="120" w:type="dxa"/>
            </w:tcMar>
            <w:vAlign w:val="center"/>
          </w:tcPr>
          <w:p>
            <w:pPr>
              <w:widowControl/>
              <w:shd w:val="clear"/>
              <w:snapToGrid w:val="0"/>
              <w:jc w:val="center"/>
              <w:rPr>
                <w:rFonts w:ascii="宋体" w:hAnsi="宋体" w:eastAsia="宋体" w:cs="宋体"/>
                <w:b/>
                <w:bCs/>
                <w:sz w:val="24"/>
              </w:rPr>
            </w:pPr>
            <w:r>
              <w:rPr>
                <w:rFonts w:hint="eastAsia" w:ascii="宋体" w:hAnsi="宋体" w:eastAsia="宋体" w:cs="宋体"/>
                <w:b/>
                <w:bCs/>
                <w:kern w:val="0"/>
                <w:sz w:val="24"/>
                <w:lang w:bidi="ar"/>
              </w:rPr>
              <w:t>维度</w:t>
            </w:r>
          </w:p>
        </w:tc>
        <w:tc>
          <w:tcPr>
            <w:tcW w:w="1474" w:type="dxa"/>
            <w:tcMar>
              <w:top w:w="120" w:type="dxa"/>
              <w:left w:w="120" w:type="dxa"/>
              <w:bottom w:w="120" w:type="dxa"/>
              <w:right w:w="120" w:type="dxa"/>
            </w:tcMar>
            <w:vAlign w:val="center"/>
          </w:tcPr>
          <w:p>
            <w:pPr>
              <w:widowControl/>
              <w:shd w:val="clear"/>
              <w:snapToGrid w:val="0"/>
              <w:jc w:val="center"/>
              <w:rPr>
                <w:rFonts w:ascii="宋体" w:hAnsi="宋体" w:eastAsia="宋体" w:cs="宋体"/>
                <w:b/>
                <w:bCs/>
                <w:sz w:val="24"/>
              </w:rPr>
            </w:pPr>
            <w:r>
              <w:rPr>
                <w:rFonts w:hint="eastAsia" w:ascii="宋体" w:hAnsi="宋体" w:eastAsia="宋体" w:cs="宋体"/>
                <w:b/>
                <w:bCs/>
                <w:kern w:val="0"/>
                <w:sz w:val="24"/>
                <w:lang w:bidi="ar"/>
              </w:rPr>
              <w:t>管控对象</w:t>
            </w:r>
          </w:p>
        </w:tc>
        <w:tc>
          <w:tcPr>
            <w:tcW w:w="3927" w:type="dxa"/>
            <w:tcMar>
              <w:top w:w="120" w:type="dxa"/>
              <w:left w:w="120" w:type="dxa"/>
              <w:bottom w:w="120" w:type="dxa"/>
              <w:right w:w="120" w:type="dxa"/>
            </w:tcMar>
            <w:vAlign w:val="center"/>
          </w:tcPr>
          <w:p>
            <w:pPr>
              <w:widowControl/>
              <w:shd w:val="clear"/>
              <w:snapToGrid w:val="0"/>
              <w:jc w:val="center"/>
              <w:rPr>
                <w:rFonts w:ascii="宋体" w:hAnsi="宋体" w:eastAsia="宋体" w:cs="宋体"/>
                <w:b/>
                <w:bCs/>
                <w:sz w:val="24"/>
              </w:rPr>
            </w:pPr>
            <w:r>
              <w:rPr>
                <w:rFonts w:hint="eastAsia" w:ascii="宋体" w:hAnsi="宋体" w:eastAsia="宋体" w:cs="宋体"/>
                <w:b/>
                <w:bCs/>
                <w:kern w:val="0"/>
                <w:sz w:val="24"/>
                <w:lang w:bidi="ar"/>
              </w:rPr>
              <w:t>管控措施</w:t>
            </w:r>
          </w:p>
        </w:tc>
        <w:tc>
          <w:tcPr>
            <w:tcW w:w="1910" w:type="dxa"/>
            <w:tcMar>
              <w:top w:w="120" w:type="dxa"/>
              <w:left w:w="120" w:type="dxa"/>
              <w:bottom w:w="120" w:type="dxa"/>
              <w:right w:w="120" w:type="dxa"/>
            </w:tcMar>
            <w:vAlign w:val="center"/>
          </w:tcPr>
          <w:p>
            <w:pPr>
              <w:widowControl/>
              <w:shd w:val="clear"/>
              <w:snapToGrid w:val="0"/>
              <w:jc w:val="center"/>
              <w:rPr>
                <w:rFonts w:ascii="宋体" w:hAnsi="宋体" w:eastAsia="宋体" w:cs="宋体"/>
                <w:b/>
                <w:bCs/>
                <w:sz w:val="24"/>
              </w:rPr>
            </w:pPr>
            <w:r>
              <w:rPr>
                <w:rFonts w:hint="eastAsia" w:ascii="宋体" w:hAnsi="宋体" w:eastAsia="宋体" w:cs="宋体"/>
                <w:b/>
                <w:bCs/>
                <w:kern w:val="0"/>
                <w:sz w:val="24"/>
                <w:lang w:bidi="ar"/>
              </w:rPr>
              <w:t>责任主体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10"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点控</w:t>
            </w:r>
          </w:p>
        </w:tc>
        <w:tc>
          <w:tcPr>
            <w:tcW w:w="1474"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333处在册隐患点</w:t>
            </w:r>
          </w:p>
        </w:tc>
        <w:tc>
          <w:tcPr>
            <w:tcW w:w="3927"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工程治理、避险搬迁、自动化监测、群测群防</w:t>
            </w:r>
          </w:p>
        </w:tc>
        <w:tc>
          <w:tcPr>
            <w:tcW w:w="1910"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县级政府、乡镇政府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210"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面控</w:t>
            </w:r>
          </w:p>
        </w:tc>
        <w:tc>
          <w:tcPr>
            <w:tcW w:w="1474"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917处风险斜坡</w:t>
            </w:r>
          </w:p>
        </w:tc>
        <w:tc>
          <w:tcPr>
            <w:tcW w:w="3927"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常态化巡查、建房审批管控、源头减量</w:t>
            </w:r>
          </w:p>
        </w:tc>
        <w:tc>
          <w:tcPr>
            <w:tcW w:w="1910"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乡镇政府、行政村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10"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双控协同</w:t>
            </w:r>
          </w:p>
        </w:tc>
        <w:tc>
          <w:tcPr>
            <w:tcW w:w="1474"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点面数据联动</w:t>
            </w:r>
          </w:p>
        </w:tc>
        <w:tc>
          <w:tcPr>
            <w:tcW w:w="3927"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隐患销号同步更新斜坡台账，新增斜坡预警隐患点转化风险</w:t>
            </w:r>
          </w:p>
        </w:tc>
        <w:tc>
          <w:tcPr>
            <w:tcW w:w="1910" w:type="dxa"/>
            <w:tcMar>
              <w:top w:w="120" w:type="dxa"/>
              <w:left w:w="120" w:type="dxa"/>
              <w:bottom w:w="120" w:type="dxa"/>
              <w:right w:w="120" w:type="dxa"/>
            </w:tcMar>
            <w:vAlign w:val="center"/>
          </w:tcPr>
          <w:p>
            <w:pPr>
              <w:widowControl/>
              <w:shd w:val="clear"/>
              <w:snapToGrid w:val="0"/>
              <w:jc w:val="center"/>
              <w:rPr>
                <w:rFonts w:ascii="宋体" w:hAnsi="宋体" w:eastAsia="宋体" w:cs="宋体"/>
                <w:sz w:val="24"/>
              </w:rPr>
            </w:pPr>
            <w:r>
              <w:rPr>
                <w:rFonts w:hint="eastAsia" w:ascii="宋体" w:hAnsi="宋体" w:eastAsia="宋体" w:cs="宋体"/>
                <w:kern w:val="0"/>
                <w:sz w:val="24"/>
                <w:lang w:bidi="ar"/>
              </w:rPr>
              <w:t>市、县两级自然资源部门</w:t>
            </w:r>
          </w:p>
        </w:tc>
      </w:tr>
    </w:tbl>
    <w:p>
      <w:pPr>
        <w:shd w:val="clear"/>
        <w:rPr>
          <w:rFonts w:ascii="宋体" w:hAnsi="宋体" w:eastAsia="宋体" w:cs="宋体"/>
        </w:rPr>
      </w:pPr>
    </w:p>
    <w:p>
      <w:pPr>
        <w:pStyle w:val="8"/>
        <w:widowControl/>
        <w:numPr>
          <w:ilvl w:val="0"/>
          <w:numId w:val="2"/>
        </w:numPr>
        <w:shd w:val="clear" w:color="auto"/>
        <w:spacing w:line="360" w:lineRule="auto"/>
        <w:rPr>
          <w:rFonts w:ascii="宋体" w:hAnsi="宋体" w:eastAsia="宋体" w:cs="宋体"/>
        </w:rPr>
      </w:pPr>
      <w:bookmarkStart w:id="36" w:name="_Toc4086"/>
      <w:bookmarkStart w:id="37" w:name="_Toc240792974"/>
      <w:r>
        <w:t>“十四五”地质灾害防治工作成效</w:t>
      </w:r>
      <w:bookmarkEnd w:id="36"/>
      <w:bookmarkEnd w:id="37"/>
    </w:p>
    <w:p>
      <w:pPr>
        <w:pStyle w:val="9"/>
        <w:widowControl/>
        <w:numPr>
          <w:ilvl w:val="0"/>
          <w:numId w:val="6"/>
        </w:numPr>
        <w:shd w:val="clear" w:color="auto"/>
        <w:spacing w:line="360" w:lineRule="auto"/>
        <w:rPr>
          <w:rFonts w:ascii="宋体" w:hAnsi="宋体" w:eastAsia="宋体" w:cs="宋体"/>
        </w:rPr>
      </w:pPr>
      <w:bookmarkStart w:id="38" w:name="_Toc240792975"/>
      <w:bookmarkStart w:id="39" w:name="_Toc17322"/>
      <w:bookmarkStart w:id="40" w:name="_Toc30139"/>
      <w:r>
        <w:t>隐患动态排查与消险</w:t>
      </w:r>
      <w:bookmarkEnd w:id="38"/>
      <w:bookmarkEnd w:id="39"/>
      <w:bookmarkEnd w:id="40"/>
    </w:p>
    <w:p>
      <w:pPr>
        <w:pStyle w:val="3"/>
        <w:widowControl/>
        <w:shd w:val="clear"/>
        <w:spacing w:line="360" w:lineRule="auto"/>
        <w:ind w:firstLine="480"/>
        <w:rPr>
          <w:rFonts w:ascii="宋体" w:hAnsi="宋体" w:cs="宋体"/>
          <w:color w:val="0F1115"/>
        </w:rPr>
      </w:pPr>
      <w:r>
        <w:rPr>
          <w:rFonts w:hint="eastAsia" w:ascii="宋体" w:hAnsi="宋体" w:cs="宋体"/>
          <w:color w:val="0F1115"/>
        </w:rPr>
        <w:t>建立汛前、汛期、汛后三轮全域排查机制。2021年在册隐患596处，至2025年末核销至333处，五年累计消险263处。采取工程治理、整体搬迁、简易清危分层处置，重大特大隐患基本清零，五年未发生地质灾害人员伤亡。</w:t>
      </w:r>
    </w:p>
    <w:p>
      <w:pPr>
        <w:pStyle w:val="9"/>
        <w:widowControl/>
        <w:numPr>
          <w:ilvl w:val="0"/>
          <w:numId w:val="6"/>
        </w:numPr>
        <w:shd w:val="clear" w:color="auto"/>
        <w:spacing w:line="360" w:lineRule="auto"/>
        <w:rPr>
          <w:rFonts w:ascii="宋体" w:hAnsi="宋体" w:eastAsia="宋体" w:cs="宋体"/>
        </w:rPr>
      </w:pPr>
      <w:bookmarkStart w:id="41" w:name="_Toc26912"/>
      <w:bookmarkStart w:id="42" w:name="_Toc240792976"/>
      <w:bookmarkStart w:id="43" w:name="_Toc6099"/>
      <w:r>
        <w:t>调查评价</w:t>
      </w:r>
      <w:bookmarkEnd w:id="41"/>
      <w:bookmarkEnd w:id="42"/>
      <w:bookmarkEnd w:id="43"/>
    </w:p>
    <w:p>
      <w:pPr>
        <w:pStyle w:val="3"/>
        <w:widowControl/>
        <w:shd w:val="clear"/>
        <w:spacing w:line="360" w:lineRule="auto"/>
        <w:ind w:firstLine="480"/>
        <w:rPr>
          <w:rFonts w:ascii="宋体" w:hAnsi="宋体" w:cs="宋体"/>
          <w:color w:val="0F1115"/>
        </w:rPr>
      </w:pPr>
      <w:r>
        <w:rPr>
          <w:rFonts w:hint="eastAsia" w:ascii="宋体" w:hAnsi="宋体" w:cs="宋体"/>
          <w:color w:val="0F1115"/>
        </w:rPr>
        <w:t>完成全市1:5万全域地质灾害详查，选取2个高风险乡镇开展1:1万精细化试点调查，系统摸排全市地质灾害风险斜坡，构建了初步的“点区双控”数据基底，为“十五五”全覆盖调查积累了成熟技术流程。</w:t>
      </w:r>
    </w:p>
    <w:p>
      <w:pPr>
        <w:pStyle w:val="9"/>
        <w:widowControl/>
        <w:numPr>
          <w:ilvl w:val="0"/>
          <w:numId w:val="6"/>
        </w:numPr>
        <w:shd w:val="clear" w:color="auto"/>
        <w:spacing w:line="360" w:lineRule="auto"/>
        <w:rPr>
          <w:rFonts w:ascii="宋体" w:hAnsi="宋体" w:eastAsia="宋体" w:cs="宋体"/>
        </w:rPr>
      </w:pPr>
      <w:bookmarkStart w:id="44" w:name="_Toc21650"/>
      <w:bookmarkStart w:id="45" w:name="_Toc6791"/>
      <w:bookmarkStart w:id="46" w:name="_Toc240792977"/>
      <w:r>
        <w:t>监测预警网络</w:t>
      </w:r>
      <w:bookmarkEnd w:id="44"/>
      <w:bookmarkEnd w:id="45"/>
      <w:bookmarkEnd w:id="46"/>
    </w:p>
    <w:p>
      <w:pPr>
        <w:pStyle w:val="3"/>
        <w:widowControl/>
        <w:shd w:val="clear"/>
        <w:spacing w:line="360" w:lineRule="auto"/>
        <w:ind w:firstLine="480"/>
        <w:rPr>
          <w:rFonts w:ascii="宋体" w:hAnsi="宋体" w:cs="宋体"/>
          <w:color w:val="0F1115"/>
        </w:rPr>
      </w:pPr>
      <w:r>
        <w:rPr>
          <w:rFonts w:hint="eastAsia" w:ascii="宋体" w:hAnsi="宋体" w:cs="宋体"/>
          <w:color w:val="0F1115"/>
        </w:rPr>
        <w:t>建成市、县、乡、村五级网格化巡查体系，9个重点县区完成“十有县”标准化创建。2023年市级地质气象预警平台上线运行，汛期专项预警123次。试点布设29处自动化监测站点，无人机补充深山巡查盲区，初步形成人机融合监测模式。</w:t>
      </w:r>
    </w:p>
    <w:p>
      <w:pPr>
        <w:pStyle w:val="9"/>
        <w:widowControl/>
        <w:numPr>
          <w:ilvl w:val="0"/>
          <w:numId w:val="6"/>
        </w:numPr>
        <w:shd w:val="clear" w:color="auto"/>
        <w:spacing w:line="360" w:lineRule="auto"/>
        <w:rPr>
          <w:rFonts w:ascii="宋体" w:hAnsi="宋体" w:eastAsia="宋体" w:cs="宋体"/>
        </w:rPr>
      </w:pPr>
      <w:bookmarkStart w:id="47" w:name="_Toc13946"/>
      <w:bookmarkStart w:id="48" w:name="_Toc1812"/>
      <w:bookmarkStart w:id="49" w:name="_Toc240792978"/>
      <w:r>
        <w:t>综合治理</w:t>
      </w:r>
      <w:bookmarkEnd w:id="47"/>
      <w:bookmarkEnd w:id="48"/>
      <w:bookmarkEnd w:id="49"/>
    </w:p>
    <w:p>
      <w:pPr>
        <w:pStyle w:val="3"/>
        <w:widowControl/>
        <w:shd w:val="clear"/>
        <w:spacing w:line="360" w:lineRule="auto"/>
        <w:ind w:firstLine="480"/>
        <w:rPr>
          <w:rFonts w:ascii="宋体" w:hAnsi="宋体" w:cs="宋体"/>
          <w:color w:val="0F1115"/>
        </w:rPr>
      </w:pPr>
      <w:r>
        <w:rPr>
          <w:rFonts w:hint="eastAsia" w:ascii="宋体" w:hAnsi="宋体" w:cs="宋体"/>
          <w:color w:val="0F1115"/>
        </w:rPr>
        <w:t>“十四五”落地专项项目41个，其中中央、国债资金项目13个，总投资13913万元。同步联动水利76项水土保持项目、交通163处一、二级风险点整治工程协同消险，多行业资金分流减轻了单一财政压力。</w:t>
      </w:r>
    </w:p>
    <w:p>
      <w:pPr>
        <w:pStyle w:val="9"/>
        <w:widowControl/>
        <w:numPr>
          <w:ilvl w:val="0"/>
          <w:numId w:val="6"/>
        </w:numPr>
        <w:shd w:val="clear" w:color="auto"/>
        <w:spacing w:line="360" w:lineRule="auto"/>
        <w:rPr>
          <w:rFonts w:ascii="宋体" w:hAnsi="宋体" w:eastAsia="宋体" w:cs="宋体"/>
        </w:rPr>
      </w:pPr>
      <w:bookmarkStart w:id="50" w:name="_Toc14330"/>
      <w:bookmarkStart w:id="51" w:name="_Toc240792979"/>
      <w:bookmarkStart w:id="52" w:name="_Toc6489"/>
      <w:r>
        <w:t>应急处置与避险案例</w:t>
      </w:r>
      <w:bookmarkEnd w:id="50"/>
      <w:bookmarkEnd w:id="51"/>
      <w:bookmarkEnd w:id="52"/>
    </w:p>
    <w:p>
      <w:pPr>
        <w:pStyle w:val="3"/>
        <w:widowControl/>
        <w:shd w:val="clear"/>
        <w:spacing w:line="360" w:lineRule="auto"/>
        <w:ind w:firstLine="480"/>
        <w:rPr>
          <w:rFonts w:ascii="宋体" w:hAnsi="宋体" w:cs="宋体"/>
          <w:color w:val="0F1115"/>
        </w:rPr>
      </w:pPr>
      <w:r>
        <w:rPr>
          <w:rFonts w:hint="eastAsia" w:ascii="宋体" w:hAnsi="宋体" w:cs="宋体"/>
          <w:color w:val="0F1115"/>
        </w:rPr>
        <w:t>2024年汝阳泥石流预判，提前转移游客205人，列入省级示范案例；2025年洛宁暴雨转移，50分钟转移群众382人，入选全国成功避险典型。两处实战案例验证了现有转移机制的有效性，同时暴露了避险场地、末端预警方面的短板。</w:t>
      </w:r>
    </w:p>
    <w:p>
      <w:pPr>
        <w:pStyle w:val="9"/>
        <w:widowControl/>
        <w:numPr>
          <w:ilvl w:val="0"/>
          <w:numId w:val="6"/>
        </w:numPr>
        <w:shd w:val="clear" w:color="auto"/>
        <w:spacing w:line="360" w:lineRule="auto"/>
        <w:rPr>
          <w:rFonts w:ascii="宋体" w:hAnsi="宋体" w:eastAsia="宋体" w:cs="宋体"/>
        </w:rPr>
      </w:pPr>
      <w:bookmarkStart w:id="53" w:name="_Toc1009"/>
      <w:bookmarkStart w:id="54" w:name="_Toc14086"/>
      <w:bookmarkStart w:id="55" w:name="_Toc240792980"/>
      <w:r>
        <w:t>基层能力建设</w:t>
      </w:r>
      <w:bookmarkEnd w:id="53"/>
      <w:bookmarkEnd w:id="54"/>
      <w:bookmarkEnd w:id="55"/>
    </w:p>
    <w:p>
      <w:pPr>
        <w:pStyle w:val="3"/>
        <w:widowControl/>
        <w:shd w:val="clear"/>
        <w:spacing w:line="360" w:lineRule="auto"/>
        <w:ind w:firstLine="480"/>
        <w:rPr>
          <w:rFonts w:ascii="宋体" w:hAnsi="宋体" w:cs="宋体"/>
          <w:color w:val="0F1115"/>
        </w:rPr>
      </w:pPr>
      <w:r>
        <w:rPr>
          <w:rFonts w:hint="eastAsia" w:ascii="宋体" w:hAnsi="宋体" w:cs="宋体"/>
          <w:color w:val="0F1115"/>
        </w:rPr>
        <w:t>组建7家地勘单位组成市级技术支撑团队。五年开展演练838场、培训153场，覆盖群众6.3万人次、基层工作人员0.84万人次，群众识灾避险意识持续提升。</w:t>
      </w:r>
    </w:p>
    <w:p>
      <w:pPr>
        <w:pStyle w:val="8"/>
        <w:widowControl/>
        <w:numPr>
          <w:ilvl w:val="0"/>
          <w:numId w:val="2"/>
        </w:numPr>
        <w:shd w:val="clear" w:color="auto"/>
        <w:spacing w:line="360" w:lineRule="auto"/>
        <w:rPr>
          <w:rFonts w:ascii="宋体" w:hAnsi="宋体" w:eastAsia="宋体" w:cs="宋体"/>
        </w:rPr>
      </w:pPr>
      <w:bookmarkStart w:id="56" w:name="_Toc240792981"/>
      <w:bookmarkStart w:id="57" w:name="_Toc3028"/>
      <w:r>
        <w:t>存在的主要问题</w:t>
      </w:r>
      <w:bookmarkEnd w:id="56"/>
      <w:bookmarkEnd w:id="57"/>
    </w:p>
    <w:p>
      <w:pPr>
        <w:pStyle w:val="3"/>
        <w:widowControl/>
        <w:numPr>
          <w:ilvl w:val="0"/>
          <w:numId w:val="0"/>
        </w:numPr>
        <w:shd w:val="clear"/>
        <w:spacing w:line="360" w:lineRule="auto"/>
        <w:ind w:left="0" w:leftChars="0" w:firstLine="482" w:firstLineChars="0"/>
        <w:rPr>
          <w:rFonts w:ascii="宋体" w:hAnsi="宋体" w:cs="宋体"/>
          <w:b/>
          <w:color w:val="0F1115"/>
        </w:rPr>
      </w:pPr>
      <w:r>
        <w:rPr>
          <w:rFonts w:hint="eastAsia" w:ascii="宋体" w:hAnsi="宋体" w:eastAsia="宋体" w:cs="宋体"/>
          <w:b/>
          <w:color w:val="0F1115"/>
          <w:kern w:val="2"/>
          <w:sz w:val="24"/>
          <w:szCs w:val="24"/>
          <w:lang w:val="en-US" w:eastAsia="zh-CN" w:bidi="ar-SA"/>
        </w:rPr>
        <w:t>一是</w:t>
      </w:r>
      <w:r>
        <w:rPr>
          <w:rFonts w:hint="eastAsia" w:ascii="宋体" w:hAnsi="宋体" w:cs="宋体"/>
          <w:b/>
          <w:color w:val="0F1115"/>
        </w:rPr>
        <w:t>精细化调查覆盖不足。</w:t>
      </w:r>
      <w:r>
        <w:rPr>
          <w:rFonts w:hint="eastAsia" w:ascii="宋体" w:hAnsi="宋体" w:cs="宋体"/>
          <w:color w:val="0F1115"/>
        </w:rPr>
        <w:t>仅2个乡镇完成1:1万精细测绘，剩余50个高风险乡镇仅有1:5万概略调查。大量浅层隐蔽斜坡缺乏定量变形数据，风险分区、项目布局精准度不足，难以满足“点区双控”精细化管控要求。</w:t>
      </w:r>
    </w:p>
    <w:p>
      <w:pPr>
        <w:pStyle w:val="3"/>
        <w:widowControl/>
        <w:numPr>
          <w:ilvl w:val="0"/>
          <w:numId w:val="0"/>
        </w:numPr>
        <w:shd w:val="clear"/>
        <w:spacing w:line="360" w:lineRule="auto"/>
        <w:ind w:left="0" w:leftChars="0" w:firstLine="482" w:firstLineChars="0"/>
        <w:rPr>
          <w:rFonts w:ascii="宋体" w:hAnsi="宋体" w:cs="宋体"/>
          <w:b/>
          <w:color w:val="0F1115"/>
        </w:rPr>
      </w:pPr>
      <w:r>
        <w:rPr>
          <w:rFonts w:hint="eastAsia" w:ascii="宋体" w:hAnsi="宋体" w:eastAsia="宋体" w:cs="宋体"/>
          <w:b/>
          <w:color w:val="0F1115"/>
          <w:kern w:val="2"/>
          <w:sz w:val="24"/>
          <w:szCs w:val="24"/>
          <w:lang w:val="en-US" w:eastAsia="zh-CN" w:bidi="ar-SA"/>
        </w:rPr>
        <w:t>二是</w:t>
      </w:r>
      <w:r>
        <w:rPr>
          <w:rFonts w:hint="eastAsia" w:ascii="宋体" w:hAnsi="宋体" w:cs="宋体"/>
          <w:b/>
          <w:color w:val="0F1115"/>
        </w:rPr>
        <w:t>监测预警存在短板。</w:t>
      </w:r>
      <w:r>
        <w:rPr>
          <w:rFonts w:hint="eastAsia" w:ascii="宋体" w:hAnsi="宋体" w:cs="宋体"/>
          <w:color w:val="0F1115"/>
        </w:rPr>
        <w:t>存量29处监测站点零散分布，库区、深山连片高风险区域无监测覆盖。无年度刚性运维经费，设备故障、数据断档频发。预警仅下发至乡镇，村级核实、提醒、反馈闭环机制缺失。</w:t>
      </w:r>
    </w:p>
    <w:p>
      <w:pPr>
        <w:pStyle w:val="3"/>
        <w:widowControl/>
        <w:numPr>
          <w:ilvl w:val="0"/>
          <w:numId w:val="0"/>
        </w:numPr>
        <w:shd w:val="clear"/>
        <w:spacing w:line="360" w:lineRule="auto"/>
        <w:ind w:left="0" w:leftChars="0" w:firstLine="482" w:firstLineChars="0"/>
        <w:rPr>
          <w:rFonts w:ascii="宋体" w:hAnsi="宋体" w:cs="宋体"/>
          <w:b/>
          <w:color w:val="0F1115"/>
        </w:rPr>
      </w:pPr>
      <w:r>
        <w:rPr>
          <w:rFonts w:hint="eastAsia" w:ascii="宋体" w:hAnsi="宋体" w:eastAsia="宋体" w:cs="宋体"/>
          <w:b/>
          <w:color w:val="0F1115"/>
          <w:kern w:val="2"/>
          <w:sz w:val="24"/>
          <w:szCs w:val="24"/>
          <w:lang w:val="en-US" w:eastAsia="zh-CN" w:bidi="ar-SA"/>
        </w:rPr>
        <w:t>三是</w:t>
      </w:r>
      <w:r>
        <w:rPr>
          <w:rFonts w:hint="eastAsia" w:ascii="宋体" w:hAnsi="宋体" w:cs="宋体"/>
          <w:b/>
          <w:color w:val="0F1115"/>
        </w:rPr>
        <w:t>基层专业力量薄弱。</w:t>
      </w:r>
      <w:r>
        <w:rPr>
          <w:rFonts w:hint="eastAsia" w:ascii="宋体" w:hAnsi="宋体" w:cs="宋体"/>
          <w:color w:val="0F1115"/>
        </w:rPr>
        <w:t>县（区）无专职水工环地质人员，乡镇仅有兼职工作人员。野外险情判别、治理方案初审、台账填报等专业能力不足，应急物资配套不完善。面对突发地质灾害时，难以及时开展初步研判和先期处置。</w:t>
      </w:r>
    </w:p>
    <w:p>
      <w:pPr>
        <w:pStyle w:val="3"/>
        <w:widowControl/>
        <w:numPr>
          <w:ilvl w:val="0"/>
          <w:numId w:val="0"/>
        </w:numPr>
        <w:shd w:val="clear"/>
        <w:spacing w:line="360" w:lineRule="auto"/>
        <w:ind w:left="0" w:leftChars="0" w:firstLine="482" w:firstLineChars="0"/>
        <w:rPr>
          <w:rFonts w:ascii="宋体" w:hAnsi="宋体" w:cs="宋体"/>
          <w:b/>
          <w:color w:val="0F1115"/>
        </w:rPr>
      </w:pPr>
      <w:r>
        <w:rPr>
          <w:rFonts w:hint="eastAsia" w:ascii="宋体" w:hAnsi="宋体" w:eastAsia="宋体" w:cs="宋体"/>
          <w:b/>
          <w:color w:val="0F1115"/>
          <w:kern w:val="2"/>
          <w:sz w:val="24"/>
          <w:szCs w:val="24"/>
          <w:lang w:val="en-US" w:eastAsia="zh-CN" w:bidi="ar-SA"/>
        </w:rPr>
        <w:t>四是</w:t>
      </w:r>
      <w:r>
        <w:rPr>
          <w:rFonts w:hint="eastAsia" w:ascii="宋体" w:hAnsi="宋体" w:cs="宋体"/>
          <w:b/>
          <w:color w:val="0F1115"/>
        </w:rPr>
        <w:t>干线公路边坡治理滞后。</w:t>
      </w:r>
      <w:r>
        <w:rPr>
          <w:rFonts w:hint="eastAsia" w:ascii="宋体" w:hAnsi="宋体" w:cs="宋体"/>
          <w:color w:val="0F1115"/>
        </w:rPr>
        <w:t>全市国省县道219处一二级高风险边坡，受立项周期、区县配套资金约束，治理进度缓慢。部分边坡已出现局部变形开裂、排水设施堵塞损坏等问题，因专业排查力量不足和整改责任划分不明确，隐患无法及时闭环处置，一旦遭遇极端强降雨，极易发生滑坡、崩塌，直接威胁过往司乘和沿线群众生命财产安全。</w:t>
      </w:r>
    </w:p>
    <w:p>
      <w:pPr>
        <w:pStyle w:val="3"/>
        <w:widowControl/>
        <w:numPr>
          <w:ilvl w:val="0"/>
          <w:numId w:val="0"/>
        </w:numPr>
        <w:shd w:val="clear"/>
        <w:spacing w:line="360" w:lineRule="auto"/>
        <w:ind w:left="0" w:leftChars="0" w:firstLine="482" w:firstLineChars="0"/>
        <w:rPr>
          <w:rFonts w:ascii="宋体" w:hAnsi="宋体" w:cs="宋体"/>
          <w:b/>
          <w:color w:val="0F1115"/>
        </w:rPr>
      </w:pPr>
      <w:r>
        <w:rPr>
          <w:rFonts w:hint="eastAsia" w:ascii="宋体" w:hAnsi="宋体" w:eastAsia="宋体" w:cs="宋体"/>
          <w:b/>
          <w:color w:val="0F1115"/>
          <w:kern w:val="2"/>
          <w:sz w:val="24"/>
          <w:szCs w:val="24"/>
          <w:lang w:val="en-US" w:eastAsia="zh-CN" w:bidi="ar-SA"/>
        </w:rPr>
        <w:t>五是</w:t>
      </w:r>
      <w:r>
        <w:rPr>
          <w:rFonts w:hint="eastAsia" w:ascii="宋体" w:hAnsi="宋体" w:cs="宋体"/>
          <w:b/>
          <w:color w:val="0F1115"/>
        </w:rPr>
        <w:t>资金保障机制不健全。</w:t>
      </w:r>
      <w:r>
        <w:rPr>
          <w:rFonts w:hint="eastAsia" w:ascii="宋体" w:hAnsi="宋体" w:cs="宋体"/>
          <w:color w:val="0F1115"/>
        </w:rPr>
        <w:t>监测运维、监测员补助、场地管护、宣教经费未纳入年度刚性预算，年度资金波动大，项目存在阶段性缺口。部分偏远区域常态化巡查难以为继，设备日常运维、老旧设施升级改造无法按计划推进，难以支撑防控体系长期稳定运行。</w:t>
      </w:r>
    </w:p>
    <w:p>
      <w:pPr>
        <w:pStyle w:val="8"/>
        <w:widowControl/>
        <w:numPr>
          <w:ilvl w:val="0"/>
          <w:numId w:val="2"/>
        </w:numPr>
        <w:shd w:val="clear" w:color="auto"/>
        <w:spacing w:line="360" w:lineRule="auto"/>
        <w:rPr>
          <w:rFonts w:ascii="宋体" w:hAnsi="宋体" w:eastAsia="宋体" w:cs="宋体"/>
        </w:rPr>
      </w:pPr>
      <w:bookmarkStart w:id="58" w:name="_Toc240792982"/>
      <w:bookmarkStart w:id="59" w:name="_Toc16855"/>
      <w:r>
        <w:t>“十五五”形势研判</w:t>
      </w:r>
      <w:bookmarkEnd w:id="58"/>
      <w:bookmarkEnd w:id="59"/>
    </w:p>
    <w:p>
      <w:pPr>
        <w:pStyle w:val="3"/>
        <w:widowControl/>
        <w:shd w:val="clear"/>
        <w:spacing w:line="360" w:lineRule="auto"/>
        <w:ind w:firstLine="482"/>
        <w:rPr>
          <w:rFonts w:ascii="宋体" w:hAnsi="宋体" w:cs="宋体"/>
          <w:color w:val="0F1115"/>
        </w:rPr>
      </w:pPr>
      <w:r>
        <w:rPr>
          <w:rFonts w:hint="eastAsia" w:ascii="宋体" w:hAnsi="宋体" w:cs="宋体"/>
          <w:b/>
          <w:color w:val="0F1115"/>
        </w:rPr>
        <w:t>发展机遇。</w:t>
      </w:r>
      <w:r>
        <w:rPr>
          <w:rFonts w:hint="eastAsia" w:ascii="宋体" w:hAnsi="宋体" w:cs="宋体"/>
          <w:color w:val="0F1115"/>
        </w:rPr>
        <w:t>国家、省级持续加大地质灾害专项资金投放，“双控”管理配套政策逐步完善。“十四五”已搭建完整的巡查、监测、应急基础框架，基层队伍相对稳定。物联网、遥感等智能监测设备成本持续下降，可覆盖深山无信号盲区。群众配合搬迁、规范切坡建房意愿持续提升，基层工作阻力减小。</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面临挑战。</w:t>
      </w:r>
      <w:r>
        <w:rPr>
          <w:rFonts w:hint="eastAsia" w:ascii="宋体" w:hAnsi="宋体" w:cs="宋体"/>
          <w:color w:val="0F1115"/>
        </w:rPr>
        <w:t>山地、黄土、采空区脆弱地质格局长期不变，灾害天然易发属性无法根除。全球气候变暖导致极端暴雨频次、强度逐年上升，链式灾害处置压力增大。城乡建设、矿山开发、农村建房持续开挖边坡，隐患消险与新增的动态平衡长期存在。高风险山区适宜安置建设用地稀缺，搬迁选址协调难度大。</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趋势研判。</w:t>
      </w:r>
      <w:r>
        <w:rPr>
          <w:rFonts w:hint="eastAsia" w:ascii="宋体" w:hAnsi="宋体" w:cs="宋体"/>
          <w:color w:val="0F1115"/>
        </w:rPr>
        <w:t>时间趋势：7—9月为主灾期，南部泥石流、北部黄土滑塌逐年增多；5月、10月小浪底库岸变形风险集中凸显。空间趋势：栾川、嵩县、汝阳深山、新安矿区、沿黄库区长期为极高、高风险集中区域，全部重点工程优先布局于此。模式转型：由汛期被动抢险转向全年事前精细化摸排、智能监测前置的主动防控模式。</w:t>
      </w:r>
    </w:p>
    <w:p>
      <w:pPr>
        <w:shd w:val="clear"/>
        <w:spacing w:line="360" w:lineRule="auto"/>
        <w:rPr>
          <w:rFonts w:ascii="宋体" w:hAnsi="宋体" w:eastAsia="宋体" w:cs="宋体"/>
          <w:color w:val="0F1115"/>
          <w:sz w:val="24"/>
        </w:rPr>
      </w:pPr>
      <w:r>
        <w:rPr>
          <w:rFonts w:hint="eastAsia" w:ascii="宋体" w:hAnsi="宋体" w:eastAsia="宋体" w:cs="宋体"/>
          <w:color w:val="0F1115"/>
          <w:sz w:val="24"/>
        </w:rPr>
        <w:br w:type="page"/>
      </w:r>
    </w:p>
    <w:p>
      <w:pPr>
        <w:pStyle w:val="7"/>
        <w:widowControl/>
        <w:shd w:val="clear" w:color="auto"/>
        <w:spacing w:line="360" w:lineRule="auto"/>
        <w:rPr>
          <w:rFonts w:ascii="宋体" w:hAnsi="宋体" w:eastAsia="宋体" w:cs="宋体"/>
        </w:rPr>
      </w:pPr>
      <w:bookmarkStart w:id="60" w:name="_Toc240792983"/>
      <w:bookmarkStart w:id="61" w:name="_Toc2235"/>
      <w:r>
        <w:rPr>
          <w:rFonts w:hint="eastAsia" w:ascii="宋体" w:hAnsi="宋体" w:eastAsia="宋体" w:cs="宋体"/>
        </w:rPr>
        <w:t>二、</w:t>
      </w:r>
      <w:r>
        <w:t>指导思想、基本原则与规划目标</w:t>
      </w:r>
      <w:bookmarkEnd w:id="60"/>
      <w:bookmarkEnd w:id="61"/>
    </w:p>
    <w:p>
      <w:pPr>
        <w:pStyle w:val="8"/>
        <w:widowControl/>
        <w:numPr>
          <w:ilvl w:val="0"/>
          <w:numId w:val="7"/>
        </w:numPr>
        <w:shd w:val="clear" w:color="auto"/>
        <w:spacing w:line="360" w:lineRule="auto"/>
        <w:rPr>
          <w:rFonts w:ascii="宋体" w:hAnsi="宋体" w:eastAsia="宋体" w:cs="宋体"/>
        </w:rPr>
      </w:pPr>
      <w:bookmarkStart w:id="62" w:name="_Toc9912"/>
      <w:bookmarkStart w:id="63" w:name="_Toc240792984"/>
      <w:r>
        <w:t>指导思想</w:t>
      </w:r>
      <w:bookmarkEnd w:id="62"/>
      <w:bookmarkEnd w:id="63"/>
    </w:p>
    <w:p>
      <w:pPr>
        <w:pStyle w:val="3"/>
        <w:widowControl/>
        <w:shd w:val="clear"/>
        <w:spacing w:line="360" w:lineRule="auto"/>
        <w:ind w:firstLine="480"/>
        <w:rPr>
          <w:rFonts w:ascii="宋体" w:hAnsi="宋体" w:cs="宋体"/>
          <w:color w:val="0F1115"/>
        </w:rPr>
      </w:pPr>
      <w:r>
        <w:rPr>
          <w:rFonts w:hint="eastAsia" w:ascii="宋体" w:hAnsi="宋体" w:cs="宋体"/>
          <w:color w:val="0F1115"/>
        </w:rPr>
        <w:t>以习近平新时代中国特色社会主义思想为指导，全面贯彻党的二十大关于统筹发展和安全、防灾减灾救灾的重要部署，深入落实习近平总书记关于防灾减灾救灾工作的重要指示批示精神。立足洛阳山地丘陵广布、构造破碎、极端降雨多发、人工切坡突出的市域地质环境特征，以“隐患点+风险区”双控标准化管理为主线，以智能化监测、全域精细调查、系统性工程治理、整体避险搬迁、基层长效保障为五大支撑，构建“调查前置、智能预警、工程治本、源头控增量、应急兜底”全链条闭环防控体系。聚焦“十四五”结构性短板精准攻坚，持续化解存量隐患、阻断灾害链式传导，全面提升地质灾害综合防治现代化水平。</w:t>
      </w:r>
    </w:p>
    <w:p>
      <w:pPr>
        <w:pStyle w:val="8"/>
        <w:widowControl/>
        <w:numPr>
          <w:ilvl w:val="0"/>
          <w:numId w:val="7"/>
        </w:numPr>
        <w:shd w:val="clear" w:color="auto"/>
        <w:spacing w:line="360" w:lineRule="auto"/>
        <w:rPr>
          <w:rFonts w:ascii="宋体" w:hAnsi="宋体" w:eastAsia="宋体" w:cs="宋体"/>
        </w:rPr>
      </w:pPr>
      <w:bookmarkStart w:id="64" w:name="_Toc11379"/>
      <w:bookmarkStart w:id="65" w:name="_Toc240792985"/>
      <w:r>
        <w:t>基本原则</w:t>
      </w:r>
      <w:bookmarkEnd w:id="64"/>
      <w:bookmarkEnd w:id="65"/>
    </w:p>
    <w:p>
      <w:pPr>
        <w:pStyle w:val="3"/>
        <w:widowControl/>
        <w:shd w:val="clear"/>
        <w:spacing w:line="360" w:lineRule="auto"/>
        <w:ind w:firstLine="482"/>
        <w:rPr>
          <w:rFonts w:ascii="宋体" w:hAnsi="宋体" w:cs="宋体"/>
          <w:color w:val="0F1115"/>
        </w:rPr>
      </w:pPr>
      <w:r>
        <w:rPr>
          <w:rFonts w:hint="eastAsia" w:ascii="宋体" w:hAnsi="宋体" w:cs="宋体"/>
          <w:b/>
          <w:color w:val="0F1115"/>
        </w:rPr>
        <w:t>人民至上、生命至上。</w:t>
      </w:r>
      <w:r>
        <w:rPr>
          <w:rFonts w:hint="eastAsia" w:ascii="宋体" w:hAnsi="宋体" w:cs="宋体"/>
          <w:color w:val="0F1115"/>
        </w:rPr>
        <w:t>坚持以人民为中心，始终将保护人民群众生命安全放在首位，以极端负责态度应对新挑战，全面提升地质灾害防治能力。</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预防为主、防治结合。</w:t>
      </w:r>
      <w:r>
        <w:rPr>
          <w:rFonts w:hint="eastAsia" w:ascii="宋体" w:hAnsi="宋体" w:cs="宋体"/>
          <w:color w:val="0F1115"/>
        </w:rPr>
        <w:t>强化国土空间规划和地质灾害危险性评估的源头管控作用，夯实“人防+技防”监测预警基础，健全风险分级管控和隐患排查治理机制，推动防治重点向灾前预防转变。</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动态更新、全面管控。</w:t>
      </w:r>
      <w:r>
        <w:rPr>
          <w:rFonts w:hint="eastAsia" w:ascii="宋体" w:hAnsi="宋体" w:cs="宋体"/>
          <w:color w:val="0F1115"/>
        </w:rPr>
        <w:t>以有效减轻地质灾害风险为重点，推进风险调查动态更新，查明隐患点和风险区底数及其变化，深入推进“隐患点+风险区”双控建设。</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属地管理、责任明晰。</w:t>
      </w:r>
      <w:r>
        <w:rPr>
          <w:rFonts w:hint="eastAsia" w:ascii="宋体" w:hAnsi="宋体" w:cs="宋体"/>
          <w:color w:val="0F1115"/>
        </w:rPr>
        <w:t>坚持党委领导、政府负责、部门协同、分级管理，明确各级政府防治主体责任，督促各行业主管部门落实监管责任和工程建设单位主体责任。</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宣传普及、全民防灾。</w:t>
      </w:r>
      <w:r>
        <w:rPr>
          <w:rFonts w:hint="eastAsia" w:ascii="宋体" w:hAnsi="宋体" w:cs="宋体"/>
          <w:color w:val="0F1115"/>
        </w:rPr>
        <w:t>健全宣传培训体系，面向基层工作人员开展常态化业务培训，组织避险演练，全面提升公众防灾意识和自救互救能力。</w:t>
      </w:r>
    </w:p>
    <w:p>
      <w:pPr>
        <w:pStyle w:val="8"/>
        <w:widowControl/>
        <w:numPr>
          <w:ilvl w:val="0"/>
          <w:numId w:val="7"/>
        </w:numPr>
        <w:shd w:val="clear" w:color="auto"/>
        <w:spacing w:line="360" w:lineRule="auto"/>
        <w:rPr>
          <w:rFonts w:ascii="宋体" w:hAnsi="宋体" w:eastAsia="宋体" w:cs="宋体"/>
        </w:rPr>
      </w:pPr>
      <w:bookmarkStart w:id="66" w:name="_Toc240792986"/>
      <w:bookmarkStart w:id="67" w:name="_Toc5406"/>
      <w:r>
        <w:t>规划目标</w:t>
      </w:r>
      <w:bookmarkEnd w:id="66"/>
      <w:bookmarkEnd w:id="67"/>
    </w:p>
    <w:p>
      <w:pPr>
        <w:pStyle w:val="9"/>
        <w:widowControl/>
        <w:numPr>
          <w:ilvl w:val="0"/>
          <w:numId w:val="8"/>
        </w:numPr>
        <w:shd w:val="clear" w:color="auto"/>
        <w:spacing w:line="360" w:lineRule="auto"/>
        <w:rPr>
          <w:rFonts w:ascii="宋体" w:hAnsi="宋体" w:eastAsia="宋体" w:cs="宋体"/>
        </w:rPr>
      </w:pPr>
      <w:bookmarkStart w:id="68" w:name="_Toc1561"/>
      <w:bookmarkStart w:id="69" w:name="_Toc240792987"/>
      <w:bookmarkStart w:id="70" w:name="_Toc25274"/>
      <w:r>
        <w:t>总体目标</w:t>
      </w:r>
      <w:bookmarkEnd w:id="68"/>
      <w:bookmarkEnd w:id="69"/>
      <w:bookmarkEnd w:id="70"/>
    </w:p>
    <w:p>
      <w:pPr>
        <w:pStyle w:val="3"/>
        <w:widowControl/>
        <w:shd w:val="clear"/>
        <w:spacing w:line="360" w:lineRule="auto"/>
        <w:ind w:firstLine="480"/>
        <w:rPr>
          <w:rFonts w:ascii="宋体" w:hAnsi="宋体" w:cs="宋体"/>
          <w:color w:val="0F1115"/>
        </w:rPr>
      </w:pPr>
      <w:r>
        <w:rPr>
          <w:rFonts w:hint="eastAsia" w:ascii="宋体" w:hAnsi="宋体" w:cs="宋体"/>
          <w:color w:val="0F1115"/>
        </w:rPr>
        <w:t>至2030年末，全市“隐患点+风险区”全域双控管理体系实现常态化运行；中高风险隐患治理搬迁综合销号率达到80%以上；高风险乡镇1:1万精细化调查实现全覆盖；持续守住地质灾害人员零伤亡底线；建成现代化全域地质安全长效防控体系。</w:t>
      </w:r>
    </w:p>
    <w:p>
      <w:pPr>
        <w:pStyle w:val="9"/>
        <w:widowControl/>
        <w:numPr>
          <w:ilvl w:val="0"/>
          <w:numId w:val="8"/>
        </w:numPr>
        <w:shd w:val="clear" w:color="auto"/>
        <w:spacing w:line="360" w:lineRule="auto"/>
        <w:rPr>
          <w:rFonts w:ascii="宋体" w:hAnsi="宋体" w:eastAsia="宋体" w:cs="宋体"/>
        </w:rPr>
      </w:pPr>
      <w:bookmarkStart w:id="71" w:name="_Toc17278"/>
      <w:bookmarkStart w:id="72" w:name="_Toc240792988"/>
      <w:bookmarkStart w:id="73" w:name="_Toc17098"/>
      <w:r>
        <w:t>分项目标</w:t>
      </w:r>
      <w:bookmarkEnd w:id="71"/>
      <w:bookmarkEnd w:id="72"/>
      <w:bookmarkEnd w:id="73"/>
    </w:p>
    <w:p>
      <w:pPr>
        <w:pStyle w:val="3"/>
        <w:widowControl/>
        <w:shd w:val="clear"/>
        <w:spacing w:line="360" w:lineRule="auto"/>
        <w:ind w:firstLine="482"/>
        <w:rPr>
          <w:rFonts w:ascii="宋体" w:hAnsi="宋体" w:cs="宋体"/>
          <w:color w:val="0F1115"/>
        </w:rPr>
      </w:pPr>
      <w:r>
        <w:rPr>
          <w:rFonts w:hint="eastAsia" w:ascii="宋体" w:hAnsi="宋体" w:cs="宋体"/>
          <w:b/>
          <w:color w:val="0F1115"/>
        </w:rPr>
        <w:t>调查评价：全市52个高风险乡镇，“十四五”仅完成2个试点，剩余50个2026—2030年分年度全部完成标准化调查评价，同步复核333处在册隐患、实测917处风险斜坡，建成兼容省级统一风险矢量数据库。</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监测预警</w:t>
      </w:r>
      <w:r>
        <w:rPr>
          <w:rFonts w:hint="eastAsia" w:ascii="宋体" w:hAnsi="宋体" w:cs="宋体"/>
          <w:color w:val="0F1115"/>
        </w:rPr>
        <w:t>：构建人工巡查全域覆盖、自动化监测重点布局双轨网络。存量站点全套设备更新，新增11处多要素一体化终端。迭代升级市县级预警平台，完善“乡镇下发—村级核查—上门提醒—逐级上报”完整叫应闭环。</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隐患消险</w:t>
      </w:r>
      <w:r>
        <w:rPr>
          <w:rFonts w:hint="eastAsia" w:ascii="宋体" w:hAnsi="宋体" w:cs="宋体"/>
          <w:color w:val="0F1115"/>
        </w:rPr>
        <w:t>：分级设置省级项目储备库、市级滚动两类治理项目。2026—2027优先实施矿区、窑洞高危隐患点治理，2028—2029铺开深山治理工程。完工后联合验收、附表统一销号，逐年压降中高风险隐患总量。</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应急处置</w:t>
      </w:r>
      <w:r>
        <w:rPr>
          <w:rFonts w:hint="eastAsia" w:ascii="宋体" w:hAnsi="宋体" w:cs="宋体"/>
          <w:color w:val="0F1115"/>
        </w:rPr>
        <w:t>：所有重点乡镇每年开展全员转移实战演练。60处标准化避险场地覆盖全部高风险行政村，配齐物资、厕所、照明成套设施。完善三级应急预案，极端降雨提前预判、提前转移。</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源头管控</w:t>
      </w:r>
      <w:r>
        <w:rPr>
          <w:rFonts w:hint="eastAsia" w:ascii="宋体" w:hAnsi="宋体" w:cs="宋体"/>
          <w:color w:val="0F1115"/>
        </w:rPr>
        <w:t>：山区农村自建房、干线、矿山项目强制前置地质灾害危险性评估，常态化整治无序切坡，逐年降低人为诱发隐患规模，扭转“边治理、边新增”被动格局。</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协同联动</w:t>
      </w:r>
      <w:r>
        <w:rPr>
          <w:rFonts w:hint="eastAsia" w:ascii="宋体" w:hAnsi="宋体" w:cs="宋体"/>
          <w:color w:val="0F1115"/>
        </w:rPr>
        <w:t>：地质灾害治理与水土保持、公路边坡治理、矿山生态修复项目同步规划、同步实施，统一风险底数、共享监测数据，实现全链条多行业协同发力。</w:t>
      </w:r>
    </w:p>
    <w:p>
      <w:pPr>
        <w:pStyle w:val="9"/>
        <w:widowControl/>
        <w:numPr>
          <w:ilvl w:val="0"/>
          <w:numId w:val="8"/>
        </w:numPr>
        <w:shd w:val="clear" w:color="auto"/>
        <w:spacing w:line="360" w:lineRule="auto"/>
        <w:rPr>
          <w:rFonts w:ascii="宋体" w:hAnsi="宋体" w:eastAsia="宋体" w:cs="宋体"/>
        </w:rPr>
      </w:pPr>
      <w:bookmarkStart w:id="74" w:name="_Toc240792989"/>
      <w:bookmarkStart w:id="75" w:name="_Toc16028"/>
      <w:bookmarkStart w:id="76" w:name="_Toc25369"/>
      <w:r>
        <w:t>主要指标</w:t>
      </w:r>
      <w:bookmarkEnd w:id="74"/>
      <w:bookmarkEnd w:id="75"/>
      <w:bookmarkEnd w:id="76"/>
    </w:p>
    <w:p>
      <w:pPr>
        <w:pStyle w:val="3"/>
        <w:widowControl/>
        <w:shd w:val="clear"/>
        <w:spacing w:line="360" w:lineRule="auto"/>
        <w:ind w:firstLine="480"/>
        <w:rPr>
          <w:rFonts w:ascii="宋体" w:hAnsi="宋体" w:cs="宋体"/>
        </w:rPr>
      </w:pPr>
      <w:r>
        <w:rPr>
          <w:rFonts w:hint="eastAsia" w:ascii="宋体" w:hAnsi="宋体" w:cs="宋体"/>
          <w:color w:val="0F1115"/>
        </w:rPr>
        <w:t>本规划设置约束性、预期性两类管控指标。约束性指标为规划期必须严格落实的硬性任务，预期性指标为规划期倡导引导实现的发展目标。</w:t>
      </w:r>
    </w:p>
    <w:p>
      <w:pPr>
        <w:pStyle w:val="3"/>
        <w:widowControl/>
        <w:shd w:val="clear"/>
        <w:spacing w:line="360" w:lineRule="auto"/>
        <w:ind w:firstLine="482"/>
        <w:jc w:val="center"/>
        <w:rPr>
          <w:rFonts w:ascii="宋体" w:hAnsi="宋体" w:cs="宋体"/>
          <w:b/>
          <w:bCs/>
        </w:rPr>
      </w:pPr>
      <w:r>
        <w:rPr>
          <w:rFonts w:hint="eastAsia" w:ascii="宋体" w:hAnsi="宋体" w:cs="宋体"/>
          <w:b/>
          <w:bCs/>
        </w:rPr>
        <w:t>专栏一 “十五五”期间地质灾害防治主要指标</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356"/>
        <w:gridCol w:w="2778"/>
        <w:gridCol w:w="985"/>
        <w:gridCol w:w="1581"/>
        <w:gridCol w:w="1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b/>
                <w:color w:val="000000" w:themeColor="dark1"/>
                <w:sz w:val="24"/>
                <w14:textFill>
                  <w14:solidFill>
                    <w14:schemeClr w14:val="dk1"/>
                  </w14:solidFill>
                </w14:textFill>
              </w:rPr>
            </w:pPr>
            <w:r>
              <w:rPr>
                <w:rFonts w:hint="eastAsia" w:ascii="宋体" w:hAnsi="宋体" w:eastAsia="宋体" w:cs="宋体"/>
                <w:b/>
                <w:color w:val="000000" w:themeColor="dark1"/>
                <w:kern w:val="0"/>
                <w:sz w:val="24"/>
                <w:lang w:bidi="ar"/>
                <w14:textFill>
                  <w14:solidFill>
                    <w14:schemeClr w14:val="dk1"/>
                  </w14:solidFill>
                </w14:textFill>
              </w:rPr>
              <w:t>类别</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b/>
                <w:color w:val="000000" w:themeColor="dark1"/>
                <w:sz w:val="24"/>
                <w14:textFill>
                  <w14:solidFill>
                    <w14:schemeClr w14:val="dk1"/>
                  </w14:solidFill>
                </w14:textFill>
              </w:rPr>
            </w:pPr>
            <w:r>
              <w:rPr>
                <w:rFonts w:hint="eastAsia" w:ascii="宋体" w:hAnsi="宋体" w:eastAsia="宋体" w:cs="宋体"/>
                <w:b/>
                <w:color w:val="000000" w:themeColor="dark1"/>
                <w:kern w:val="0"/>
                <w:sz w:val="24"/>
                <w:lang w:bidi="ar"/>
                <w14:textFill>
                  <w14:solidFill>
                    <w14:schemeClr w14:val="dk1"/>
                  </w14:solidFill>
                </w14:textFill>
              </w:rPr>
              <w:t>指标名称</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b/>
                <w:color w:val="000000" w:themeColor="dark1"/>
                <w:sz w:val="24"/>
                <w14:textFill>
                  <w14:solidFill>
                    <w14:schemeClr w14:val="dk1"/>
                  </w14:solidFill>
                </w14:textFill>
              </w:rPr>
            </w:pPr>
            <w:r>
              <w:rPr>
                <w:rFonts w:hint="eastAsia" w:ascii="宋体" w:hAnsi="宋体" w:eastAsia="宋体" w:cs="宋体"/>
                <w:b/>
                <w:color w:val="000000" w:themeColor="dark1"/>
                <w:kern w:val="0"/>
                <w:sz w:val="24"/>
                <w:lang w:bidi="ar"/>
                <w14:textFill>
                  <w14:solidFill>
                    <w14:schemeClr w14:val="dk1"/>
                  </w14:solidFill>
                </w14:textFill>
              </w:rPr>
              <w:t>指标属性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b/>
                <w:color w:val="000000" w:themeColor="dark1"/>
                <w:sz w:val="24"/>
                <w14:textFill>
                  <w14:solidFill>
                    <w14:schemeClr w14:val="dk1"/>
                  </w14:solidFill>
                </w14:textFill>
              </w:rPr>
            </w:pPr>
            <w:r>
              <w:rPr>
                <w:rFonts w:hint="eastAsia" w:ascii="宋体" w:hAnsi="宋体" w:eastAsia="宋体" w:cs="宋体"/>
                <w:b/>
                <w:color w:val="000000" w:themeColor="dark1"/>
                <w:kern w:val="0"/>
                <w:sz w:val="24"/>
                <w:lang w:bidi="ar"/>
                <w14:textFill>
                  <w14:solidFill>
                    <w14:schemeClr w14:val="dk1"/>
                  </w14:solidFill>
                </w14:textFill>
              </w:rPr>
              <w:t>2025年基准</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b/>
                <w:color w:val="000000" w:themeColor="dark1"/>
                <w:sz w:val="24"/>
                <w14:textFill>
                  <w14:solidFill>
                    <w14:schemeClr w14:val="dk1"/>
                  </w14:solidFill>
                </w14:textFill>
              </w:rPr>
            </w:pPr>
            <w:r>
              <w:rPr>
                <w:rFonts w:hint="eastAsia" w:ascii="宋体" w:hAnsi="宋体" w:eastAsia="宋体" w:cs="宋体"/>
                <w:b/>
                <w:color w:val="000000" w:themeColor="dark1"/>
                <w:kern w:val="0"/>
                <w:sz w:val="24"/>
                <w:lang w:bidi="ar"/>
                <w14:textFill>
                  <w14:solidFill>
                    <w14:schemeClr w14:val="dk1"/>
                  </w14:solidFill>
                </w14:textFill>
              </w:rPr>
              <w:t>2030年目标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调查评价</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高风险乡镇1:1万精细化调查覆盖率</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约束性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仅完成2个试点</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100%（50个乡镇）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监测预警</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自动化监测站点数量</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约束性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29处（零散）</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40处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监测预警</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监测站点稳定运行率</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约束性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无刚性预算保障</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监测预警</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预警信息村级叫应响应率</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约束性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仅推送至乡镇</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群测群防</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群测群防网格化动态覆盖率</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约束性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100%</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防灾成效</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地质灾害人员伤亡</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约束性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连续五年零伤亡</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零死亡、零重伤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隐患消险</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中高风险隐患治理搬迁销号率</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预期性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避险配套</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标准化避险场地高风险行政村覆盖率</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预期性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零散简易点位</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100%（60处）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基层能力</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基层防灾人员年度培训覆盖率</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预期性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参训不均衡</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356"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源头管控</w:t>
            </w:r>
          </w:p>
        </w:tc>
        <w:tc>
          <w:tcPr>
            <w:tcW w:w="2777" w:type="dxa"/>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人为诱发新增隐患增速</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预期性</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逐年小幅上升</w:t>
            </w:r>
          </w:p>
        </w:tc>
        <w:tc>
          <w:tcPr>
            <w:tcW w:w="0" w:type="auto"/>
            <w:shd w:val="clear" w:color="auto" w:fill="auto"/>
            <w:tcMar>
              <w:top w:w="120" w:type="dxa"/>
              <w:left w:w="120" w:type="dxa"/>
              <w:bottom w:w="120" w:type="dxa"/>
              <w:right w:w="120" w:type="dxa"/>
            </w:tcMar>
            <w:vAlign w:val="center"/>
          </w:tcPr>
          <w:p>
            <w:pPr>
              <w:widowControl/>
              <w:shd w:val="clear"/>
              <w:snapToGrid w:val="0"/>
              <w:spacing w:line="360" w:lineRule="auto"/>
              <w:jc w:val="center"/>
              <w:textAlignment w:val="top"/>
              <w:rPr>
                <w:rFonts w:ascii="宋体" w:hAnsi="宋体" w:eastAsia="宋体" w:cs="宋体"/>
                <w:color w:val="08090C"/>
                <w:sz w:val="24"/>
              </w:rPr>
            </w:pPr>
            <w:r>
              <w:rPr>
                <w:rFonts w:hint="eastAsia" w:ascii="宋体" w:hAnsi="宋体" w:eastAsia="宋体" w:cs="宋体"/>
                <w:color w:val="08090C"/>
                <w:kern w:val="0"/>
                <w:sz w:val="24"/>
                <w:lang w:bidi="ar"/>
              </w:rPr>
              <w:t>逐年递减</w:t>
            </w:r>
          </w:p>
        </w:tc>
      </w:tr>
    </w:tbl>
    <w:p>
      <w:pPr>
        <w:pStyle w:val="7"/>
        <w:widowControl/>
        <w:shd w:val="clear" w:color="auto"/>
        <w:spacing w:line="360" w:lineRule="auto"/>
        <w:rPr>
          <w:rFonts w:ascii="宋体" w:hAnsi="宋体" w:eastAsia="宋体" w:cs="宋体"/>
        </w:rPr>
      </w:pPr>
      <w:bookmarkStart w:id="77" w:name="_Toc240792990"/>
      <w:bookmarkStart w:id="78" w:name="_Toc8832"/>
      <w:r>
        <w:rPr>
          <w:rFonts w:hint="eastAsia" w:ascii="宋体" w:hAnsi="宋体" w:eastAsia="宋体" w:cs="宋体"/>
        </w:rPr>
        <w:t>三、</w:t>
      </w:r>
      <w:r>
        <w:t>地质灾害易发区、风险区和防治区</w:t>
      </w:r>
      <w:bookmarkEnd w:id="77"/>
      <w:bookmarkEnd w:id="78"/>
    </w:p>
    <w:p>
      <w:pPr>
        <w:pStyle w:val="3"/>
        <w:widowControl/>
        <w:shd w:val="clear"/>
        <w:spacing w:line="360" w:lineRule="auto"/>
        <w:ind w:firstLine="480"/>
        <w:rPr>
          <w:rFonts w:ascii="宋体" w:hAnsi="宋体" w:cs="宋体"/>
          <w:color w:val="0F1115"/>
        </w:rPr>
      </w:pPr>
      <w:r>
        <w:rPr>
          <w:rFonts w:hint="eastAsia" w:ascii="宋体" w:hAnsi="宋体" w:cs="宋体"/>
          <w:color w:val="0F1115"/>
        </w:rPr>
        <w:t>本章依托全市2025年度在册333处隐患、917处风险斜坡基础台账，构建“易发分区—风险分区—防治分区”三级递进管控体系。以自然地质本底划定易发分区，叠加承灾体形成风险分区，结合风险等级统筹分配调查、监测、治理、搬迁各类工程项目。</w:t>
      </w:r>
    </w:p>
    <w:p>
      <w:pPr>
        <w:pStyle w:val="8"/>
        <w:widowControl/>
        <w:numPr>
          <w:ilvl w:val="0"/>
          <w:numId w:val="9"/>
        </w:numPr>
        <w:shd w:val="clear" w:color="auto"/>
        <w:spacing w:line="360" w:lineRule="auto"/>
        <w:rPr>
          <w:rFonts w:ascii="宋体" w:hAnsi="宋体" w:eastAsia="宋体" w:cs="宋体"/>
        </w:rPr>
      </w:pPr>
      <w:bookmarkStart w:id="79" w:name="_Toc240792991"/>
      <w:bookmarkStart w:id="80" w:name="_Toc7637"/>
      <w:r>
        <w:t>地质灾害易发区</w:t>
      </w:r>
      <w:bookmarkEnd w:id="79"/>
      <w:bookmarkEnd w:id="80"/>
    </w:p>
    <w:p>
      <w:pPr>
        <w:pStyle w:val="3"/>
        <w:widowControl/>
        <w:shd w:val="clear"/>
        <w:spacing w:line="360" w:lineRule="auto"/>
        <w:ind w:firstLine="480"/>
        <w:rPr>
          <w:rFonts w:ascii="宋体" w:hAnsi="宋体" w:cs="宋体"/>
          <w:color w:val="0F1115"/>
        </w:rPr>
      </w:pPr>
      <w:r>
        <w:rPr>
          <w:rFonts w:hint="eastAsia" w:ascii="宋体" w:hAnsi="宋体" w:cs="宋体"/>
          <w:color w:val="0F1115"/>
        </w:rPr>
        <w:t>易发分区仅反映区域地层、岩性、地形、降雨等天然孕灾能力，不叠加人口、房屋等承灾要素，是风险分区和防治分区的底层基底。全域统一采用2000国家大地坐标系1:5万矢量底图，评价采用全省统一100m栅格信息量模型，七大评价因子权重、阈值全市不做调整。分区划分为高（Ⅰ）、中（Ⅱ）、低（Ⅲ）、非易发区（Ⅳ）四级，同步落实省级划定</w:t>
      </w:r>
      <w:r>
        <w:rPr>
          <w:rFonts w:hint="eastAsia" w:ascii="宋体" w:hAnsi="宋体" w:cs="宋体"/>
          <w:b/>
          <w:color w:val="0F1115"/>
        </w:rPr>
        <w:t>Ⅰ4豫西伏牛山、Ⅰ2黄河中游黄土丘陵</w:t>
      </w:r>
      <w:r>
        <w:rPr>
          <w:rFonts w:hint="eastAsia" w:ascii="宋体" w:hAnsi="宋体" w:cs="宋体"/>
          <w:color w:val="0F1115"/>
        </w:rPr>
        <w:t>两大高易发亚区。</w:t>
      </w:r>
    </w:p>
    <w:p>
      <w:pPr>
        <w:pStyle w:val="9"/>
        <w:widowControl/>
        <w:numPr>
          <w:ilvl w:val="0"/>
          <w:numId w:val="10"/>
        </w:numPr>
        <w:shd w:val="clear" w:color="auto"/>
        <w:spacing w:line="360" w:lineRule="auto"/>
        <w:rPr>
          <w:rFonts w:ascii="宋体" w:hAnsi="宋体" w:eastAsia="宋体" w:cs="宋体"/>
        </w:rPr>
      </w:pPr>
      <w:bookmarkStart w:id="81" w:name="_Toc681"/>
      <w:bookmarkStart w:id="82" w:name="_Toc25473"/>
      <w:bookmarkStart w:id="83" w:name="_Toc240792992"/>
      <w:r>
        <w:t>总体规模</w:t>
      </w:r>
      <w:bookmarkEnd w:id="81"/>
      <w:bookmarkEnd w:id="82"/>
      <w:bookmarkEnd w:id="83"/>
    </w:p>
    <w:p>
      <w:pPr>
        <w:pStyle w:val="3"/>
        <w:widowControl/>
        <w:shd w:val="clear"/>
        <w:spacing w:line="360" w:lineRule="auto"/>
        <w:ind w:firstLine="480"/>
        <w:rPr>
          <w:rFonts w:ascii="宋体" w:hAnsi="宋体" w:cs="宋体"/>
          <w:color w:val="0F1115"/>
        </w:rPr>
      </w:pPr>
      <w:r>
        <w:rPr>
          <w:rFonts w:hint="eastAsia" w:ascii="宋体" w:hAnsi="宋体" w:cs="宋体"/>
          <w:color w:val="0F1115"/>
        </w:rPr>
        <w:t>高易发区面积1904.54km²，占全市易发区面积的12.67%；中易发区面积4274.81km²，占28.45%。高与中易发区合计6179.35km²，占41.12%，全市约65%的在册隐患点、55%的风险斜坡集中分布于此。低易发区面积5927.89km²，占39.45%；非易发区面积2919.93km²，占19.43%，该区域灾害发育零散，多为人为开挖诱发的次生边坡灾害。</w:t>
      </w:r>
    </w:p>
    <w:p>
      <w:pPr>
        <w:pStyle w:val="3"/>
        <w:widowControl/>
        <w:shd w:val="clear"/>
        <w:spacing w:line="360" w:lineRule="auto"/>
        <w:ind w:firstLine="480"/>
        <w:rPr>
          <w:rFonts w:ascii="宋体" w:hAnsi="宋体" w:cs="宋体"/>
          <w:color w:val="0F1115"/>
        </w:rPr>
      </w:pPr>
      <w:r>
        <w:rPr>
          <w:rFonts w:hint="eastAsia" w:ascii="宋体" w:hAnsi="宋体" w:cs="宋体"/>
          <w:color w:val="0F1115"/>
        </w:rPr>
        <w:t>分区评价结果表明，全市天然孕灾条件整体偏复杂，高、中易发区合计占比逾四成，地质灾害防治工作始终面临较大压力。</w:t>
      </w:r>
    </w:p>
    <w:p>
      <w:pPr>
        <w:pStyle w:val="9"/>
        <w:widowControl/>
        <w:numPr>
          <w:ilvl w:val="0"/>
          <w:numId w:val="10"/>
        </w:numPr>
        <w:shd w:val="clear" w:color="auto"/>
        <w:spacing w:line="360" w:lineRule="auto"/>
        <w:rPr>
          <w:rFonts w:ascii="宋体" w:hAnsi="宋体" w:eastAsia="宋体" w:cs="宋体"/>
        </w:rPr>
      </w:pPr>
      <w:bookmarkStart w:id="84" w:name="_Toc240792993"/>
      <w:bookmarkStart w:id="85" w:name="_Toc1382"/>
      <w:bookmarkStart w:id="86" w:name="_Toc2667"/>
      <w:r>
        <w:t>Ⅰ4豫西伏牛山高易发亚区</w:t>
      </w:r>
      <w:bookmarkEnd w:id="84"/>
      <w:bookmarkEnd w:id="85"/>
      <w:bookmarkEnd w:id="86"/>
    </w:p>
    <w:p>
      <w:pPr>
        <w:pStyle w:val="3"/>
        <w:widowControl/>
        <w:shd w:val="clear"/>
        <w:spacing w:line="360" w:lineRule="auto"/>
        <w:ind w:firstLine="480"/>
        <w:rPr>
          <w:rFonts w:ascii="宋体" w:hAnsi="宋体" w:cs="宋体"/>
          <w:color w:val="0F1115"/>
        </w:rPr>
      </w:pPr>
      <w:r>
        <w:rPr>
          <w:rFonts w:hint="eastAsia" w:ascii="宋体" w:hAnsi="宋体" w:cs="宋体"/>
          <w:color w:val="0F1115"/>
        </w:rPr>
        <w:t>覆盖范围：栾川、嵩县、汝阳全域，洛宁下峪、故县、兴华、陈吴、涧口，宜阳上观、董王庄、花果山。</w:t>
      </w:r>
    </w:p>
    <w:p>
      <w:pPr>
        <w:pStyle w:val="3"/>
        <w:widowControl/>
        <w:shd w:val="clear"/>
        <w:spacing w:line="360" w:lineRule="auto"/>
        <w:ind w:firstLine="480"/>
        <w:rPr>
          <w:rFonts w:ascii="宋体" w:hAnsi="宋体" w:cs="宋体"/>
          <w:color w:val="0F1115"/>
        </w:rPr>
      </w:pPr>
      <w:r>
        <w:rPr>
          <w:rFonts w:hint="eastAsia" w:ascii="宋体" w:hAnsi="宋体" w:cs="宋体"/>
          <w:color w:val="0F1115"/>
        </w:rPr>
        <w:t>灾害类型：深层顺层滑坡、高陡岩质崩塌、暴雨型沟谷泥石流，沟道物源丰富，链式灾害突出。</w:t>
      </w:r>
    </w:p>
    <w:p>
      <w:pPr>
        <w:pStyle w:val="3"/>
        <w:widowControl/>
        <w:shd w:val="clear"/>
        <w:spacing w:line="360" w:lineRule="auto"/>
        <w:ind w:firstLine="480"/>
        <w:rPr>
          <w:rFonts w:ascii="宋体" w:hAnsi="宋体" w:cs="宋体"/>
          <w:color w:val="0F1115"/>
        </w:rPr>
      </w:pPr>
      <w:r>
        <w:rPr>
          <w:rFonts w:hint="eastAsia" w:ascii="宋体" w:hAnsi="宋体" w:cs="宋体"/>
          <w:color w:val="0F1115"/>
        </w:rPr>
        <w:t>底数匹配：高易发图斑内共有在册隐患点78处、风险斜坡28处。</w:t>
      </w:r>
    </w:p>
    <w:p>
      <w:pPr>
        <w:pStyle w:val="9"/>
        <w:widowControl/>
        <w:numPr>
          <w:ilvl w:val="0"/>
          <w:numId w:val="10"/>
        </w:numPr>
        <w:shd w:val="clear" w:color="auto"/>
        <w:spacing w:line="360" w:lineRule="auto"/>
        <w:rPr>
          <w:rFonts w:ascii="宋体" w:hAnsi="宋体" w:eastAsia="宋体" w:cs="宋体"/>
        </w:rPr>
      </w:pPr>
      <w:bookmarkStart w:id="87" w:name="_Toc31709"/>
      <w:bookmarkStart w:id="88" w:name="_Toc240792994"/>
      <w:bookmarkStart w:id="89" w:name="_Toc2159"/>
      <w:r>
        <w:t>Ⅰ2黄河中游黄土丘陵高易发亚区</w:t>
      </w:r>
      <w:bookmarkEnd w:id="87"/>
      <w:bookmarkEnd w:id="88"/>
      <w:bookmarkEnd w:id="89"/>
    </w:p>
    <w:p>
      <w:pPr>
        <w:pStyle w:val="3"/>
        <w:widowControl/>
        <w:shd w:val="clear"/>
        <w:spacing w:line="360" w:lineRule="auto"/>
        <w:ind w:firstLine="480"/>
        <w:rPr>
          <w:rFonts w:ascii="宋体" w:hAnsi="宋体" w:cs="宋体"/>
          <w:color w:val="0F1115"/>
        </w:rPr>
      </w:pPr>
      <w:r>
        <w:rPr>
          <w:rFonts w:hint="eastAsia" w:ascii="宋体" w:hAnsi="宋体" w:cs="宋体"/>
          <w:color w:val="0F1115"/>
        </w:rPr>
        <w:t>覆盖范围：新安全域，孟津白鹤、会盟、小浪底，偃师山化、邙岭、府店，伊川半坡、酒后，宜阳樊村、韩城、三乡、盐镇。</w:t>
      </w:r>
    </w:p>
    <w:p>
      <w:pPr>
        <w:pStyle w:val="3"/>
        <w:widowControl/>
        <w:shd w:val="clear"/>
        <w:spacing w:line="360" w:lineRule="auto"/>
        <w:ind w:firstLine="480"/>
        <w:rPr>
          <w:rFonts w:ascii="宋体" w:hAnsi="宋体" w:cs="宋体"/>
          <w:color w:val="0F1115"/>
        </w:rPr>
      </w:pPr>
      <w:r>
        <w:rPr>
          <w:rFonts w:hint="eastAsia" w:ascii="宋体" w:hAnsi="宋体" w:cs="宋体"/>
          <w:color w:val="0F1115"/>
        </w:rPr>
        <w:t>灾害类型：黄土浅层滑塌、窑洞崩塌、煤矿采空塌陷、小浪底库岸周期性蠕滑变形，水位涨落和采矿扰动双重加剧风险。</w:t>
      </w:r>
    </w:p>
    <w:p>
      <w:pPr>
        <w:pStyle w:val="3"/>
        <w:widowControl/>
        <w:shd w:val="clear"/>
        <w:spacing w:line="360" w:lineRule="auto"/>
        <w:ind w:firstLine="480"/>
        <w:rPr>
          <w:rFonts w:ascii="宋体" w:hAnsi="宋体" w:cs="宋体"/>
          <w:color w:val="0F1115"/>
        </w:rPr>
      </w:pPr>
      <w:r>
        <w:rPr>
          <w:rFonts w:hint="eastAsia" w:ascii="宋体" w:hAnsi="宋体" w:cs="宋体"/>
          <w:color w:val="0F1115"/>
        </w:rPr>
        <w:t>底数匹配：高易发图斑内共有在册隐患点21处、风险斜坡75处。</w:t>
      </w:r>
    </w:p>
    <w:p>
      <w:pPr>
        <w:pStyle w:val="9"/>
        <w:widowControl/>
        <w:numPr>
          <w:ilvl w:val="0"/>
          <w:numId w:val="10"/>
        </w:numPr>
        <w:shd w:val="clear" w:color="auto"/>
        <w:spacing w:line="360" w:lineRule="auto"/>
        <w:rPr>
          <w:rFonts w:ascii="宋体" w:hAnsi="宋体" w:eastAsia="宋体" w:cs="宋体"/>
        </w:rPr>
      </w:pPr>
      <w:bookmarkStart w:id="90" w:name="_Toc29608"/>
      <w:bookmarkStart w:id="91" w:name="_Toc16584"/>
      <w:bookmarkStart w:id="92" w:name="_Toc240792995"/>
      <w:r>
        <w:t>中低易发区</w:t>
      </w:r>
      <w:bookmarkEnd w:id="90"/>
      <w:bookmarkEnd w:id="91"/>
      <w:bookmarkEnd w:id="92"/>
    </w:p>
    <w:p>
      <w:pPr>
        <w:pStyle w:val="3"/>
        <w:widowControl/>
        <w:shd w:val="clear"/>
        <w:spacing w:line="360" w:lineRule="auto"/>
        <w:ind w:firstLine="480"/>
        <w:rPr>
          <w:rFonts w:ascii="宋体" w:hAnsi="宋体" w:cs="宋体"/>
          <w:color w:val="0F1115"/>
        </w:rPr>
      </w:pPr>
      <w:r>
        <w:rPr>
          <w:rFonts w:hint="eastAsia" w:ascii="宋体" w:hAnsi="宋体" w:cs="宋体"/>
          <w:color w:val="0F1115"/>
        </w:rPr>
        <w:t>低易发区主要分布于伊川、宜阳、洛宁等中部平缓河谷及丘陵乡镇，全市低易发图斑内在册隐患点114处、风险斜坡388处，隐患点受威胁5915人。该区域无新增自动化监测和大型固定资产治理工程，防控手段以每年多轮人工巡排查、基层宣教、村级演练为主，零星险情及时小型排危处置。</w:t>
      </w:r>
    </w:p>
    <w:p>
      <w:pPr>
        <w:pStyle w:val="9"/>
        <w:widowControl/>
        <w:numPr>
          <w:ilvl w:val="0"/>
          <w:numId w:val="10"/>
        </w:numPr>
        <w:shd w:val="clear" w:color="auto"/>
        <w:spacing w:line="360" w:lineRule="auto"/>
        <w:rPr>
          <w:rFonts w:ascii="宋体" w:hAnsi="宋体" w:eastAsia="宋体" w:cs="宋体"/>
        </w:rPr>
      </w:pPr>
      <w:bookmarkStart w:id="93" w:name="_Toc27092"/>
      <w:bookmarkStart w:id="94" w:name="_Toc27606"/>
      <w:bookmarkStart w:id="95" w:name="_Toc240792996"/>
      <w:r>
        <w:t>低非易发区</w:t>
      </w:r>
      <w:bookmarkEnd w:id="93"/>
      <w:bookmarkEnd w:id="94"/>
      <w:bookmarkEnd w:id="95"/>
    </w:p>
    <w:p>
      <w:pPr>
        <w:pStyle w:val="3"/>
        <w:widowControl/>
        <w:shd w:val="clear"/>
        <w:spacing w:line="360" w:lineRule="auto"/>
        <w:ind w:firstLine="480"/>
        <w:rPr>
          <w:rFonts w:ascii="宋体" w:hAnsi="宋体" w:cs="宋体"/>
          <w:color w:val="0F1115"/>
        </w:rPr>
      </w:pPr>
      <w:r>
        <w:rPr>
          <w:rFonts w:hint="eastAsia" w:ascii="宋体" w:hAnsi="宋体" w:cs="宋体"/>
          <w:color w:val="0F1115"/>
        </w:rPr>
        <w:t>涧西、西工、老城、瀍河城区及洛龙平原乡镇地质灾害极不发育，全市非易发图斑内仅在册隐患点2处、风险斜坡21处。原生地质风险低，管控重心放在基坑、道路、场地平整等人为临时边坡，常态化面向建设单位、群众开展防灾科普宣传。</w:t>
      </w:r>
    </w:p>
    <w:p>
      <w:pPr>
        <w:pStyle w:val="8"/>
        <w:widowControl/>
        <w:numPr>
          <w:ilvl w:val="0"/>
          <w:numId w:val="9"/>
        </w:numPr>
        <w:shd w:val="clear" w:color="auto"/>
        <w:spacing w:line="360" w:lineRule="auto"/>
        <w:rPr>
          <w:rFonts w:ascii="宋体" w:hAnsi="宋体" w:eastAsia="宋体" w:cs="宋体"/>
        </w:rPr>
      </w:pPr>
      <w:bookmarkStart w:id="96" w:name="_Toc29976"/>
      <w:bookmarkStart w:id="97" w:name="_Toc240792997"/>
      <w:r>
        <w:t>地质灾害风险区</w:t>
      </w:r>
      <w:bookmarkEnd w:id="96"/>
      <w:bookmarkEnd w:id="97"/>
    </w:p>
    <w:p>
      <w:pPr>
        <w:pStyle w:val="3"/>
        <w:widowControl/>
        <w:shd w:val="clear"/>
        <w:spacing w:line="360" w:lineRule="auto"/>
        <w:ind w:firstLine="480"/>
        <w:rPr>
          <w:rFonts w:ascii="宋体" w:hAnsi="宋体" w:cs="宋体"/>
          <w:color w:val="0F1115"/>
        </w:rPr>
      </w:pPr>
      <w:r>
        <w:rPr>
          <w:rFonts w:hint="eastAsia" w:ascii="宋体" w:hAnsi="宋体" w:cs="宋体"/>
          <w:color w:val="0F1115"/>
        </w:rPr>
        <w:t>在易发分区栅格成果基础上叠加居民点、学校、工矿、交通等承灾体，综合灾害发生概率和人员财产损失划分四级风险，分区成果依托附图二、附表三、附表四，是项目投放优先级的核心判定依据。</w:t>
      </w:r>
    </w:p>
    <w:p>
      <w:pPr>
        <w:pStyle w:val="3"/>
        <w:widowControl/>
        <w:shd w:val="clear"/>
        <w:spacing w:line="360" w:lineRule="auto"/>
        <w:ind w:firstLine="480"/>
        <w:rPr>
          <w:rFonts w:ascii="宋体" w:hAnsi="宋体" w:cs="宋体"/>
          <w:color w:val="0F1115"/>
        </w:rPr>
      </w:pPr>
      <w:r>
        <w:rPr>
          <w:rFonts w:hint="eastAsia" w:ascii="宋体" w:hAnsi="宋体" w:cs="宋体"/>
          <w:color w:val="0F1115"/>
        </w:rPr>
        <w:t>极高风险区面积232.21km²（占全域1.52%），高风险区面积706.94km²（占全域4.64%）。极高与高风险区合计939.15km²、约占国土面积6.16%，集中了全市主要的高风险隐患和风险斜坡。中风险区8581.72km²（占全域56.33%），低风险区3448.53km²（占全域22.63%）。</w:t>
      </w:r>
    </w:p>
    <w:p>
      <w:pPr>
        <w:pStyle w:val="9"/>
        <w:widowControl/>
        <w:numPr>
          <w:ilvl w:val="0"/>
          <w:numId w:val="11"/>
        </w:numPr>
        <w:shd w:val="clear" w:color="auto"/>
        <w:spacing w:line="360" w:lineRule="auto"/>
        <w:rPr>
          <w:rFonts w:ascii="宋体" w:hAnsi="宋体" w:eastAsia="宋体" w:cs="宋体"/>
        </w:rPr>
      </w:pPr>
      <w:bookmarkStart w:id="98" w:name="_Toc240792998"/>
      <w:bookmarkStart w:id="99" w:name="_Toc29902"/>
      <w:bookmarkStart w:id="100" w:name="_Toc2560"/>
      <w:r>
        <w:t>极高风险区</w:t>
      </w:r>
      <w:bookmarkEnd w:id="98"/>
      <w:bookmarkEnd w:id="99"/>
      <w:bookmarkEnd w:id="100"/>
    </w:p>
    <w:p>
      <w:pPr>
        <w:pStyle w:val="3"/>
        <w:widowControl/>
        <w:shd w:val="clear"/>
        <w:spacing w:line="360" w:lineRule="auto"/>
        <w:ind w:firstLine="480"/>
        <w:rPr>
          <w:rFonts w:ascii="宋体" w:hAnsi="宋体" w:cs="宋体"/>
          <w:color w:val="0F1115"/>
        </w:rPr>
      </w:pPr>
      <w:r>
        <w:rPr>
          <w:rFonts w:hint="eastAsia" w:ascii="宋体" w:hAnsi="宋体" w:cs="宋体"/>
          <w:color w:val="0F1115"/>
        </w:rPr>
        <w:t>主要分布在新安县北冶、石井矿区，偃师区山化窑洞聚集村落，孟津区沿黄集镇，栾川、嵩县深山聚居片区。区内共有隐患点29处、风险斜坡295处，受威胁人口约3.38万人（隐患点1685人、风险斜坡32119人）。省级刚性治理、优先搬迁、新增5处监测站点全部布局于该片区，2026—2027优先开工。实行“一点一策”专项台账，汛期驻点盯防、加密巡查。</w:t>
      </w:r>
    </w:p>
    <w:p>
      <w:pPr>
        <w:pStyle w:val="9"/>
        <w:widowControl/>
        <w:numPr>
          <w:ilvl w:val="0"/>
          <w:numId w:val="11"/>
        </w:numPr>
        <w:shd w:val="clear" w:color="auto"/>
        <w:spacing w:line="360" w:lineRule="auto"/>
        <w:rPr>
          <w:rFonts w:ascii="宋体" w:hAnsi="宋体" w:eastAsia="宋体" w:cs="宋体"/>
        </w:rPr>
      </w:pPr>
      <w:bookmarkStart w:id="101" w:name="_Toc2400"/>
      <w:bookmarkStart w:id="102" w:name="_Toc3521"/>
      <w:bookmarkStart w:id="103" w:name="_Toc240792999"/>
      <w:r>
        <w:t>高风险区</w:t>
      </w:r>
      <w:bookmarkEnd w:id="101"/>
      <w:bookmarkEnd w:id="102"/>
      <w:bookmarkEnd w:id="103"/>
    </w:p>
    <w:p>
      <w:pPr>
        <w:pStyle w:val="3"/>
        <w:widowControl/>
        <w:shd w:val="clear"/>
        <w:spacing w:line="360" w:lineRule="auto"/>
        <w:ind w:firstLine="480"/>
        <w:rPr>
          <w:rFonts w:ascii="宋体" w:hAnsi="宋体" w:cs="宋体"/>
          <w:color w:val="0F1115"/>
        </w:rPr>
      </w:pPr>
      <w:r>
        <w:rPr>
          <w:rFonts w:hint="eastAsia" w:ascii="宋体" w:hAnsi="宋体" w:cs="宋体"/>
          <w:color w:val="0F1115"/>
        </w:rPr>
        <w:t>主要分布于洛龙、伊川等城郊人口聚居区及洛宁、宜阳、嵩县南部山区集镇，区内共有隐患点64处、风险斜坡332处，受威胁人口约8.20万人（隐患点4003人、风险斜坡77989人）。全部纳入市级滚动项目库，按财政承受能力分年度排序，2028—2029分批实施监测、治理、搬迁工程。</w:t>
      </w:r>
    </w:p>
    <w:p>
      <w:pPr>
        <w:pStyle w:val="9"/>
        <w:widowControl/>
        <w:numPr>
          <w:ilvl w:val="0"/>
          <w:numId w:val="11"/>
        </w:numPr>
        <w:shd w:val="clear" w:color="auto"/>
        <w:spacing w:line="360" w:lineRule="auto"/>
        <w:rPr>
          <w:rFonts w:ascii="宋体" w:hAnsi="宋体" w:eastAsia="宋体" w:cs="宋体"/>
        </w:rPr>
      </w:pPr>
      <w:bookmarkStart w:id="104" w:name="_Toc240793000"/>
      <w:bookmarkStart w:id="105" w:name="_Toc31489"/>
      <w:bookmarkStart w:id="106" w:name="_Toc27242"/>
      <w:r>
        <w:t>中、低风险区</w:t>
      </w:r>
      <w:bookmarkEnd w:id="104"/>
      <w:bookmarkEnd w:id="105"/>
      <w:bookmarkEnd w:id="106"/>
    </w:p>
    <w:p>
      <w:pPr>
        <w:pStyle w:val="3"/>
        <w:widowControl/>
        <w:shd w:val="clear"/>
        <w:spacing w:line="360" w:lineRule="auto"/>
        <w:ind w:firstLine="480"/>
        <w:rPr>
          <w:rFonts w:ascii="宋体" w:hAnsi="宋体" w:cs="宋体"/>
          <w:color w:val="0F1115"/>
        </w:rPr>
      </w:pPr>
      <w:r>
        <w:rPr>
          <w:rFonts w:hint="eastAsia" w:ascii="宋体" w:hAnsi="宋体" w:cs="宋体"/>
          <w:color w:val="0F1115"/>
        </w:rPr>
        <w:t>中风险区每月至少一轮全域人工巡查，紧盯农村切坡、矿山、道路施工新生隐患。低风险区不开展专项地质灾害巡排查，严格执行建设项目地质灾害危险性前置评估，从源头压减人为诱发风险。</w:t>
      </w:r>
    </w:p>
    <w:p>
      <w:pPr>
        <w:pStyle w:val="8"/>
        <w:widowControl/>
        <w:numPr>
          <w:ilvl w:val="0"/>
          <w:numId w:val="9"/>
        </w:numPr>
        <w:shd w:val="clear" w:color="auto"/>
        <w:spacing w:line="360" w:lineRule="auto"/>
        <w:rPr>
          <w:rFonts w:ascii="宋体" w:hAnsi="宋体" w:eastAsia="宋体" w:cs="宋体"/>
        </w:rPr>
      </w:pPr>
      <w:bookmarkStart w:id="107" w:name="_Toc240793001"/>
      <w:bookmarkStart w:id="108" w:name="_Toc7551"/>
      <w:r>
        <w:t>地质灾害防治区</w:t>
      </w:r>
      <w:bookmarkEnd w:id="107"/>
      <w:bookmarkEnd w:id="108"/>
    </w:p>
    <w:p>
      <w:pPr>
        <w:pStyle w:val="3"/>
        <w:widowControl/>
        <w:shd w:val="clear"/>
        <w:spacing w:line="360" w:lineRule="auto"/>
        <w:ind w:firstLine="480"/>
        <w:rPr>
          <w:rFonts w:ascii="宋体" w:hAnsi="宋体" w:cs="宋体"/>
          <w:color w:val="0F1115"/>
        </w:rPr>
      </w:pPr>
      <w:r>
        <w:rPr>
          <w:rFonts w:hint="eastAsia" w:ascii="宋体" w:hAnsi="宋体" w:cs="宋体"/>
          <w:color w:val="0F1115"/>
        </w:rPr>
        <w:t>综合易发程度、风险等级、灾害类型、城乡布局，划分为重点防治区（Z）、次重点防治区（C）、一般防治区（Y）三类。以乡镇行政单元为评价单元，综合各乡镇最高易发等级与在册隐患点、风险斜坡数量及受威胁人口规模划定：高易发乡镇且（隐患点≥3处或风险斜坡≥8处或受威胁人数≥500人）划为重点防治区，其余高易发乡镇及中易发乡镇划为次重点防治区，低易发、非易发乡镇划为一般防治区，地理亚区沿用易发分区亚区名称。重点防治区图斑面积1904.54km²，成果依托附图三、附表五、附表六，最终以省级下发的防治分区图校核为准。</w:t>
      </w:r>
    </w:p>
    <w:p>
      <w:pPr>
        <w:pStyle w:val="3"/>
        <w:widowControl/>
        <w:shd w:val="clear"/>
        <w:spacing w:line="360" w:lineRule="auto"/>
        <w:ind w:firstLine="480"/>
        <w:rPr>
          <w:rFonts w:ascii="宋体" w:hAnsi="宋体" w:cs="宋体"/>
          <w:color w:val="0F1115"/>
        </w:rPr>
      </w:pPr>
      <w:r>
        <w:rPr>
          <w:rFonts w:hint="eastAsia" w:ascii="宋体" w:hAnsi="宋体" w:cs="宋体"/>
          <w:color w:val="0F1115"/>
        </w:rPr>
        <w:t>防治分区与易发分区、风险分区的逻辑关系为：以自然地质本底划定易发分区，叠加承灾体形成风险分区，再结合灾害类型与城乡布局最终确定防治分区。重点防治区（Z）以高易发区为主体，叠加人口密集区、学校医院、重要基础设施等承灾体，是工程治理、避险搬迁和自动化监测的核心投放区域。次重点防治区（C）以中易发区为主体，以群测群防和排危除险为主要手段。一般防治区（Y）以低易发区和非易发区为主体，以源头管控和科普宣传为重点。</w:t>
      </w:r>
    </w:p>
    <w:p>
      <w:pPr>
        <w:pStyle w:val="9"/>
        <w:widowControl/>
        <w:numPr>
          <w:ilvl w:val="0"/>
          <w:numId w:val="12"/>
        </w:numPr>
        <w:shd w:val="clear" w:color="auto"/>
        <w:spacing w:line="360" w:lineRule="auto"/>
        <w:rPr>
          <w:rFonts w:ascii="宋体" w:hAnsi="宋体" w:eastAsia="宋体" w:cs="宋体"/>
        </w:rPr>
      </w:pPr>
      <w:bookmarkStart w:id="109" w:name="_Toc240793002"/>
      <w:bookmarkStart w:id="110" w:name="_Toc26260"/>
      <w:bookmarkStart w:id="111" w:name="_Toc31327"/>
      <w:r>
        <w:t>黄河黄土丘陵重点片区（对应Ⅰ2亚区）</w:t>
      </w:r>
      <w:bookmarkEnd w:id="109"/>
      <w:bookmarkEnd w:id="110"/>
      <w:bookmarkEnd w:id="111"/>
    </w:p>
    <w:p>
      <w:pPr>
        <w:pStyle w:val="3"/>
        <w:widowControl/>
        <w:shd w:val="clear"/>
        <w:spacing w:line="360" w:lineRule="auto"/>
        <w:ind w:firstLine="480"/>
        <w:rPr>
          <w:rFonts w:ascii="宋体" w:hAnsi="宋体" w:cs="宋体"/>
          <w:color w:val="0F1115"/>
        </w:rPr>
      </w:pPr>
      <w:r>
        <w:rPr>
          <w:rFonts w:hint="eastAsia" w:ascii="宋体" w:hAnsi="宋体" w:cs="宋体"/>
          <w:color w:val="0F1115"/>
        </w:rPr>
        <w:t>范围、隐患底数同Ⅰ2黄河中游黄土丘陵高易发亚区。2026—2027攻坚落地相关乡镇（具体乡镇清单详见附表六、附表八）精细调查、存量监测改造、省级治理和避险场地建设。治理采用锚索格构、采空充填、库岸护坡工艺。固定5月、10月开展库岸全线徒步排查。</w:t>
      </w:r>
    </w:p>
    <w:p>
      <w:pPr>
        <w:pStyle w:val="9"/>
        <w:widowControl/>
        <w:numPr>
          <w:ilvl w:val="0"/>
          <w:numId w:val="12"/>
        </w:numPr>
        <w:shd w:val="clear" w:color="auto"/>
        <w:spacing w:line="360" w:lineRule="auto"/>
        <w:rPr>
          <w:rFonts w:ascii="宋体" w:hAnsi="宋体" w:eastAsia="宋体" w:cs="宋体"/>
        </w:rPr>
      </w:pPr>
      <w:bookmarkStart w:id="112" w:name="_Toc240793003"/>
      <w:bookmarkStart w:id="113" w:name="_Toc24931"/>
      <w:bookmarkStart w:id="114" w:name="_Toc30093"/>
      <w:r>
        <w:t>豫西伏牛山重点片区（对应Ⅰ4亚区）</w:t>
      </w:r>
      <w:bookmarkEnd w:id="112"/>
      <w:bookmarkEnd w:id="113"/>
      <w:bookmarkEnd w:id="114"/>
    </w:p>
    <w:p>
      <w:pPr>
        <w:pStyle w:val="3"/>
        <w:widowControl/>
        <w:shd w:val="clear"/>
        <w:spacing w:line="360" w:lineRule="auto"/>
        <w:ind w:firstLine="480"/>
        <w:rPr>
          <w:rFonts w:ascii="宋体" w:hAnsi="宋体" w:cs="宋体"/>
          <w:color w:val="0F1115"/>
        </w:rPr>
      </w:pPr>
      <w:r>
        <w:rPr>
          <w:rFonts w:hint="eastAsia" w:ascii="宋体" w:hAnsi="宋体" w:cs="宋体"/>
          <w:color w:val="0F1115"/>
        </w:rPr>
        <w:t>范围、隐患底数同Ⅰ4豫西伏牛山高易发亚区。2028—2029实施相关乡镇（具体乡镇清单详见附表六、附表八）精细化调查、省级项目储备库自动化监测站点6处（栾川县）和市级新增1处（嵩县）、伏牛山区隐患重点治理27处，配套布局标准化避险场地。汛前清理沟道物源，行政村每年开展2次转移演练，严控山区切坡建房。</w:t>
      </w:r>
    </w:p>
    <w:p>
      <w:pPr>
        <w:pStyle w:val="9"/>
        <w:widowControl/>
        <w:numPr>
          <w:ilvl w:val="0"/>
          <w:numId w:val="12"/>
        </w:numPr>
        <w:shd w:val="clear" w:color="auto"/>
        <w:spacing w:line="360" w:lineRule="auto"/>
        <w:rPr>
          <w:rFonts w:ascii="宋体" w:hAnsi="宋体" w:eastAsia="宋体" w:cs="宋体"/>
        </w:rPr>
      </w:pPr>
      <w:bookmarkStart w:id="115" w:name="_Toc240793004"/>
      <w:bookmarkStart w:id="116" w:name="_Toc4962"/>
      <w:bookmarkStart w:id="117" w:name="_Toc5737"/>
      <w:r>
        <w:t>C次重点防治区</w:t>
      </w:r>
      <w:bookmarkEnd w:id="115"/>
      <w:bookmarkEnd w:id="116"/>
      <w:bookmarkEnd w:id="117"/>
    </w:p>
    <w:p>
      <w:pPr>
        <w:pStyle w:val="3"/>
        <w:widowControl/>
        <w:shd w:val="clear"/>
        <w:spacing w:line="360" w:lineRule="auto"/>
        <w:ind w:firstLine="480"/>
        <w:rPr>
          <w:rFonts w:ascii="宋体" w:hAnsi="宋体" w:cs="宋体"/>
          <w:color w:val="0F1115"/>
        </w:rPr>
      </w:pPr>
      <w:r>
        <w:rPr>
          <w:rFonts w:hint="eastAsia" w:ascii="宋体" w:hAnsi="宋体" w:cs="宋体"/>
          <w:color w:val="0F1115"/>
        </w:rPr>
        <w:t>中部河谷丘陵乡镇，无大型新建工程。建立常态化排危机制，五年动态处置约160处零星边坡险情，全覆盖村级演练与基层防灾培训。</w:t>
      </w:r>
    </w:p>
    <w:p>
      <w:pPr>
        <w:pStyle w:val="9"/>
        <w:widowControl/>
        <w:numPr>
          <w:ilvl w:val="0"/>
          <w:numId w:val="12"/>
        </w:numPr>
        <w:shd w:val="clear" w:color="auto"/>
        <w:spacing w:line="360" w:lineRule="auto"/>
        <w:rPr>
          <w:rFonts w:ascii="宋体" w:hAnsi="宋体" w:eastAsia="宋体" w:cs="宋体"/>
        </w:rPr>
      </w:pPr>
      <w:bookmarkStart w:id="118" w:name="_Toc25905"/>
      <w:bookmarkStart w:id="119" w:name="_Toc240793005"/>
      <w:bookmarkStart w:id="120" w:name="_Toc2675"/>
      <w:r>
        <w:t>Y一般防治区</w:t>
      </w:r>
      <w:bookmarkEnd w:id="118"/>
      <w:bookmarkEnd w:id="119"/>
      <w:bookmarkEnd w:id="120"/>
    </w:p>
    <w:p>
      <w:pPr>
        <w:pStyle w:val="3"/>
        <w:widowControl/>
        <w:shd w:val="clear"/>
        <w:spacing w:line="360" w:lineRule="auto"/>
        <w:ind w:firstLine="480"/>
        <w:rPr>
          <w:rFonts w:ascii="宋体" w:hAnsi="宋体" w:cs="宋体"/>
          <w:color w:val="0F1115"/>
        </w:rPr>
      </w:pPr>
      <w:r>
        <w:rPr>
          <w:rFonts w:hint="eastAsia" w:ascii="宋体" w:hAnsi="宋体" w:cs="宋体"/>
          <w:color w:val="0F1115"/>
        </w:rPr>
        <w:t>平原城市片区，不规划专项防灾工程。管控核心为建设项目前置地质灾害危险性评估，规范基坑、道路边坡开挖活动。</w:t>
      </w:r>
    </w:p>
    <w:p>
      <w:pPr>
        <w:pStyle w:val="3"/>
        <w:widowControl/>
        <w:shd w:val="clear"/>
        <w:spacing w:line="360" w:lineRule="auto"/>
        <w:ind w:firstLine="480"/>
        <w:rPr>
          <w:rFonts w:ascii="宋体" w:hAnsi="宋体" w:cs="宋体"/>
          <w:color w:val="0F1115"/>
        </w:rPr>
      </w:pPr>
      <w:r>
        <w:rPr>
          <w:rFonts w:hint="eastAsia" w:ascii="宋体" w:hAnsi="宋体" w:cs="宋体"/>
          <w:color w:val="0F1115"/>
        </w:rPr>
        <w:t>全市防治分区量化数据（按图斑落界）：重点防治区（Z）图斑面积1904.54km2，占全市易发区面积12.67%，区内隐患点受威胁3419人，有风险斜坡103处、潜在威胁14458人；次重点防治区（C）图斑面积4274.81km²，占28.45%，隐患点受威胁5355人，有风险斜坡405处、潜在威胁20893人；一般防治区（Y）图斑面积8847.82km²，占58.88%，隐患点受威胁5943人，有风险斜坡409处、潜在威胁127760人。按乡镇综合判定归属，全市151个乡镇（街道）中重点防治乡镇65个、次重点防治乡镇66个、一般防治乡镇20个。需要说明的是，风险斜坡潜在威胁人口为户籍在册人口，大量分布于低山丘陵与城郊人居密集的一般防治区，而高易发的中高山陡坡区常住人口稀少，因此一般防治区潜在威胁人口总量较大；65个重点防治乡镇整体纳入重点管控，落实调查、监测、综合治理措施。</w:t>
      </w:r>
    </w:p>
    <w:p>
      <w:pPr>
        <w:pStyle w:val="8"/>
        <w:widowControl/>
        <w:numPr>
          <w:ilvl w:val="0"/>
          <w:numId w:val="9"/>
        </w:numPr>
        <w:shd w:val="clear" w:color="auto"/>
        <w:spacing w:line="360" w:lineRule="auto"/>
        <w:rPr>
          <w:rFonts w:ascii="宋体" w:hAnsi="宋体" w:eastAsia="宋体" w:cs="宋体"/>
        </w:rPr>
      </w:pPr>
      <w:bookmarkStart w:id="121" w:name="_Toc21687"/>
      <w:bookmarkStart w:id="122" w:name="_Toc240793006"/>
      <w:r>
        <w:t>重点片区差异化管控</w:t>
      </w:r>
      <w:bookmarkEnd w:id="121"/>
      <w:bookmarkEnd w:id="122"/>
    </w:p>
    <w:p>
      <w:pPr>
        <w:pStyle w:val="9"/>
        <w:widowControl/>
        <w:numPr>
          <w:ilvl w:val="0"/>
          <w:numId w:val="13"/>
        </w:numPr>
        <w:shd w:val="clear" w:color="auto"/>
        <w:spacing w:line="360" w:lineRule="auto"/>
        <w:rPr>
          <w:rFonts w:ascii="宋体" w:hAnsi="宋体" w:eastAsia="宋体" w:cs="宋体"/>
        </w:rPr>
      </w:pPr>
      <w:bookmarkStart w:id="123" w:name="_Toc25273"/>
      <w:bookmarkStart w:id="124" w:name="_Toc3398"/>
      <w:bookmarkStart w:id="125" w:name="_Toc240793007"/>
      <w:r>
        <w:t>伏牛山重点片区</w:t>
      </w:r>
      <w:bookmarkEnd w:id="123"/>
      <w:bookmarkEnd w:id="124"/>
      <w:bookmarkEnd w:id="125"/>
    </w:p>
    <w:p>
      <w:pPr>
        <w:pStyle w:val="3"/>
        <w:widowControl/>
        <w:shd w:val="clear"/>
        <w:spacing w:line="360" w:lineRule="auto"/>
        <w:ind w:firstLine="480"/>
        <w:rPr>
          <w:rFonts w:ascii="宋体" w:hAnsi="宋体" w:cs="宋体"/>
          <w:color w:val="0F1115"/>
        </w:rPr>
      </w:pPr>
      <w:r>
        <w:rPr>
          <w:rFonts w:hint="eastAsia" w:ascii="宋体" w:hAnsi="宋体" w:cs="宋体"/>
          <w:color w:val="0F1115"/>
        </w:rPr>
        <w:t>覆盖栾川、嵩县、汝阳全部山区乡镇，滑坡、泥石流风险突出。配套相关乡镇精细调查、省级项目储备库监测站点6处（栾川县）和市级新增1处（嵩县）、伏牛山区重点治理27处，配套标准化避险场地。汛前开展沟道物源排查，严厉管控山区无序切坡建房行为。</w:t>
      </w:r>
    </w:p>
    <w:p>
      <w:pPr>
        <w:pStyle w:val="9"/>
        <w:widowControl/>
        <w:numPr>
          <w:ilvl w:val="0"/>
          <w:numId w:val="13"/>
        </w:numPr>
        <w:shd w:val="clear" w:color="auto"/>
        <w:spacing w:line="360" w:lineRule="auto"/>
        <w:rPr>
          <w:rFonts w:ascii="宋体" w:hAnsi="宋体" w:eastAsia="宋体" w:cs="宋体"/>
        </w:rPr>
      </w:pPr>
      <w:bookmarkStart w:id="126" w:name="_Toc4709"/>
      <w:bookmarkStart w:id="127" w:name="_Toc31264"/>
      <w:bookmarkStart w:id="128" w:name="_Toc240793008"/>
      <w:r>
        <w:t>黄土矿区窑洞重点片区</w:t>
      </w:r>
      <w:bookmarkEnd w:id="126"/>
      <w:bookmarkEnd w:id="127"/>
      <w:bookmarkEnd w:id="128"/>
    </w:p>
    <w:p>
      <w:pPr>
        <w:pStyle w:val="3"/>
        <w:widowControl/>
        <w:shd w:val="clear"/>
        <w:spacing w:line="360" w:lineRule="auto"/>
        <w:ind w:firstLine="480"/>
        <w:rPr>
          <w:rFonts w:ascii="宋体" w:hAnsi="宋体" w:cs="宋体"/>
          <w:color w:val="0F1115"/>
        </w:rPr>
      </w:pPr>
      <w:r>
        <w:rPr>
          <w:rFonts w:hint="eastAsia" w:ascii="宋体" w:hAnsi="宋体" w:cs="宋体"/>
          <w:color w:val="0F1115"/>
        </w:rPr>
        <w:t>覆盖新安全域及沿黄乡镇，黄土滑塌、采空塌陷多发。2026—2027优先推进矿区、窑洞高危隐患点治理。矿区每年开展采空区变形专项探测，动态圈定危险范围，严控危险区新建住宅、学校等人员密集建筑。</w:t>
      </w:r>
    </w:p>
    <w:p>
      <w:pPr>
        <w:pStyle w:val="9"/>
        <w:widowControl/>
        <w:numPr>
          <w:ilvl w:val="0"/>
          <w:numId w:val="13"/>
        </w:numPr>
        <w:shd w:val="clear" w:color="auto"/>
        <w:spacing w:line="360" w:lineRule="auto"/>
        <w:rPr>
          <w:rFonts w:ascii="宋体" w:hAnsi="宋体" w:eastAsia="宋体" w:cs="宋体"/>
        </w:rPr>
      </w:pPr>
      <w:bookmarkStart w:id="129" w:name="_Toc6723"/>
      <w:bookmarkStart w:id="130" w:name="_Toc26622"/>
      <w:bookmarkStart w:id="131" w:name="_Toc240793009"/>
      <w:r>
        <w:t>小浪底库岸专属管控带</w:t>
      </w:r>
      <w:bookmarkEnd w:id="129"/>
      <w:bookmarkEnd w:id="130"/>
      <w:bookmarkEnd w:id="131"/>
    </w:p>
    <w:p>
      <w:pPr>
        <w:pStyle w:val="3"/>
        <w:widowControl/>
        <w:shd w:val="clear"/>
        <w:spacing w:line="360" w:lineRule="auto"/>
        <w:ind w:firstLine="480"/>
        <w:rPr>
          <w:rFonts w:ascii="宋体" w:hAnsi="宋体" w:cs="宋体"/>
          <w:color w:val="0F1115"/>
        </w:rPr>
      </w:pPr>
      <w:r>
        <w:rPr>
          <w:rFonts w:hint="eastAsia" w:ascii="宋体" w:hAnsi="宋体" w:cs="宋体"/>
          <w:color w:val="0F1115"/>
        </w:rPr>
        <w:t>隶属黄河黄土丘陵重点片区，孟津、偃师沿黄村组，水位升降诱发岸坡蠕滑。依托存量库岸监测点位开展常态化观测，每年5月、10月全线徒步排查。配套独立集中避险场地与临水专项应急物资，完善水位变动期群众转移预案。</w:t>
      </w:r>
    </w:p>
    <w:p>
      <w:pPr>
        <w:shd w:val="clear"/>
        <w:spacing w:line="360" w:lineRule="auto"/>
        <w:rPr>
          <w:rFonts w:ascii="宋体" w:hAnsi="宋体" w:eastAsia="宋体" w:cs="宋体"/>
        </w:rPr>
      </w:pPr>
      <w:r>
        <w:rPr>
          <w:rFonts w:hint="eastAsia" w:ascii="宋体" w:hAnsi="宋体" w:eastAsia="宋体" w:cs="宋体"/>
        </w:rPr>
        <w:br w:type="page"/>
      </w:r>
    </w:p>
    <w:p>
      <w:pPr>
        <w:pStyle w:val="7"/>
        <w:widowControl/>
        <w:shd w:val="clear" w:color="auto"/>
        <w:spacing w:line="360" w:lineRule="auto"/>
        <w:rPr>
          <w:rFonts w:ascii="宋体" w:hAnsi="宋体" w:eastAsia="宋体" w:cs="宋体"/>
        </w:rPr>
      </w:pPr>
      <w:bookmarkStart w:id="132" w:name="_Toc240793010"/>
      <w:bookmarkStart w:id="133" w:name="_Toc9288"/>
      <w:r>
        <w:rPr>
          <w:rFonts w:hint="eastAsia" w:ascii="宋体" w:hAnsi="宋体" w:eastAsia="宋体" w:cs="宋体"/>
        </w:rPr>
        <w:t>四、</w:t>
      </w:r>
      <w:r>
        <w:t>地质灾害综合防治工程</w:t>
      </w:r>
      <w:bookmarkEnd w:id="132"/>
      <w:bookmarkEnd w:id="133"/>
    </w:p>
    <w:p>
      <w:pPr>
        <w:pStyle w:val="3"/>
        <w:widowControl/>
        <w:shd w:val="clear"/>
        <w:spacing w:line="360" w:lineRule="auto"/>
        <w:ind w:firstLine="480"/>
        <w:rPr>
          <w:rFonts w:ascii="宋体" w:hAnsi="宋体" w:cs="宋体"/>
          <w:color w:val="0F1115"/>
        </w:rPr>
      </w:pPr>
      <w:r>
        <w:rPr>
          <w:rFonts w:hint="eastAsia" w:ascii="宋体" w:hAnsi="宋体" w:cs="宋体"/>
          <w:color w:val="0F1115"/>
        </w:rPr>
        <w:t>本章对标《河南省地质灾害防治“十五五”规划》部署的六大综合防治工程，结合洛阳实际逐项分解落实。省级规划的治理工程和排危除险条目为省级直接组织实施的项目数量，本规划列出的工程量包含省级项目及市县级配套实施项目，两者是不同层级，数据口径不同。</w:t>
      </w:r>
    </w:p>
    <w:p>
      <w:pPr>
        <w:pStyle w:val="3"/>
        <w:shd w:val="clear"/>
        <w:ind w:firstLine="480"/>
      </w:pPr>
      <w:r>
        <w:rPr>
          <w:rFonts w:hint="eastAsia" w:ascii="宋体" w:hAnsi="宋体" w:cs="宋体"/>
          <w:color w:val="0F1115"/>
        </w:rPr>
        <w:t>本规划综合治理工程包括工程治理、排危除险、避险搬迁三类，与省级规划口径一致。工程治理，是指对威胁城镇、村庄、学校等人员密集区且难以实施避险搬迁、以及威胁重大基础设施的隐患点，采取削坡减载、锚固格构、拦挡支挡、排水等永久性工程措施消除隐患；其中，经风险调查判定为极高、高风险，威胁人员密集区或重大基础设施、纳入中央和省级项目储备库优先实施的重大隐患，称为重点隐患治理，是工程治理中优先级最高的部分。排危除险，是指对风险高、险情紧迫、治理措施相对简单的隐患点，采取投入少、工期短、见效快的简易工程措施及时消险。避险搬迁，是指对威胁人员安全、治理难度大、工程治理费效比不高的隐患点，结合生态移民、乡村振兴和全域土地综合整治等政策实施搬迁避让。本规划设置约束性、预期性两类指标（详见附表十一）：约束性指标为规划期必须完成的硬性任务，预期性指标为倡导引导实现的发展目标。各项治理、搬迁、监测工程的分县、分乡镇项目清单纳入市级地质灾害防治项目库，结合省级项目储备库下达节奏和市县财政承受能力分年度动态安排、滚动实施，本规划明确工程总量与布局方向，具体点位以年度项目下达清单为准。</w:t>
      </w:r>
    </w:p>
    <w:p>
      <w:pPr>
        <w:pStyle w:val="8"/>
        <w:widowControl/>
        <w:numPr>
          <w:ilvl w:val="0"/>
          <w:numId w:val="14"/>
        </w:numPr>
        <w:shd w:val="clear" w:color="auto"/>
        <w:spacing w:line="360" w:lineRule="auto"/>
        <w:rPr>
          <w:rFonts w:ascii="宋体" w:hAnsi="宋体" w:eastAsia="宋体" w:cs="宋体"/>
        </w:rPr>
      </w:pPr>
      <w:bookmarkStart w:id="134" w:name="_Toc14168"/>
      <w:bookmarkStart w:id="135" w:name="_Toc240793011"/>
      <w:r>
        <w:t>调查评价</w:t>
      </w:r>
      <w:bookmarkEnd w:id="134"/>
      <w:bookmarkEnd w:id="135"/>
    </w:p>
    <w:p>
      <w:pPr>
        <w:pStyle w:val="9"/>
        <w:widowControl/>
        <w:numPr>
          <w:ilvl w:val="0"/>
          <w:numId w:val="15"/>
        </w:numPr>
        <w:shd w:val="clear" w:color="auto"/>
        <w:spacing w:line="360" w:lineRule="auto"/>
        <w:rPr>
          <w:rFonts w:ascii="宋体" w:hAnsi="宋体" w:eastAsia="宋体" w:cs="宋体"/>
        </w:rPr>
      </w:pPr>
      <w:bookmarkStart w:id="136" w:name="_Toc240793012"/>
      <w:bookmarkStart w:id="137" w:name="_Toc26831"/>
      <w:bookmarkStart w:id="138" w:name="_Toc14864"/>
      <w:r>
        <w:t>汛期“三查”</w:t>
      </w:r>
      <w:bookmarkEnd w:id="136"/>
      <w:bookmarkEnd w:id="137"/>
      <w:bookmarkEnd w:id="138"/>
    </w:p>
    <w:p>
      <w:pPr>
        <w:pStyle w:val="3"/>
        <w:widowControl/>
        <w:shd w:val="clear"/>
        <w:spacing w:line="360" w:lineRule="auto"/>
        <w:ind w:firstLine="480"/>
        <w:rPr>
          <w:rFonts w:ascii="宋体" w:hAnsi="宋体" w:cs="宋体"/>
          <w:color w:val="0F1115"/>
        </w:rPr>
      </w:pPr>
      <w:r>
        <w:rPr>
          <w:rFonts w:hint="eastAsia" w:ascii="宋体" w:hAnsi="宋体" w:cs="宋体"/>
          <w:color w:val="0F1115"/>
        </w:rPr>
        <w:t>严格落实汛期地质灾害“三查”制度，依托驻守专业队伍和基层防灾人员，持续开展汛前排查、汛中巡查和汛后复查，加强连续降雨期隐患排查，不留盲区、不漏隐患，实现重点隐患点和风险区动态更新。推进学校、医院、养老院、集市、在建工地等人员聚集区和重点场所地质灾害风险专项排查。</w:t>
      </w:r>
    </w:p>
    <w:p>
      <w:pPr>
        <w:pStyle w:val="9"/>
        <w:widowControl/>
        <w:numPr>
          <w:ilvl w:val="0"/>
          <w:numId w:val="15"/>
        </w:numPr>
        <w:shd w:val="clear" w:color="auto"/>
        <w:spacing w:line="360" w:lineRule="auto"/>
        <w:rPr>
          <w:rFonts w:ascii="宋体" w:hAnsi="宋体" w:eastAsia="宋体" w:cs="宋体"/>
        </w:rPr>
      </w:pPr>
      <w:bookmarkStart w:id="139" w:name="_Toc32297"/>
      <w:bookmarkStart w:id="140" w:name="_Toc240793013"/>
      <w:bookmarkStart w:id="141" w:name="_Toc3366"/>
      <w:r>
        <w:t>重点乡镇精细化调查</w:t>
      </w:r>
      <w:bookmarkEnd w:id="139"/>
      <w:bookmarkEnd w:id="140"/>
      <w:bookmarkEnd w:id="141"/>
    </w:p>
    <w:p>
      <w:pPr>
        <w:pStyle w:val="3"/>
        <w:widowControl/>
        <w:shd w:val="clear"/>
        <w:spacing w:line="360" w:lineRule="auto"/>
        <w:ind w:firstLine="480"/>
        <w:rPr>
          <w:rFonts w:ascii="宋体" w:hAnsi="宋体" w:cs="宋体"/>
          <w:color w:val="0F1115"/>
        </w:rPr>
      </w:pPr>
      <w:r>
        <w:rPr>
          <w:rFonts w:hint="eastAsia" w:ascii="宋体" w:hAnsi="宋体" w:cs="宋体"/>
          <w:color w:val="0F1115"/>
        </w:rPr>
        <w:t>完成50个高风险乡镇1:1万地质灾害精细化调查（详见附表八），50个乡镇国土面积合计7458.57km²，其中重点防治区（高易发）图斑面积1278.05km²。综合采用遥感、测绘、钻探、物探、山地工程等多种技术方法，查明隐患点和风险区发育特征和发展趋势，同步完成333处隐患复核与917处风险斜坡实测，进行稳定性分析与风险评价，精准掌握风险底数，为“隐患点+风险区”双控建设提供数据支撑。</w:t>
      </w:r>
    </w:p>
    <w:p>
      <w:pPr>
        <w:pStyle w:val="3"/>
        <w:widowControl/>
        <w:shd w:val="clear"/>
        <w:spacing w:line="360" w:lineRule="auto"/>
        <w:ind w:firstLine="482"/>
        <w:jc w:val="center"/>
        <w:rPr>
          <w:rFonts w:ascii="宋体" w:hAnsi="宋体" w:cs="宋体"/>
          <w:b/>
          <w:bCs/>
        </w:rPr>
      </w:pPr>
      <w:r>
        <w:rPr>
          <w:rFonts w:hint="eastAsia" w:ascii="宋体" w:hAnsi="宋体" w:cs="宋体"/>
          <w:b/>
          <w:bCs/>
        </w:rPr>
        <w:t>专栏二 调查评价工作部署</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923"/>
        <w:gridCol w:w="2585"/>
        <w:gridCol w:w="2705"/>
        <w:gridCol w:w="13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1127"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工作类别</w:t>
            </w:r>
          </w:p>
        </w:tc>
        <w:tc>
          <w:tcPr>
            <w:tcW w:w="1514"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具体任务</w:t>
            </w:r>
          </w:p>
        </w:tc>
        <w:tc>
          <w:tcPr>
            <w:tcW w:w="1584"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规模</w:t>
            </w:r>
          </w:p>
        </w:tc>
        <w:tc>
          <w:tcPr>
            <w:tcW w:w="772"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实施周期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27"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汛期"三查"</w:t>
            </w:r>
          </w:p>
        </w:tc>
        <w:tc>
          <w:tcPr>
            <w:tcW w:w="1514"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全市188个乡镇年度巡排查</w:t>
            </w:r>
          </w:p>
        </w:tc>
        <w:tc>
          <w:tcPr>
            <w:tcW w:w="1584"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每年汛前、汛中、汛后各一轮</w:t>
            </w:r>
          </w:p>
        </w:tc>
        <w:tc>
          <w:tcPr>
            <w:tcW w:w="772"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1127"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重点乡镇精细化调查</w:t>
            </w:r>
          </w:p>
        </w:tc>
        <w:tc>
          <w:tcPr>
            <w:tcW w:w="1514"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1:1万地质灾害精细化调查</w:t>
            </w:r>
          </w:p>
        </w:tc>
        <w:tc>
          <w:tcPr>
            <w:tcW w:w="1584"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50个乡镇</w:t>
            </w:r>
          </w:p>
        </w:tc>
        <w:tc>
          <w:tcPr>
            <w:tcW w:w="772"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bl>
    <w:p>
      <w:pPr>
        <w:pStyle w:val="8"/>
        <w:widowControl/>
        <w:numPr>
          <w:ilvl w:val="0"/>
          <w:numId w:val="14"/>
        </w:numPr>
        <w:shd w:val="clear" w:color="auto"/>
        <w:spacing w:line="360" w:lineRule="auto"/>
        <w:rPr>
          <w:rFonts w:ascii="宋体" w:hAnsi="宋体" w:eastAsia="宋体" w:cs="宋体"/>
        </w:rPr>
      </w:pPr>
      <w:bookmarkStart w:id="142" w:name="_Toc19419"/>
      <w:bookmarkStart w:id="143" w:name="_Toc240793014"/>
      <w:r>
        <w:t>监测预警</w:t>
      </w:r>
      <w:bookmarkEnd w:id="142"/>
      <w:bookmarkEnd w:id="143"/>
    </w:p>
    <w:p>
      <w:pPr>
        <w:pStyle w:val="9"/>
        <w:widowControl/>
        <w:numPr>
          <w:ilvl w:val="0"/>
          <w:numId w:val="16"/>
        </w:numPr>
        <w:shd w:val="clear" w:color="auto"/>
        <w:spacing w:line="360" w:lineRule="auto"/>
        <w:rPr>
          <w:rFonts w:ascii="宋体" w:hAnsi="宋体" w:eastAsia="宋体" w:cs="宋体"/>
        </w:rPr>
      </w:pPr>
      <w:bookmarkStart w:id="144" w:name="_Toc1412"/>
      <w:bookmarkStart w:id="145" w:name="_Toc240793015"/>
      <w:bookmarkStart w:id="146" w:name="_Toc19136"/>
      <w:r>
        <w:t>巩固群测群防体系</w:t>
      </w:r>
      <w:bookmarkEnd w:id="144"/>
      <w:bookmarkEnd w:id="145"/>
      <w:bookmarkEnd w:id="146"/>
    </w:p>
    <w:p>
      <w:pPr>
        <w:pStyle w:val="3"/>
        <w:widowControl/>
        <w:shd w:val="clear"/>
        <w:spacing w:line="360" w:lineRule="auto"/>
        <w:ind w:firstLine="480"/>
        <w:rPr>
          <w:rFonts w:ascii="宋体" w:hAnsi="宋体" w:cs="宋体"/>
          <w:color w:val="0F1115"/>
        </w:rPr>
      </w:pPr>
      <w:r>
        <w:rPr>
          <w:rFonts w:hint="eastAsia" w:ascii="宋体" w:hAnsi="宋体" w:cs="宋体"/>
          <w:color w:val="0F1115"/>
        </w:rPr>
        <w:t>充分发挥地质灾害防治“第一道防线”作用，确保新发现隐患点群测群防全覆盖。完善群测群防工作制度、人员遴选和激励机制，深化网格化管理模式，强化监测设备配备和技术培训，提高识灾、观测、辨灾、处置能力。全市约1000名群测群防员全部登记造册、动态管理。</w:t>
      </w:r>
    </w:p>
    <w:p>
      <w:pPr>
        <w:pStyle w:val="9"/>
        <w:widowControl/>
        <w:numPr>
          <w:ilvl w:val="0"/>
          <w:numId w:val="16"/>
        </w:numPr>
        <w:shd w:val="clear" w:color="auto"/>
        <w:spacing w:line="360" w:lineRule="auto"/>
        <w:rPr>
          <w:rFonts w:ascii="宋体" w:hAnsi="宋体" w:eastAsia="宋体" w:cs="宋体"/>
        </w:rPr>
      </w:pPr>
      <w:bookmarkStart w:id="147" w:name="_Toc240793016"/>
      <w:bookmarkStart w:id="148" w:name="_Toc8823"/>
      <w:bookmarkStart w:id="149" w:name="_Toc19928"/>
      <w:r>
        <w:t>优化自动化监测网</w:t>
      </w:r>
      <w:bookmarkEnd w:id="147"/>
      <w:bookmarkEnd w:id="148"/>
      <w:bookmarkEnd w:id="149"/>
    </w:p>
    <w:p>
      <w:pPr>
        <w:pStyle w:val="3"/>
        <w:widowControl/>
        <w:shd w:val="clear"/>
        <w:spacing w:line="360" w:lineRule="auto"/>
        <w:ind w:firstLine="480"/>
        <w:rPr>
          <w:rFonts w:ascii="宋体" w:hAnsi="宋体" w:cs="宋体"/>
          <w:color w:val="0F1115"/>
        </w:rPr>
      </w:pPr>
      <w:r>
        <w:rPr>
          <w:rFonts w:hint="eastAsia" w:ascii="宋体" w:hAnsi="宋体" w:cs="宋体"/>
          <w:color w:val="0F1115"/>
        </w:rPr>
        <w:t>规划期末建成40处标准化监测点位，其中：存量29处监测站点实施提质改造（设备更新、通信升级、数据校准）；省级项目储备库6处（栾川县6处重点滑坡位移加雨量一体化监测）；市级新增5处自动化监测站点（新安县2处，布设于北冶镇、石井镇高风险滑坡、地面塌陷隐患点；孟津区1处、偃师区1处、嵩县1处），具体监测桩位在工程初步设计阶段结合现场勘查确定。实现与气象部门监测数据的实时接入与共享应用。</w:t>
      </w:r>
    </w:p>
    <w:p>
      <w:pPr>
        <w:pStyle w:val="9"/>
        <w:widowControl/>
        <w:numPr>
          <w:ilvl w:val="0"/>
          <w:numId w:val="16"/>
        </w:numPr>
        <w:shd w:val="clear" w:color="auto"/>
        <w:spacing w:line="360" w:lineRule="auto"/>
        <w:rPr>
          <w:rFonts w:ascii="宋体" w:hAnsi="宋体" w:eastAsia="宋体" w:cs="宋体"/>
        </w:rPr>
      </w:pPr>
      <w:bookmarkStart w:id="150" w:name="_Toc15427"/>
      <w:bookmarkStart w:id="151" w:name="_Toc240793017"/>
      <w:bookmarkStart w:id="152" w:name="_Toc19914"/>
      <w:r>
        <w:t>提升预警预报精准度</w:t>
      </w:r>
      <w:bookmarkEnd w:id="150"/>
      <w:bookmarkEnd w:id="151"/>
      <w:bookmarkEnd w:id="152"/>
    </w:p>
    <w:p>
      <w:pPr>
        <w:pStyle w:val="3"/>
        <w:widowControl/>
        <w:shd w:val="clear"/>
        <w:spacing w:line="360" w:lineRule="auto"/>
        <w:ind w:firstLine="480"/>
        <w:rPr>
          <w:rFonts w:ascii="宋体" w:hAnsi="宋体" w:cs="宋体"/>
          <w:color w:val="0F1115"/>
        </w:rPr>
      </w:pPr>
      <w:r>
        <w:rPr>
          <w:rFonts w:hint="eastAsia" w:ascii="宋体" w:hAnsi="宋体" w:cs="宋体"/>
          <w:color w:val="0F1115"/>
        </w:rPr>
        <w:t>在现有市级地质气象耦合预警平台基础上，迭代升级预警模型，优化短临预警功能，完善叫应闭环流程。聚焦强降雨等极端条件下地质灾害风险特征，推进市、县两级预警模型的迭代优化与本地化适配，着力提升短临预警精准度与可靠性。构建覆盖全面、响应及时的预警预报体系，完善“乡镇下发—村级核查—上门提醒—逐级上报”完整叫应闭环流程，实现预警信息“叫应”到户到人。</w:t>
      </w:r>
    </w:p>
    <w:p>
      <w:pPr>
        <w:pStyle w:val="3"/>
        <w:widowControl/>
        <w:shd w:val="clear"/>
        <w:spacing w:line="360" w:lineRule="auto"/>
        <w:ind w:firstLine="482"/>
        <w:jc w:val="center"/>
        <w:rPr>
          <w:rFonts w:hint="eastAsia" w:ascii="宋体" w:hAnsi="宋体" w:cs="宋体"/>
          <w:b/>
          <w:bCs/>
        </w:rPr>
      </w:pPr>
    </w:p>
    <w:p>
      <w:pPr>
        <w:pStyle w:val="3"/>
        <w:widowControl/>
        <w:shd w:val="clear"/>
        <w:spacing w:line="360" w:lineRule="auto"/>
        <w:ind w:firstLine="482"/>
        <w:jc w:val="center"/>
        <w:rPr>
          <w:rFonts w:hint="eastAsia" w:ascii="宋体" w:hAnsi="宋体" w:cs="宋体"/>
          <w:b/>
          <w:bCs/>
        </w:rPr>
      </w:pPr>
    </w:p>
    <w:p>
      <w:pPr>
        <w:pStyle w:val="3"/>
        <w:widowControl/>
        <w:shd w:val="clear"/>
        <w:spacing w:line="360" w:lineRule="auto"/>
        <w:ind w:firstLine="482"/>
        <w:jc w:val="center"/>
        <w:rPr>
          <w:rFonts w:ascii="宋体" w:hAnsi="宋体" w:cs="宋体"/>
          <w:b/>
          <w:bCs/>
        </w:rPr>
      </w:pPr>
      <w:r>
        <w:rPr>
          <w:rFonts w:hint="eastAsia" w:ascii="宋体" w:hAnsi="宋体" w:cs="宋体"/>
          <w:b/>
          <w:bCs/>
        </w:rPr>
        <w:t>专栏三 监测预警工作部署</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530"/>
        <w:gridCol w:w="2296"/>
        <w:gridCol w:w="3317"/>
        <w:gridCol w:w="1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工作类别</w:t>
            </w:r>
          </w:p>
        </w:tc>
        <w:tc>
          <w:tcPr>
            <w:tcW w:w="134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具体任务</w:t>
            </w:r>
          </w:p>
        </w:tc>
        <w:tc>
          <w:tcPr>
            <w:tcW w:w="194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规模</w:t>
            </w:r>
          </w:p>
        </w:tc>
        <w:tc>
          <w:tcPr>
            <w:tcW w:w="82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实施周期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群测群防</w:t>
            </w:r>
          </w:p>
        </w:tc>
        <w:tc>
          <w:tcPr>
            <w:tcW w:w="134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网格化管理</w:t>
            </w:r>
          </w:p>
        </w:tc>
        <w:tc>
          <w:tcPr>
            <w:tcW w:w="194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约1000名群测群防员</w:t>
            </w:r>
          </w:p>
        </w:tc>
        <w:tc>
          <w:tcPr>
            <w:tcW w:w="82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自动化监测</w:t>
            </w:r>
          </w:p>
        </w:tc>
        <w:tc>
          <w:tcPr>
            <w:tcW w:w="134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存量站点提质改造</w:t>
            </w:r>
          </w:p>
        </w:tc>
        <w:tc>
          <w:tcPr>
            <w:tcW w:w="194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29处</w:t>
            </w:r>
          </w:p>
        </w:tc>
        <w:tc>
          <w:tcPr>
            <w:tcW w:w="82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自动化监测</w:t>
            </w:r>
          </w:p>
        </w:tc>
        <w:tc>
          <w:tcPr>
            <w:tcW w:w="134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省级储备库新建</w:t>
            </w:r>
          </w:p>
        </w:tc>
        <w:tc>
          <w:tcPr>
            <w:tcW w:w="194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6处（栾川县）</w:t>
            </w:r>
          </w:p>
        </w:tc>
        <w:tc>
          <w:tcPr>
            <w:tcW w:w="82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自动化监测</w:t>
            </w:r>
          </w:p>
        </w:tc>
        <w:tc>
          <w:tcPr>
            <w:tcW w:w="134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市级新增</w:t>
            </w:r>
          </w:p>
        </w:tc>
        <w:tc>
          <w:tcPr>
            <w:tcW w:w="194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5处</w:t>
            </w:r>
          </w:p>
        </w:tc>
        <w:tc>
          <w:tcPr>
            <w:tcW w:w="82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预警平台</w:t>
            </w:r>
          </w:p>
        </w:tc>
        <w:tc>
          <w:tcPr>
            <w:tcW w:w="134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迭代升级</w:t>
            </w:r>
          </w:p>
        </w:tc>
        <w:tc>
          <w:tcPr>
            <w:tcW w:w="194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市级地质气象耦合预警平台</w:t>
            </w:r>
          </w:p>
        </w:tc>
        <w:tc>
          <w:tcPr>
            <w:tcW w:w="820"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2026-2027</w:t>
            </w:r>
          </w:p>
        </w:tc>
      </w:tr>
    </w:tbl>
    <w:p>
      <w:pPr>
        <w:pStyle w:val="8"/>
        <w:widowControl/>
        <w:numPr>
          <w:ilvl w:val="0"/>
          <w:numId w:val="14"/>
        </w:numPr>
        <w:shd w:val="clear" w:color="auto"/>
        <w:spacing w:line="360" w:lineRule="auto"/>
        <w:rPr>
          <w:rFonts w:ascii="宋体" w:hAnsi="宋体" w:eastAsia="宋体" w:cs="宋体"/>
        </w:rPr>
      </w:pPr>
      <w:bookmarkStart w:id="153" w:name="_Toc25947"/>
      <w:bookmarkStart w:id="154" w:name="_Toc240793018"/>
      <w:r>
        <w:t>综合治理</w:t>
      </w:r>
      <w:bookmarkEnd w:id="153"/>
      <w:bookmarkEnd w:id="154"/>
    </w:p>
    <w:p>
      <w:pPr>
        <w:pStyle w:val="9"/>
        <w:widowControl/>
        <w:numPr>
          <w:ilvl w:val="0"/>
          <w:numId w:val="17"/>
        </w:numPr>
        <w:shd w:val="clear" w:color="auto"/>
        <w:spacing w:line="360" w:lineRule="auto"/>
        <w:rPr>
          <w:rFonts w:ascii="宋体" w:hAnsi="宋体" w:eastAsia="宋体" w:cs="宋体"/>
        </w:rPr>
      </w:pPr>
      <w:bookmarkStart w:id="155" w:name="_Toc11839"/>
      <w:bookmarkStart w:id="156" w:name="_Toc32571"/>
      <w:bookmarkStart w:id="157" w:name="_Toc240793019"/>
      <w:r>
        <w:t>工程治理</w:t>
      </w:r>
      <w:bookmarkEnd w:id="155"/>
      <w:bookmarkEnd w:id="156"/>
      <w:bookmarkEnd w:id="157"/>
    </w:p>
    <w:p>
      <w:pPr>
        <w:pStyle w:val="3"/>
        <w:widowControl/>
        <w:shd w:val="clear"/>
        <w:spacing w:line="360" w:lineRule="auto"/>
        <w:ind w:firstLine="480"/>
        <w:rPr>
          <w:rFonts w:ascii="宋体" w:hAnsi="宋体" w:cs="宋体"/>
          <w:color w:val="0F1115"/>
        </w:rPr>
      </w:pPr>
      <w:r>
        <w:rPr>
          <w:rFonts w:hint="eastAsia" w:ascii="宋体" w:hAnsi="宋体" w:cs="宋体"/>
          <w:color w:val="0F1115"/>
        </w:rPr>
        <w:t>对威胁城镇、村庄、学校等人员密集区且难以实施避险搬迁的隐患点，以及威胁重大基础设施的隐患点实施工程治理，从源头降低灾害风险。规划期内实施省级项目储备库治理2项（嵩县伊河流域沿线治理、偃师山化镇治理，共16处隐患综合治理）、伏牛山区重点治理27处隐患、北部黄土丘陵重点治理21处隐患、全市统筹储备约20处零散及动态新增隐患，合计约71处隐患综合治理。</w:t>
      </w:r>
    </w:p>
    <w:p>
      <w:pPr>
        <w:pStyle w:val="9"/>
        <w:widowControl/>
        <w:numPr>
          <w:ilvl w:val="0"/>
          <w:numId w:val="17"/>
        </w:numPr>
        <w:shd w:val="clear" w:color="auto"/>
        <w:spacing w:line="360" w:lineRule="auto"/>
        <w:rPr>
          <w:rFonts w:ascii="宋体" w:hAnsi="宋体" w:eastAsia="宋体" w:cs="宋体"/>
        </w:rPr>
      </w:pPr>
      <w:bookmarkStart w:id="158" w:name="_Toc18512"/>
      <w:bookmarkStart w:id="159" w:name="_Toc13652"/>
      <w:bookmarkStart w:id="160" w:name="_Toc240793020"/>
      <w:r>
        <w:t>排危除险</w:t>
      </w:r>
      <w:bookmarkEnd w:id="158"/>
      <w:bookmarkEnd w:id="159"/>
      <w:bookmarkEnd w:id="160"/>
    </w:p>
    <w:p>
      <w:pPr>
        <w:pStyle w:val="3"/>
        <w:widowControl/>
        <w:shd w:val="clear"/>
        <w:spacing w:line="360" w:lineRule="auto"/>
        <w:ind w:firstLine="480"/>
        <w:rPr>
          <w:rFonts w:ascii="宋体" w:hAnsi="宋体" w:cs="宋体"/>
          <w:color w:val="0F1115"/>
        </w:rPr>
      </w:pPr>
      <w:r>
        <w:rPr>
          <w:rFonts w:hint="eastAsia" w:ascii="宋体" w:hAnsi="宋体" w:cs="宋体"/>
          <w:color w:val="0F1115"/>
        </w:rPr>
        <w:t>对风险高、险情紧迫、治理措施相对简单的隐患点，采取投入少、工期短、见效快的工程措施组织排危除险。五年累计处置约160处零星边坡险情，覆盖栾川、嵩县、汝阳、新安、偃师、孟津6个区县。</w:t>
      </w:r>
    </w:p>
    <w:p>
      <w:pPr>
        <w:pStyle w:val="9"/>
        <w:widowControl/>
        <w:numPr>
          <w:ilvl w:val="0"/>
          <w:numId w:val="17"/>
        </w:numPr>
        <w:shd w:val="clear" w:color="auto"/>
        <w:spacing w:line="360" w:lineRule="auto"/>
        <w:rPr>
          <w:rFonts w:ascii="宋体" w:hAnsi="宋体" w:eastAsia="宋体" w:cs="宋体"/>
        </w:rPr>
      </w:pPr>
      <w:bookmarkStart w:id="161" w:name="_Toc12303"/>
      <w:bookmarkStart w:id="162" w:name="_Toc240793021"/>
      <w:bookmarkStart w:id="163" w:name="_Toc16289"/>
      <w:r>
        <w:t>避险搬迁</w:t>
      </w:r>
      <w:bookmarkEnd w:id="161"/>
      <w:bookmarkEnd w:id="162"/>
      <w:bookmarkEnd w:id="163"/>
    </w:p>
    <w:p>
      <w:pPr>
        <w:pStyle w:val="3"/>
        <w:widowControl/>
        <w:shd w:val="clear"/>
        <w:spacing w:line="360" w:lineRule="auto"/>
        <w:ind w:firstLine="480"/>
        <w:rPr>
          <w:rFonts w:ascii="宋体" w:hAnsi="宋体" w:cs="宋体"/>
          <w:color w:val="0F1115"/>
        </w:rPr>
      </w:pPr>
      <w:r>
        <w:rPr>
          <w:rFonts w:hint="eastAsia" w:ascii="宋体" w:hAnsi="宋体" w:cs="宋体"/>
          <w:color w:val="0F1115"/>
        </w:rPr>
        <w:t>对威胁人员安全、治理难度大、工程治理费效比不高的隐患点，结合生态移民、乡村振兴和全域土地综合整治等政策，尊重群众意愿，实行避险搬迁。规划避险搬迁96户，覆盖新安、汝阳、伊川、洛宁、宜阳、栾川、嵩县7个区县。</w:t>
      </w:r>
    </w:p>
    <w:p>
      <w:pPr>
        <w:pStyle w:val="3"/>
        <w:widowControl/>
        <w:shd w:val="clear"/>
        <w:spacing w:line="360" w:lineRule="auto"/>
        <w:ind w:firstLine="482"/>
        <w:jc w:val="center"/>
        <w:rPr>
          <w:rFonts w:ascii="宋体" w:hAnsi="宋体" w:cs="宋体"/>
          <w:b/>
          <w:bCs/>
        </w:rPr>
      </w:pPr>
      <w:r>
        <w:rPr>
          <w:rFonts w:hint="eastAsia" w:ascii="宋体" w:hAnsi="宋体" w:cs="宋体"/>
          <w:b/>
          <w:bCs/>
        </w:rPr>
        <w:t>专栏四 综合治理工作部署</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382"/>
        <w:gridCol w:w="3031"/>
        <w:gridCol w:w="2618"/>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工作类别</w:t>
            </w:r>
          </w:p>
        </w:tc>
        <w:tc>
          <w:tcPr>
            <w:tcW w:w="177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具体任务</w:t>
            </w:r>
          </w:p>
        </w:tc>
        <w:tc>
          <w:tcPr>
            <w:tcW w:w="153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规模</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实施周期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工程治理</w:t>
            </w:r>
          </w:p>
        </w:tc>
        <w:tc>
          <w:tcPr>
            <w:tcW w:w="177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省级项目储备库</w:t>
            </w:r>
          </w:p>
        </w:tc>
        <w:tc>
          <w:tcPr>
            <w:tcW w:w="153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2项（16处隐患）</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工程治理</w:t>
            </w:r>
          </w:p>
        </w:tc>
        <w:tc>
          <w:tcPr>
            <w:tcW w:w="177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伏牛山区重点治理</w:t>
            </w:r>
          </w:p>
        </w:tc>
        <w:tc>
          <w:tcPr>
            <w:tcW w:w="153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27处隐患</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2027-2030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工程治理</w:t>
            </w:r>
          </w:p>
        </w:tc>
        <w:tc>
          <w:tcPr>
            <w:tcW w:w="177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北部黄土丘陵重点治理</w:t>
            </w:r>
          </w:p>
        </w:tc>
        <w:tc>
          <w:tcPr>
            <w:tcW w:w="153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21处隐患</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2028-2030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工程治理</w:t>
            </w:r>
          </w:p>
        </w:tc>
        <w:tc>
          <w:tcPr>
            <w:tcW w:w="177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全市统筹储备</w:t>
            </w:r>
          </w:p>
        </w:tc>
        <w:tc>
          <w:tcPr>
            <w:tcW w:w="153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约20处零散隐患</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排危除险</w:t>
            </w:r>
          </w:p>
        </w:tc>
        <w:tc>
          <w:tcPr>
            <w:tcW w:w="177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零星边坡处置</w:t>
            </w:r>
          </w:p>
        </w:tc>
        <w:tc>
          <w:tcPr>
            <w:tcW w:w="153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160处</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避险搬迁</w:t>
            </w:r>
          </w:p>
        </w:tc>
        <w:tc>
          <w:tcPr>
            <w:tcW w:w="177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搬迁安置</w:t>
            </w:r>
          </w:p>
        </w:tc>
        <w:tc>
          <w:tcPr>
            <w:tcW w:w="153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96户</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2026-2029</w:t>
            </w:r>
          </w:p>
        </w:tc>
      </w:tr>
    </w:tbl>
    <w:p>
      <w:pPr>
        <w:pStyle w:val="8"/>
        <w:widowControl/>
        <w:numPr>
          <w:ilvl w:val="0"/>
          <w:numId w:val="14"/>
        </w:numPr>
        <w:shd w:val="clear" w:color="auto"/>
        <w:spacing w:line="360" w:lineRule="auto"/>
        <w:rPr>
          <w:rFonts w:ascii="宋体" w:hAnsi="宋体" w:eastAsia="宋体" w:cs="宋体"/>
        </w:rPr>
      </w:pPr>
      <w:bookmarkStart w:id="164" w:name="_Toc240793022"/>
      <w:bookmarkStart w:id="165" w:name="_Toc24052"/>
      <w:r>
        <w:t>科技防灾</w:t>
      </w:r>
      <w:bookmarkEnd w:id="164"/>
      <w:bookmarkEnd w:id="165"/>
    </w:p>
    <w:p>
      <w:pPr>
        <w:pStyle w:val="9"/>
        <w:widowControl/>
        <w:numPr>
          <w:ilvl w:val="0"/>
          <w:numId w:val="18"/>
        </w:numPr>
        <w:shd w:val="clear" w:color="auto"/>
        <w:spacing w:line="360" w:lineRule="auto"/>
        <w:rPr>
          <w:rFonts w:ascii="宋体" w:hAnsi="宋体" w:eastAsia="宋体" w:cs="宋体"/>
        </w:rPr>
      </w:pPr>
      <w:bookmarkStart w:id="166" w:name="_Toc16987"/>
      <w:bookmarkStart w:id="167" w:name="_Toc240793023"/>
      <w:bookmarkStart w:id="168" w:name="_Toc5281"/>
      <w:r>
        <w:t>推进科研平台建设</w:t>
      </w:r>
      <w:bookmarkEnd w:id="166"/>
      <w:bookmarkEnd w:id="167"/>
      <w:bookmarkEnd w:id="168"/>
    </w:p>
    <w:p>
      <w:pPr>
        <w:pStyle w:val="3"/>
        <w:widowControl/>
        <w:shd w:val="clear"/>
        <w:spacing w:line="360" w:lineRule="auto"/>
        <w:ind w:firstLine="480"/>
        <w:rPr>
          <w:rFonts w:ascii="宋体" w:hAnsi="宋体" w:cs="宋体"/>
          <w:color w:val="0F1115"/>
        </w:rPr>
      </w:pPr>
      <w:r>
        <w:rPr>
          <w:rFonts w:hint="eastAsia" w:ascii="宋体" w:hAnsi="宋体" w:cs="宋体"/>
          <w:color w:val="0F1115"/>
        </w:rPr>
        <w:t>紧密结合我市防灾减灾实际需求，配合省级推动地质灾害防治实验室（野外观测站）建设。在典型地质灾害易发区配合布局野外观测点，聚焦极端环境适应性研究与预警模型创新。</w:t>
      </w:r>
    </w:p>
    <w:p>
      <w:pPr>
        <w:pStyle w:val="9"/>
        <w:widowControl/>
        <w:numPr>
          <w:ilvl w:val="0"/>
          <w:numId w:val="18"/>
        </w:numPr>
        <w:shd w:val="clear" w:color="auto"/>
        <w:spacing w:line="360" w:lineRule="auto"/>
        <w:rPr>
          <w:rFonts w:ascii="宋体" w:hAnsi="宋体" w:eastAsia="宋体" w:cs="宋体"/>
        </w:rPr>
      </w:pPr>
      <w:bookmarkStart w:id="169" w:name="_Toc31288"/>
      <w:bookmarkStart w:id="170" w:name="_Toc240793024"/>
      <w:bookmarkStart w:id="171" w:name="_Toc12915"/>
      <w:r>
        <w:t>迭代升级智能预警体系</w:t>
      </w:r>
      <w:bookmarkEnd w:id="169"/>
      <w:bookmarkEnd w:id="170"/>
      <w:bookmarkEnd w:id="171"/>
    </w:p>
    <w:p>
      <w:pPr>
        <w:pStyle w:val="3"/>
        <w:widowControl/>
        <w:shd w:val="clear"/>
        <w:spacing w:line="360" w:lineRule="auto"/>
        <w:ind w:firstLine="480"/>
        <w:rPr>
          <w:rFonts w:ascii="宋体" w:hAnsi="宋体" w:cs="宋体"/>
          <w:color w:val="0F1115"/>
        </w:rPr>
      </w:pPr>
      <w:r>
        <w:rPr>
          <w:rFonts w:hint="eastAsia" w:ascii="宋体" w:hAnsi="宋体" w:cs="宋体"/>
          <w:color w:val="0F1115"/>
        </w:rPr>
        <w:t>依托河南省智能化地质灾害防治信息系统，在现有市级地质气象耦合预警平台基础上迭代升级，聚焦崩塌、滑坡、泥石流等突发性地质灾害，构建多元感知、准确预警、及时决策的智能预警响应体系。融合人工智能技术，优化自动化监测和气象风险短临预警模型。完成与国土空间基础信息平台系统对接与数据共享。</w:t>
      </w:r>
    </w:p>
    <w:p>
      <w:pPr>
        <w:pStyle w:val="9"/>
        <w:widowControl/>
        <w:numPr>
          <w:ilvl w:val="0"/>
          <w:numId w:val="18"/>
        </w:numPr>
        <w:shd w:val="clear" w:color="auto"/>
        <w:spacing w:line="360" w:lineRule="auto"/>
        <w:rPr>
          <w:rFonts w:ascii="宋体" w:hAnsi="宋体" w:eastAsia="宋体" w:cs="宋体"/>
        </w:rPr>
      </w:pPr>
      <w:bookmarkStart w:id="172" w:name="_Toc240793025"/>
      <w:bookmarkStart w:id="173" w:name="_Toc3198"/>
      <w:bookmarkStart w:id="174" w:name="_Toc14316"/>
      <w:r>
        <w:t>提升技术支撑能力</w:t>
      </w:r>
      <w:bookmarkEnd w:id="172"/>
      <w:bookmarkEnd w:id="173"/>
      <w:bookmarkEnd w:id="174"/>
    </w:p>
    <w:p>
      <w:pPr>
        <w:pStyle w:val="3"/>
        <w:widowControl/>
        <w:shd w:val="clear"/>
        <w:spacing w:line="360" w:lineRule="auto"/>
        <w:ind w:firstLine="480"/>
        <w:rPr>
          <w:rFonts w:ascii="宋体" w:hAnsi="宋体" w:cs="宋体"/>
          <w:color w:val="0F1115"/>
        </w:rPr>
      </w:pPr>
      <w:r>
        <w:rPr>
          <w:rFonts w:hint="eastAsia" w:ascii="宋体" w:hAnsi="宋体" w:cs="宋体"/>
          <w:color w:val="0F1115"/>
        </w:rPr>
        <w:t>依托驻洛7家甲级地勘单位组建市级地质灾害防治技术支撑团队，发挥专业技术人员特长，为地质灾害防治各项工作提供专业技术保障。围绕调查评价、监测预警、工程治理等工作，持续推动技术标准贯彻执行。</w:t>
      </w:r>
    </w:p>
    <w:p>
      <w:pPr>
        <w:pStyle w:val="3"/>
        <w:widowControl/>
        <w:shd w:val="clear"/>
        <w:spacing w:line="360" w:lineRule="auto"/>
        <w:ind w:firstLine="482"/>
        <w:jc w:val="center"/>
        <w:rPr>
          <w:rFonts w:ascii="宋体" w:hAnsi="宋体" w:cs="宋体"/>
          <w:b/>
          <w:bCs/>
        </w:rPr>
      </w:pPr>
      <w:r>
        <w:rPr>
          <w:rFonts w:hint="eastAsia" w:ascii="宋体" w:hAnsi="宋体" w:cs="宋体"/>
          <w:b/>
          <w:bCs/>
        </w:rPr>
        <w:t>专栏五 科技防灾工作部署</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530"/>
        <w:gridCol w:w="5339"/>
        <w:gridCol w:w="1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工作类别</w:t>
            </w:r>
          </w:p>
        </w:tc>
        <w:tc>
          <w:tcPr>
            <w:tcW w:w="312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具体任务</w:t>
            </w:r>
          </w:p>
        </w:tc>
        <w:tc>
          <w:tcPr>
            <w:tcW w:w="98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实施周期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科研平台</w:t>
            </w:r>
          </w:p>
        </w:tc>
        <w:tc>
          <w:tcPr>
            <w:tcW w:w="312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配合省级建设野外观测站</w:t>
            </w:r>
          </w:p>
        </w:tc>
        <w:tc>
          <w:tcPr>
            <w:tcW w:w="98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智能预警</w:t>
            </w:r>
          </w:p>
        </w:tc>
        <w:tc>
          <w:tcPr>
            <w:tcW w:w="312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预警平台迭代升级</w:t>
            </w:r>
          </w:p>
        </w:tc>
        <w:tc>
          <w:tcPr>
            <w:tcW w:w="98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95"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技术支撑</w:t>
            </w:r>
          </w:p>
        </w:tc>
        <w:tc>
          <w:tcPr>
            <w:tcW w:w="3123"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驻洛7家甲级地勘单位技术支撑团队</w:t>
            </w:r>
          </w:p>
        </w:tc>
        <w:tc>
          <w:tcPr>
            <w:tcW w:w="98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bl>
    <w:p>
      <w:pPr>
        <w:pStyle w:val="8"/>
        <w:widowControl/>
        <w:numPr>
          <w:ilvl w:val="0"/>
          <w:numId w:val="14"/>
        </w:numPr>
        <w:shd w:val="clear" w:color="auto"/>
        <w:spacing w:line="360" w:lineRule="auto"/>
        <w:rPr>
          <w:rFonts w:ascii="宋体" w:hAnsi="宋体" w:eastAsia="宋体" w:cs="宋体"/>
        </w:rPr>
      </w:pPr>
      <w:bookmarkStart w:id="175" w:name="_Toc23855"/>
      <w:bookmarkStart w:id="176" w:name="_Toc240793026"/>
      <w:r>
        <w:t>防御响应</w:t>
      </w:r>
      <w:bookmarkEnd w:id="175"/>
      <w:bookmarkEnd w:id="176"/>
    </w:p>
    <w:p>
      <w:pPr>
        <w:pStyle w:val="9"/>
        <w:widowControl/>
        <w:numPr>
          <w:ilvl w:val="0"/>
          <w:numId w:val="19"/>
        </w:numPr>
        <w:shd w:val="clear" w:color="auto"/>
        <w:spacing w:line="360" w:lineRule="auto"/>
        <w:rPr>
          <w:rFonts w:ascii="宋体" w:hAnsi="宋体" w:eastAsia="宋体" w:cs="宋体"/>
        </w:rPr>
      </w:pPr>
      <w:bookmarkStart w:id="177" w:name="_Toc25675"/>
      <w:bookmarkStart w:id="178" w:name="_Toc240793027"/>
      <w:bookmarkStart w:id="179" w:name="_Toc26510"/>
      <w:r>
        <w:t>提升防御响应能力</w:t>
      </w:r>
      <w:bookmarkEnd w:id="177"/>
      <w:bookmarkEnd w:id="178"/>
      <w:bookmarkEnd w:id="179"/>
    </w:p>
    <w:p>
      <w:pPr>
        <w:pStyle w:val="3"/>
        <w:widowControl/>
        <w:shd w:val="clear"/>
        <w:spacing w:line="360" w:lineRule="auto"/>
        <w:ind w:firstLine="480"/>
        <w:rPr>
          <w:rFonts w:ascii="宋体" w:hAnsi="宋体" w:cs="宋体"/>
          <w:color w:val="0F1115"/>
        </w:rPr>
      </w:pPr>
      <w:r>
        <w:rPr>
          <w:rFonts w:hint="eastAsia" w:ascii="宋体" w:hAnsi="宋体" w:cs="宋体"/>
          <w:color w:val="0F1115"/>
        </w:rPr>
        <w:t>落实《洛阳市地质灾害防御预案》《洛阳市突发地质灾害应急预案》，健全防御响应预案体系。加强基层监测员、群测群防员专业培训，加强应急调查技术装备和群测群防员装备配备，充实基层防灾减灾技术力量，提升早期识别和应急处置能力。定期开展避险演练，强化演练复盘与评估。</w:t>
      </w:r>
    </w:p>
    <w:p>
      <w:pPr>
        <w:pStyle w:val="9"/>
        <w:widowControl/>
        <w:numPr>
          <w:ilvl w:val="0"/>
          <w:numId w:val="19"/>
        </w:numPr>
        <w:shd w:val="clear" w:color="auto"/>
        <w:spacing w:line="360" w:lineRule="auto"/>
        <w:rPr>
          <w:rFonts w:ascii="宋体" w:hAnsi="宋体" w:eastAsia="宋体" w:cs="宋体"/>
        </w:rPr>
      </w:pPr>
      <w:bookmarkStart w:id="180" w:name="_Toc240793028"/>
      <w:bookmarkStart w:id="181" w:name="_Toc26615"/>
      <w:bookmarkStart w:id="182" w:name="_Toc18535"/>
      <w:r>
        <w:t>完善应急处置机制</w:t>
      </w:r>
      <w:bookmarkEnd w:id="180"/>
      <w:bookmarkEnd w:id="181"/>
      <w:bookmarkEnd w:id="182"/>
    </w:p>
    <w:p>
      <w:pPr>
        <w:pStyle w:val="3"/>
        <w:widowControl/>
        <w:shd w:val="clear"/>
        <w:spacing w:line="360" w:lineRule="auto"/>
        <w:ind w:firstLine="480"/>
        <w:rPr>
          <w:rFonts w:ascii="宋体" w:hAnsi="宋体" w:cs="宋体"/>
          <w:color w:val="0F1115"/>
        </w:rPr>
      </w:pPr>
      <w:r>
        <w:rPr>
          <w:rFonts w:hint="eastAsia" w:ascii="宋体" w:hAnsi="宋体" w:cs="宋体"/>
          <w:color w:val="0F1115"/>
        </w:rPr>
        <w:t>强化临灾预警“叫应”和跟踪反馈机制，确保预警直达基层、到人。依托地质灾害防御技术支撑队伍，严格落实应急调查机制，做好会商研判、应急调查、应急处置等工作，加强应急调查、应急监测、应急通信等技术装备配备，确保关键时刻撤得出、防得住，切实提高紧急避险能力。</w:t>
      </w:r>
    </w:p>
    <w:p>
      <w:pPr>
        <w:pStyle w:val="9"/>
        <w:widowControl/>
        <w:numPr>
          <w:ilvl w:val="0"/>
          <w:numId w:val="19"/>
        </w:numPr>
        <w:shd w:val="clear" w:color="auto"/>
        <w:spacing w:line="360" w:lineRule="auto"/>
        <w:rPr>
          <w:rFonts w:ascii="宋体" w:hAnsi="宋体" w:eastAsia="宋体" w:cs="宋体"/>
        </w:rPr>
      </w:pPr>
      <w:bookmarkStart w:id="183" w:name="_Toc17482"/>
      <w:bookmarkStart w:id="184" w:name="_Toc240793029"/>
      <w:bookmarkStart w:id="185" w:name="_Toc6828"/>
      <w:r>
        <w:t>创新科普宣传形式</w:t>
      </w:r>
      <w:bookmarkEnd w:id="183"/>
      <w:bookmarkEnd w:id="184"/>
      <w:bookmarkEnd w:id="185"/>
    </w:p>
    <w:p>
      <w:pPr>
        <w:pStyle w:val="3"/>
        <w:widowControl/>
        <w:shd w:val="clear"/>
        <w:spacing w:line="360" w:lineRule="auto"/>
        <w:ind w:firstLine="480"/>
        <w:rPr>
          <w:rFonts w:ascii="宋体" w:hAnsi="宋体" w:cs="宋体"/>
          <w:color w:val="0F1115"/>
        </w:rPr>
      </w:pPr>
      <w:r>
        <w:rPr>
          <w:rFonts w:hint="eastAsia" w:ascii="宋体" w:hAnsi="宋体" w:cs="宋体"/>
          <w:color w:val="0F1115"/>
        </w:rPr>
        <w:t>推进地质灾害科普宣传形式创新，坚持专业性，突出科普性，融入趣味性。开展地质灾害防治知识普及活动，提高公众的防灾意识和自救能力。五年规划期实现14个区县科普培训全覆盖。</w:t>
      </w:r>
    </w:p>
    <w:p>
      <w:pPr>
        <w:pStyle w:val="3"/>
        <w:widowControl/>
        <w:shd w:val="clear"/>
        <w:spacing w:line="360" w:lineRule="auto"/>
        <w:ind w:firstLine="482"/>
        <w:jc w:val="center"/>
        <w:rPr>
          <w:rFonts w:ascii="宋体" w:hAnsi="宋体" w:cs="宋体"/>
          <w:b/>
          <w:bCs/>
        </w:rPr>
      </w:pPr>
      <w:r>
        <w:rPr>
          <w:rFonts w:hint="eastAsia" w:ascii="宋体" w:hAnsi="宋体" w:cs="宋体"/>
          <w:b/>
          <w:bCs/>
        </w:rPr>
        <w:t>专栏六 防御响应工作部署</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557"/>
        <w:gridCol w:w="5281"/>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91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工作类别</w:t>
            </w:r>
          </w:p>
        </w:tc>
        <w:tc>
          <w:tcPr>
            <w:tcW w:w="3089"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具体任务</w:t>
            </w:r>
          </w:p>
        </w:tc>
        <w:tc>
          <w:tcPr>
            <w:tcW w:w="999"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实施周期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1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培训演练</w:t>
            </w:r>
          </w:p>
        </w:tc>
        <w:tc>
          <w:tcPr>
            <w:tcW w:w="3089"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重点乡镇每年全员避险转移实战演练</w:t>
            </w:r>
          </w:p>
        </w:tc>
        <w:tc>
          <w:tcPr>
            <w:tcW w:w="999"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911"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科普宣传</w:t>
            </w:r>
          </w:p>
        </w:tc>
        <w:tc>
          <w:tcPr>
            <w:tcW w:w="3089"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14个区县全覆盖</w:t>
            </w:r>
          </w:p>
        </w:tc>
        <w:tc>
          <w:tcPr>
            <w:tcW w:w="999"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bl>
    <w:p>
      <w:pPr>
        <w:pStyle w:val="8"/>
        <w:widowControl/>
        <w:numPr>
          <w:ilvl w:val="0"/>
          <w:numId w:val="14"/>
        </w:numPr>
        <w:shd w:val="clear" w:color="auto"/>
        <w:spacing w:line="360" w:lineRule="auto"/>
        <w:rPr>
          <w:rFonts w:ascii="宋体" w:hAnsi="宋体" w:eastAsia="宋体" w:cs="宋体"/>
        </w:rPr>
      </w:pPr>
      <w:bookmarkStart w:id="186" w:name="_Toc10079"/>
      <w:bookmarkStart w:id="187" w:name="_Toc240793030"/>
      <w:r>
        <w:t>风险管控</w:t>
      </w:r>
      <w:bookmarkEnd w:id="186"/>
      <w:bookmarkEnd w:id="187"/>
    </w:p>
    <w:p>
      <w:pPr>
        <w:pStyle w:val="9"/>
        <w:widowControl/>
        <w:numPr>
          <w:ilvl w:val="0"/>
          <w:numId w:val="20"/>
        </w:numPr>
        <w:shd w:val="clear" w:color="auto"/>
        <w:spacing w:line="360" w:lineRule="auto"/>
        <w:rPr>
          <w:rFonts w:ascii="宋体" w:hAnsi="宋体" w:eastAsia="宋体" w:cs="宋体"/>
        </w:rPr>
      </w:pPr>
      <w:bookmarkStart w:id="188" w:name="_Toc240793031"/>
      <w:bookmarkStart w:id="189" w:name="_Toc4338"/>
      <w:bookmarkStart w:id="190" w:name="_Toc24806"/>
      <w:r>
        <w:t>健全责任体系</w:t>
      </w:r>
      <w:bookmarkEnd w:id="188"/>
      <w:bookmarkEnd w:id="189"/>
      <w:bookmarkEnd w:id="190"/>
    </w:p>
    <w:p>
      <w:pPr>
        <w:pStyle w:val="3"/>
        <w:widowControl/>
        <w:shd w:val="clear"/>
        <w:spacing w:line="360" w:lineRule="auto"/>
        <w:ind w:firstLine="480"/>
        <w:rPr>
          <w:rFonts w:ascii="宋体" w:hAnsi="宋体" w:cs="宋体"/>
          <w:color w:val="0F1115"/>
        </w:rPr>
      </w:pPr>
      <w:r>
        <w:rPr>
          <w:rFonts w:hint="eastAsia" w:ascii="宋体" w:hAnsi="宋体" w:cs="宋体"/>
          <w:color w:val="0F1115"/>
        </w:rPr>
        <w:t>建立风险管控责任清单，落实风险双控责任人，构建风险双控“一张网”。建立“市—县—乡—村—组”五级网格化责任体系，确保纵向贯通。建立各行业领域协同工作体系，提高灾害风险的及时发现与临机排险能力，构建层层负责、岗岗有责、人人担责、全社会参与的防控格局。</w:t>
      </w:r>
    </w:p>
    <w:p>
      <w:pPr>
        <w:pStyle w:val="9"/>
        <w:widowControl/>
        <w:numPr>
          <w:ilvl w:val="0"/>
          <w:numId w:val="20"/>
        </w:numPr>
        <w:shd w:val="clear" w:color="auto"/>
        <w:spacing w:line="360" w:lineRule="auto"/>
        <w:rPr>
          <w:rFonts w:ascii="宋体" w:hAnsi="宋体" w:eastAsia="宋体" w:cs="宋体"/>
        </w:rPr>
      </w:pPr>
      <w:bookmarkStart w:id="191" w:name="_Toc240793032"/>
      <w:bookmarkStart w:id="192" w:name="_Toc31460"/>
      <w:bookmarkStart w:id="193" w:name="_Toc5792"/>
      <w:r>
        <w:t>强化规划管控</w:t>
      </w:r>
      <w:bookmarkEnd w:id="191"/>
      <w:bookmarkEnd w:id="192"/>
      <w:bookmarkEnd w:id="193"/>
    </w:p>
    <w:p>
      <w:pPr>
        <w:pStyle w:val="3"/>
        <w:widowControl/>
        <w:shd w:val="clear"/>
        <w:spacing w:line="360" w:lineRule="auto"/>
        <w:ind w:firstLine="480"/>
        <w:rPr>
          <w:rFonts w:ascii="宋体" w:hAnsi="宋体" w:cs="宋体"/>
          <w:color w:val="0F1115"/>
        </w:rPr>
      </w:pPr>
      <w:r>
        <w:rPr>
          <w:rFonts w:hint="eastAsia" w:ascii="宋体" w:hAnsi="宋体" w:cs="宋体"/>
          <w:color w:val="0F1115"/>
        </w:rPr>
        <w:t>充分发挥地质灾害更新调查在国土空间规划中的先行性、基础性作用。依据地质灾害风险分区，优化城乡空间布局与建设用地安排，将地质灾害风险防控要求纳入国土空间规划，实现隐患点与风险区动态更新、精准管理，从源头管控规划建设区内引发的地质灾害风险。</w:t>
      </w:r>
    </w:p>
    <w:p>
      <w:pPr>
        <w:pStyle w:val="3"/>
        <w:widowControl/>
        <w:shd w:val="clear"/>
        <w:spacing w:line="360" w:lineRule="auto"/>
        <w:ind w:firstLine="482"/>
        <w:jc w:val="center"/>
        <w:rPr>
          <w:rFonts w:ascii="宋体" w:hAnsi="宋体" w:cs="宋体"/>
          <w:b/>
          <w:bCs/>
        </w:rPr>
      </w:pPr>
      <w:r>
        <w:rPr>
          <w:rFonts w:hint="eastAsia" w:ascii="宋体" w:hAnsi="宋体" w:cs="宋体"/>
          <w:b/>
          <w:bCs/>
        </w:rPr>
        <w:t>专栏七 风险管控工作部署</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382"/>
        <w:gridCol w:w="5649"/>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jc w:val="center"/>
        </w:trPr>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工作类别</w:t>
            </w:r>
          </w:p>
        </w:tc>
        <w:tc>
          <w:tcPr>
            <w:tcW w:w="3304"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具体任务</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b/>
                <w:bCs/>
                <w:color w:val="000000" w:themeColor="dark1"/>
                <w14:textFill>
                  <w14:solidFill>
                    <w14:schemeClr w14:val="dk1"/>
                  </w14:solidFill>
                </w14:textFill>
              </w:rPr>
            </w:pPr>
            <w:r>
              <w:rPr>
                <w:rFonts w:hint="eastAsia" w:ascii="宋体" w:hAnsi="宋体" w:eastAsia="宋体" w:cs="宋体"/>
                <w:b/>
                <w:bCs/>
                <w:color w:val="000000" w:themeColor="dark1"/>
                <w:kern w:val="0"/>
                <w:sz w:val="24"/>
                <w:lang w:bidi="ar"/>
                <w14:textFill>
                  <w14:solidFill>
                    <w14:schemeClr w14:val="dk1"/>
                  </w14:solidFill>
                </w14:textFill>
              </w:rPr>
              <w:t>实施周期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责任体系</w:t>
            </w:r>
          </w:p>
        </w:tc>
        <w:tc>
          <w:tcPr>
            <w:tcW w:w="3304"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五级网格化责任体系</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08"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规划管控</w:t>
            </w:r>
          </w:p>
        </w:tc>
        <w:tc>
          <w:tcPr>
            <w:tcW w:w="3304"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风险矢量图层接入国土空间规划"三区三线"</w:t>
            </w:r>
          </w:p>
        </w:tc>
        <w:tc>
          <w:tcPr>
            <w:tcW w:w="886" w:type="pct"/>
            <w:shd w:val="clear" w:color="auto" w:fill="auto"/>
            <w:tcMar>
              <w:top w:w="120" w:type="dxa"/>
              <w:left w:w="120" w:type="dxa"/>
              <w:bottom w:w="120" w:type="dxa"/>
              <w:right w:w="120" w:type="dxa"/>
            </w:tcMar>
            <w:vAlign w:val="center"/>
          </w:tcPr>
          <w:p>
            <w:pPr>
              <w:widowControl/>
              <w:shd w:val="clear"/>
              <w:spacing w:line="360" w:lineRule="auto"/>
              <w:jc w:val="center"/>
              <w:rPr>
                <w:rFonts w:ascii="宋体" w:hAnsi="宋体" w:eastAsia="宋体" w:cs="宋体"/>
                <w:color w:val="08090C"/>
              </w:rPr>
            </w:pPr>
            <w:r>
              <w:rPr>
                <w:rFonts w:hint="eastAsia" w:ascii="宋体" w:hAnsi="宋体" w:eastAsia="宋体" w:cs="宋体"/>
                <w:color w:val="08090C"/>
                <w:kern w:val="0"/>
                <w:sz w:val="24"/>
                <w:lang w:bidi="ar"/>
              </w:rPr>
              <w:t>2026-2030</w:t>
            </w:r>
          </w:p>
        </w:tc>
      </w:tr>
    </w:tbl>
    <w:p>
      <w:pPr>
        <w:widowControl/>
        <w:shd w:val="clear" w:color="auto"/>
        <w:spacing w:before="192" w:after="192" w:line="360" w:lineRule="auto"/>
        <w:rPr>
          <w:rFonts w:ascii="宋体" w:hAnsi="宋体" w:eastAsia="宋体" w:cs="宋体"/>
          <w:color w:val="0F1115"/>
          <w:shd w:val="clear" w:color="auto" w:fill="FFFFFF"/>
        </w:rPr>
      </w:pPr>
    </w:p>
    <w:p>
      <w:pPr>
        <w:widowControl/>
        <w:shd w:val="clear" w:color="auto"/>
        <w:spacing w:before="192" w:after="192" w:line="360" w:lineRule="auto"/>
        <w:ind w:firstLine="420" w:firstLineChars="200"/>
        <w:rPr>
          <w:rFonts w:ascii="宋体" w:hAnsi="宋体" w:eastAsia="宋体" w:cs="宋体"/>
          <w:color w:val="0F1115"/>
          <w:shd w:val="clear" w:color="auto" w:fill="FFFFFF"/>
        </w:rPr>
      </w:pPr>
    </w:p>
    <w:p>
      <w:pPr>
        <w:shd w:val="clear"/>
        <w:spacing w:line="360" w:lineRule="auto"/>
        <w:rPr>
          <w:rFonts w:ascii="宋体" w:hAnsi="宋体" w:eastAsia="宋体" w:cs="宋体"/>
        </w:rPr>
      </w:pPr>
      <w:r>
        <w:rPr>
          <w:rFonts w:hint="eastAsia" w:ascii="宋体" w:hAnsi="宋体" w:eastAsia="宋体" w:cs="宋体"/>
        </w:rPr>
        <w:br w:type="page"/>
      </w:r>
    </w:p>
    <w:p>
      <w:pPr>
        <w:pStyle w:val="7"/>
        <w:widowControl/>
        <w:shd w:val="clear" w:color="auto"/>
        <w:spacing w:line="360" w:lineRule="auto"/>
        <w:rPr>
          <w:rFonts w:ascii="宋体" w:hAnsi="宋体" w:eastAsia="宋体" w:cs="宋体"/>
        </w:rPr>
      </w:pPr>
      <w:bookmarkStart w:id="194" w:name="_Toc10770"/>
      <w:bookmarkStart w:id="195" w:name="_Toc240793033"/>
      <w:r>
        <w:rPr>
          <w:rFonts w:hint="eastAsia" w:ascii="宋体" w:hAnsi="宋体" w:eastAsia="宋体" w:cs="宋体"/>
        </w:rPr>
        <w:t>五、</w:t>
      </w:r>
      <w:r>
        <w:t>保障措施</w:t>
      </w:r>
      <w:bookmarkEnd w:id="194"/>
      <w:bookmarkEnd w:id="195"/>
    </w:p>
    <w:p>
      <w:pPr>
        <w:pStyle w:val="8"/>
        <w:widowControl/>
        <w:numPr>
          <w:ilvl w:val="0"/>
          <w:numId w:val="21"/>
        </w:numPr>
        <w:shd w:val="clear" w:color="auto"/>
        <w:spacing w:line="360" w:lineRule="auto"/>
        <w:rPr>
          <w:rFonts w:ascii="宋体" w:hAnsi="宋体" w:eastAsia="宋体" w:cs="宋体"/>
        </w:rPr>
      </w:pPr>
      <w:bookmarkStart w:id="196" w:name="_Toc240793034"/>
      <w:bookmarkStart w:id="197" w:name="_Toc32573"/>
      <w:r>
        <w:t>组织领导</w:t>
      </w:r>
      <w:bookmarkEnd w:id="196"/>
      <w:bookmarkEnd w:id="197"/>
    </w:p>
    <w:p>
      <w:pPr>
        <w:pStyle w:val="3"/>
        <w:widowControl/>
        <w:shd w:val="clear"/>
        <w:spacing w:line="360" w:lineRule="auto"/>
        <w:ind w:firstLine="480"/>
        <w:rPr>
          <w:rFonts w:ascii="宋体" w:hAnsi="宋体" w:cs="宋体"/>
          <w:color w:val="0F1115"/>
        </w:rPr>
      </w:pPr>
      <w:r>
        <w:rPr>
          <w:rFonts w:hint="eastAsia" w:ascii="宋体" w:hAnsi="宋体" w:cs="宋体"/>
          <w:color w:val="0F1115"/>
        </w:rPr>
        <w:t>强化“党委领导、政府负责、部门联动、全民参与、专业支撑”五位一体责任体系建设。市、县两级人民政府对本行政区域内地质灾害防治工作负总责，政府主要负责同志为第一责任人，分管负责同志为直接责任人。将地质灾害防治工作纳入市、县、乡三级政府重要议事日程，定期研究部署重点工作，协调解决重大问题。</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明确部门职责。</w:t>
      </w:r>
      <w:r>
        <w:rPr>
          <w:rFonts w:hint="eastAsia" w:ascii="宋体" w:hAnsi="宋体" w:cs="宋体"/>
          <w:color w:val="0F1115"/>
        </w:rPr>
        <w:t>市自然资源和规划局负责全市地质灾害防治工作的组织、协调、指导和监督，牵头做好调查评价、监测预警、综合治理等日常工作，配合应急管理部门做好地质灾害应急救援技术支撑。市应急管理局负责地质灾害应急救援组织协调、应急预案管理与演练指导。市交通运输局负责公路沿线地质灾害隐患排查治理。市水利局负责水利设施及库区周边地质灾害防治。市住房和城乡建设局负责在建工程、削坡建房区域地质灾害风险管控。市气象局负责气象风险预警信息发布与共享。教育、文旅、矿山等行业主管部门按照“管行业必须管安全”原则，做好本行业领域地质灾害防治工作。</w:t>
      </w:r>
    </w:p>
    <w:p>
      <w:pPr>
        <w:pStyle w:val="3"/>
        <w:widowControl/>
        <w:spacing w:line="360" w:lineRule="auto"/>
        <w:ind w:firstLine="482"/>
        <w:rPr>
          <w:rFonts w:ascii="宋体" w:hAnsi="宋体" w:cs="宋体"/>
          <w:color w:val="0F1115"/>
        </w:rPr>
      </w:pPr>
      <w:r>
        <w:rPr>
          <w:rFonts w:hint="eastAsia" w:ascii="宋体" w:hAnsi="宋体" w:cs="宋体"/>
          <w:b/>
          <w:color w:val="0F1115"/>
        </w:rPr>
        <w:t>小浪底水库库岸地质灾害防治。</w:t>
      </w:r>
      <w:r>
        <w:rPr>
          <w:rFonts w:hint="eastAsia" w:ascii="宋体" w:hAnsi="宋体" w:cs="宋体"/>
          <w:color w:val="0F1115"/>
        </w:rPr>
        <w:t>小浪底水库洛阳境内库岸及周边区域的地质灾害防治，由属地县（区）人民政府负责日常巡排查和监测预警，市水利局、市自然资源和规划局配合做好技术指导和协调工作。涉及水库运行管理单位职责的，按照《中华人民共和国黄河保护法》及有关规定执行。</w:t>
      </w:r>
    </w:p>
    <w:p>
      <w:pPr>
        <w:pStyle w:val="3"/>
        <w:widowControl/>
        <w:spacing w:line="360" w:lineRule="auto"/>
        <w:ind w:firstLine="482"/>
        <w:rPr>
          <w:rFonts w:ascii="宋体" w:hAnsi="宋体" w:cs="宋体"/>
          <w:color w:val="0F1115"/>
        </w:rPr>
      </w:pPr>
      <w:r>
        <w:rPr>
          <w:rFonts w:hint="eastAsia" w:ascii="宋体" w:hAnsi="宋体" w:cs="宋体"/>
          <w:b/>
          <w:color w:val="0F1115"/>
        </w:rPr>
        <w:t>压实基层责任。</w:t>
      </w:r>
      <w:r>
        <w:rPr>
          <w:rFonts w:hint="eastAsia" w:ascii="宋体" w:hAnsi="宋体" w:cs="宋体"/>
          <w:color w:val="0F1115"/>
        </w:rPr>
        <w:t>各县（区）人民政府为本辖区地质灾害防治工作第一责任主体。各乡镇（街道）负责辖区内隐患巡排查、群测群防、预警信息传达、群众转移等具体工作。各村（社区）落实隐患点、风险斜坡日常巡查监测责任，将防灾责任逐级细化到具体责任人。建立市、县、乡、村四级责任清单，实行年度目标考核。</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建立协同机制。</w:t>
      </w:r>
      <w:r>
        <w:rPr>
          <w:rFonts w:hint="eastAsia" w:ascii="宋体" w:hAnsi="宋体" w:cs="宋体"/>
          <w:color w:val="0F1115"/>
        </w:rPr>
        <w:t>由市自然资源和规划局牵头，联合应急、交通、水利、住建、气象等部门建立地质灾害防治季度联席会议制度，实现隐患台账、降雨数据、边坡信息、采空区数据等跨部门信息共享。建立地质灾害防治项目联合审查机制，避免重复勘查、重复投入。突发地质灾害险情时，各部门按照应急预案迅速响应、协同处置。</w:t>
      </w:r>
    </w:p>
    <w:p>
      <w:pPr>
        <w:pStyle w:val="8"/>
        <w:widowControl/>
        <w:numPr>
          <w:ilvl w:val="0"/>
          <w:numId w:val="21"/>
        </w:numPr>
        <w:shd w:val="clear" w:color="auto"/>
        <w:spacing w:line="360" w:lineRule="auto"/>
        <w:rPr>
          <w:rFonts w:ascii="宋体" w:hAnsi="宋体" w:eastAsia="宋体" w:cs="宋体"/>
        </w:rPr>
      </w:pPr>
      <w:bookmarkStart w:id="198" w:name="_Toc240793035"/>
      <w:bookmarkStart w:id="199" w:name="_Toc6763"/>
      <w:r>
        <w:t>资金保障</w:t>
      </w:r>
      <w:bookmarkEnd w:id="198"/>
      <w:bookmarkEnd w:id="199"/>
    </w:p>
    <w:p>
      <w:pPr>
        <w:pStyle w:val="3"/>
        <w:widowControl/>
        <w:shd w:val="clear"/>
        <w:spacing w:line="360" w:lineRule="auto"/>
        <w:ind w:firstLine="480"/>
        <w:rPr>
          <w:rFonts w:ascii="宋体" w:hAnsi="宋体" w:cs="宋体"/>
          <w:color w:val="0F1115"/>
        </w:rPr>
      </w:pPr>
      <w:r>
        <w:rPr>
          <w:rFonts w:hint="eastAsia" w:ascii="宋体" w:hAnsi="宋体" w:cs="宋体"/>
          <w:color w:val="0F1115"/>
        </w:rPr>
        <w:t>建立“中央和省级财政支持、市县级财政刚性配套、社会资本多元参与”的地质灾害防治资金保障体系。市、县两级人民政府应将地质灾害防治工作经费纳入年度财政预算。</w:t>
      </w:r>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总投资17277.2万元，其中一次性固定资产工程投资14677.2万元、五年常态化运维经费2600万元（详见附表十）。投资标准参照《河南省国土空间生态保护修复项目预算定额标准》（豫财环资〔2025〕123号）及近年洛阳同类项目结算数据测算。一次性工程投资通过争取中央和省级专项资金、市县财政配套等多渠道筹措。常态化运维经费由市、县两级财政年度预算单独列支保障，不纳入项目储备库。</w:t>
      </w:r>
    </w:p>
    <w:p>
      <w:pPr>
        <w:pStyle w:val="3"/>
        <w:widowControl/>
        <w:spacing w:line="360" w:lineRule="auto"/>
        <w:ind w:firstLine="480"/>
        <w:rPr>
          <w:rFonts w:ascii="宋体" w:hAnsi="宋体" w:cs="宋体"/>
          <w:color w:val="0F1115"/>
        </w:rPr>
      </w:pPr>
      <w:r>
        <w:rPr>
          <w:rFonts w:hint="eastAsia" w:ascii="宋体" w:hAnsi="宋体" w:cs="宋体"/>
          <w:color w:val="0F1115"/>
        </w:rPr>
        <w:t>严格执行项目预算定额标准，规范概预算编制与审批。中央和省级专项资金项目严格按照上级资金管理办法执行，专款专用、封闭运行。市县财政配套资金按照项目进度拨付，足额及时到位。建立项目资金使用全过程监管机制，定期开展审计。</w:t>
      </w:r>
    </w:p>
    <w:p>
      <w:pPr>
        <w:pStyle w:val="3"/>
        <w:widowControl/>
        <w:spacing w:line="360" w:lineRule="auto"/>
        <w:ind w:firstLine="480"/>
        <w:rPr>
          <w:rFonts w:ascii="宋体" w:hAnsi="宋体" w:cs="宋体"/>
          <w:color w:val="0F1115"/>
        </w:rPr>
      </w:pPr>
      <w:r>
        <w:rPr>
          <w:rFonts w:hint="eastAsia" w:ascii="宋体" w:hAnsi="宋体" w:cs="宋体"/>
          <w:color w:val="0F1115"/>
        </w:rPr>
        <w:t>积极争取中央和省级地质灾害防治专项资金，用足用好“十五五”政策红利。按照“谁引发、谁治理”原则，落实矿山企业、建设单位等责任主体的治理资金。统筹整合山水林田湖草沙一体化保护修复、国土综合整治、乡村振兴等相关项目资金，形成资金合力。</w:t>
      </w:r>
    </w:p>
    <w:p>
      <w:pPr>
        <w:pStyle w:val="3"/>
        <w:shd w:val="clear"/>
        <w:ind w:firstLine="480"/>
      </w:pPr>
      <w:r>
        <w:rPr>
          <w:rFonts w:hint="eastAsia" w:ascii="宋体" w:hAnsi="宋体" w:cs="宋体"/>
          <w:color w:val="0F1115"/>
        </w:rPr>
        <w:t>按照省、市、县财政事权和支出责任，分类明确经费来源：调查评价类工程（50个高风险乡镇1∶1万精细化调查等）以市级财政投入为主，积极争取省级地质灾害调查专项补助；监测预警类工程（自动化监测站点建设、存量改造及市级预警平台）积极争取中央和省级地质灾害防治专项资金、市级财政配套，建成后的站点运维、群测群防员补贴、避险场地管护和科普培训等常态化经费纳入市、县年度财政预算予以刚性保障；综合治理类工程（工程治理、避险搬迁、排危除险、防灾配套）以中央和省级专项资金为主、市县财政配套，避险搬迁统筹整合生态移民、全域土地综合整治、乡村振兴等相关资金，农村切坡建房、矿山和工程建设等人为活动诱发的隐患按照“谁引发、谁治理”由责任主体承担治理费用，形成“中央补助、省级统筹、地方配套、社会参与”的多元投入机制。</w:t>
      </w:r>
    </w:p>
    <w:p>
      <w:pPr>
        <w:pStyle w:val="8"/>
        <w:widowControl/>
        <w:numPr>
          <w:ilvl w:val="0"/>
          <w:numId w:val="21"/>
        </w:numPr>
        <w:shd w:val="clear" w:color="auto"/>
        <w:spacing w:line="360" w:lineRule="auto"/>
        <w:rPr>
          <w:rFonts w:ascii="宋体" w:hAnsi="宋体" w:eastAsia="宋体" w:cs="宋体"/>
        </w:rPr>
      </w:pPr>
      <w:bookmarkStart w:id="200" w:name="_Toc240793036"/>
      <w:bookmarkStart w:id="201" w:name="_Toc23877"/>
      <w:r>
        <w:t>监督考核</w:t>
      </w:r>
      <w:bookmarkEnd w:id="200"/>
      <w:bookmarkEnd w:id="201"/>
    </w:p>
    <w:p>
      <w:pPr>
        <w:pStyle w:val="3"/>
        <w:widowControl/>
        <w:shd w:val="clear"/>
        <w:spacing w:line="360" w:lineRule="auto"/>
        <w:ind w:firstLine="482"/>
        <w:rPr>
          <w:rFonts w:ascii="宋体" w:hAnsi="宋体" w:cs="宋体"/>
          <w:color w:val="0F1115"/>
        </w:rPr>
      </w:pPr>
      <w:r>
        <w:rPr>
          <w:rFonts w:hint="eastAsia" w:ascii="宋体" w:hAnsi="宋体" w:cs="宋体"/>
          <w:b/>
          <w:color w:val="0F1115"/>
        </w:rPr>
        <w:t>动态监测制度。</w:t>
      </w:r>
      <w:r>
        <w:rPr>
          <w:rFonts w:hint="eastAsia" w:ascii="宋体" w:hAnsi="宋体" w:cs="宋体"/>
          <w:color w:val="0F1115"/>
        </w:rPr>
        <w:t>建立规划实施年度监测和定期评估制度。每年12月底完成年度实施评估，对下一年度项目清单动态调整。2028年组织开展规划中期全面评估与修编。2030年编制规划五年综合实施总报告，全面总结规划实施成效。评估结果作为下一年度项目安排、资金分配的重要依据。</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绩效考核与督查。</w:t>
      </w:r>
      <w:r>
        <w:rPr>
          <w:rFonts w:hint="eastAsia" w:ascii="宋体" w:hAnsi="宋体" w:cs="宋体"/>
          <w:color w:val="0F1115"/>
        </w:rPr>
        <w:t>将地质灾害防治工作纳入市、县两级政府年度绩效考核体系。结合年度地质灾害防治方案下达的目标任务，对各县（区）规划实施情况进行量化考核。建立季度督查、年度考核制度，采取专项督查、“四不两直”等方式定期检查工作落实情况。对工作推进不力、任务完成滞后的地区通报约谈；对因领导不力、推诿扯皮、失职渎职造成严重后果的，依法依规严肃追究责任。</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项目闭环管理。</w:t>
      </w:r>
      <w:r>
        <w:rPr>
          <w:rFonts w:hint="eastAsia" w:ascii="宋体" w:hAnsi="宋体" w:cs="宋体"/>
          <w:color w:val="0F1115"/>
        </w:rPr>
        <w:t>建立“项目储备—申报入库—组织实施—竣工验收—销号更新”全周期闭环管理制度。所有治理工程、搬迁项目完工后，由市自然资源和规划局牵头组织联合验收，验收合格后在隐患台账中统一销号。建立治理工程后期管护制度，对已完工治理构筑物开展常态化年度巡查维护。</w:t>
      </w:r>
    </w:p>
    <w:p>
      <w:pPr>
        <w:pStyle w:val="8"/>
        <w:widowControl/>
        <w:numPr>
          <w:ilvl w:val="0"/>
          <w:numId w:val="21"/>
        </w:numPr>
        <w:shd w:val="clear" w:color="auto"/>
        <w:spacing w:line="360" w:lineRule="auto"/>
        <w:rPr>
          <w:rFonts w:ascii="宋体" w:hAnsi="宋体" w:eastAsia="宋体" w:cs="宋体"/>
        </w:rPr>
      </w:pPr>
      <w:bookmarkStart w:id="202" w:name="_Toc240793037"/>
      <w:bookmarkStart w:id="203" w:name="_Toc27191"/>
      <w:r>
        <w:t>技术支撑</w:t>
      </w:r>
      <w:bookmarkEnd w:id="202"/>
      <w:bookmarkEnd w:id="203"/>
    </w:p>
    <w:p>
      <w:pPr>
        <w:pStyle w:val="3"/>
        <w:widowControl/>
        <w:shd w:val="clear"/>
        <w:spacing w:line="360" w:lineRule="auto"/>
        <w:ind w:firstLine="482"/>
        <w:rPr>
          <w:rFonts w:ascii="宋体" w:hAnsi="宋体" w:cs="宋体"/>
          <w:color w:val="0F1115"/>
        </w:rPr>
      </w:pPr>
      <w:r>
        <w:rPr>
          <w:rFonts w:hint="eastAsia" w:ascii="宋体" w:hAnsi="宋体" w:cs="宋体"/>
          <w:b/>
          <w:color w:val="0F1115"/>
        </w:rPr>
        <w:t>专业队伍建设。</w:t>
      </w:r>
      <w:r>
        <w:rPr>
          <w:rFonts w:hint="eastAsia" w:ascii="宋体" w:hAnsi="宋体" w:cs="宋体"/>
          <w:color w:val="0F1115"/>
        </w:rPr>
        <w:t>依托驻洛7家甲级地勘单位组建市级技术支撑团队。推动各县（区）自然资源部门配备专职水工环地质专业技术人员，各乡镇明确地质灾害防治兼职工作人员。全市约1000名群测群防员全部登记造册、动态管理。定期组织专业技术培训，提升基层人员野外险情判别、治理方案初审、台账填报等专业能力。</w:t>
      </w:r>
    </w:p>
    <w:p>
      <w:pPr>
        <w:pStyle w:val="3"/>
        <w:widowControl/>
        <w:spacing w:line="360" w:lineRule="auto"/>
        <w:ind w:firstLine="482"/>
        <w:rPr>
          <w:rFonts w:ascii="宋体" w:hAnsi="宋体" w:cs="宋体"/>
          <w:color w:val="0F1115"/>
        </w:rPr>
      </w:pPr>
      <w:r>
        <w:rPr>
          <w:rFonts w:hint="eastAsia" w:ascii="宋体" w:hAnsi="宋体" w:cs="宋体"/>
          <w:b/>
          <w:color w:val="0F1115"/>
        </w:rPr>
        <w:t>信息化建设。</w:t>
      </w:r>
      <w:r>
        <w:rPr>
          <w:rFonts w:hint="eastAsia" w:ascii="宋体" w:hAnsi="宋体" w:cs="宋体"/>
          <w:color w:val="0F1115"/>
        </w:rPr>
        <w:t>推广应用卫星遥感、无人机航拍、物联网传感等新技术手段，提升隐患识别和监测预警能力。依托“国土一张图”平台，将隐患点、风险斜坡、监测站点、治理工程等矢量数据统一入库管理，实现线上动态更新。迭代升级市县级预警平台，建立完整叫应闭环流程。</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技术标准规范。</w:t>
      </w:r>
      <w:r>
        <w:rPr>
          <w:rFonts w:hint="eastAsia" w:ascii="宋体" w:hAnsi="宋体" w:cs="宋体"/>
          <w:color w:val="0F1115"/>
        </w:rPr>
        <w:t>严格执行《地质灾害危险性评估规范》（GB/T40112-2021）、《地质灾害风险调查评价技术要求（2024试行版）》等国家标准。结合洛阳实际，制定完善农村切坡建房管控、治理工程验收、监测站点运维管理等地方实施细则。</w:t>
      </w:r>
    </w:p>
    <w:p>
      <w:pPr>
        <w:pStyle w:val="8"/>
        <w:widowControl/>
        <w:numPr>
          <w:ilvl w:val="0"/>
          <w:numId w:val="21"/>
        </w:numPr>
        <w:shd w:val="clear" w:color="auto"/>
        <w:spacing w:line="360" w:lineRule="auto"/>
        <w:rPr>
          <w:rFonts w:ascii="宋体" w:hAnsi="宋体" w:eastAsia="宋体" w:cs="宋体"/>
        </w:rPr>
      </w:pPr>
      <w:bookmarkStart w:id="204" w:name="_Toc19151"/>
      <w:bookmarkStart w:id="205" w:name="_Toc240793038"/>
      <w:r>
        <w:t>宣传培训</w:t>
      </w:r>
      <w:bookmarkEnd w:id="204"/>
      <w:bookmarkEnd w:id="205"/>
    </w:p>
    <w:p>
      <w:pPr>
        <w:pStyle w:val="3"/>
        <w:widowControl/>
        <w:shd w:val="clear"/>
        <w:spacing w:line="360" w:lineRule="auto"/>
        <w:ind w:firstLine="482"/>
        <w:rPr>
          <w:rFonts w:ascii="宋体" w:hAnsi="宋体" w:cs="宋体"/>
          <w:color w:val="0F1115"/>
        </w:rPr>
      </w:pPr>
      <w:r>
        <w:rPr>
          <w:rFonts w:hint="eastAsia" w:ascii="宋体" w:hAnsi="宋体" w:cs="宋体"/>
          <w:b/>
          <w:color w:val="0F1115"/>
        </w:rPr>
        <w:t>科普宣传。</w:t>
      </w:r>
      <w:r>
        <w:rPr>
          <w:rFonts w:hint="eastAsia" w:ascii="宋体" w:hAnsi="宋体" w:cs="宋体"/>
          <w:color w:val="0F1115"/>
        </w:rPr>
        <w:t>各级政府及有关部门应将地质灾害防治法律法规、防灾减灾知识纳入宣传教育计划。充分利用广播、电视、报刊、互联网等融媒体平台，在每年“5·12”全国防灾减灾日、汛期等重点时段，集中开展多层次、多形式的宣传教育活动。五年规划期实现14个区县科普培训全覆盖。</w:t>
      </w:r>
    </w:p>
    <w:p>
      <w:pPr>
        <w:pStyle w:val="3"/>
        <w:widowControl/>
        <w:spacing w:line="360" w:lineRule="auto"/>
        <w:ind w:firstLine="482"/>
        <w:rPr>
          <w:rFonts w:ascii="宋体" w:hAnsi="宋体" w:cs="宋体"/>
          <w:color w:val="0F1115"/>
        </w:rPr>
      </w:pPr>
      <w:r>
        <w:rPr>
          <w:rFonts w:hint="eastAsia" w:ascii="宋体" w:hAnsi="宋体" w:cs="宋体"/>
          <w:b/>
          <w:color w:val="0F1115"/>
        </w:rPr>
        <w:t>人员培训。</w:t>
      </w:r>
      <w:r>
        <w:rPr>
          <w:rFonts w:hint="eastAsia" w:ascii="宋体" w:hAnsi="宋体" w:cs="宋体"/>
          <w:color w:val="0F1115"/>
        </w:rPr>
        <w:t>全市所有乡镇分管地质干部、在册隐患专职监测员每年至少完成1次野外实操专项培训。培训内容涵盖地质灾害基础知识、隐患识别排查、监测设备操作、预警信息处置、群众转移组织等实用技能。建立培训考核档案，确保培训质量。</w:t>
      </w:r>
    </w:p>
    <w:p>
      <w:pPr>
        <w:pStyle w:val="3"/>
        <w:widowControl/>
        <w:spacing w:line="360" w:lineRule="auto"/>
        <w:ind w:firstLine="482"/>
        <w:rPr>
          <w:rFonts w:ascii="宋体" w:hAnsi="宋体" w:cs="宋体"/>
          <w:color w:val="0F1115"/>
        </w:rPr>
      </w:pPr>
      <w:r>
        <w:rPr>
          <w:rFonts w:hint="eastAsia" w:ascii="宋体" w:hAnsi="宋体" w:cs="宋体"/>
          <w:b/>
          <w:color w:val="0F1115"/>
        </w:rPr>
        <w:t>应急演练。</w:t>
      </w:r>
      <w:r>
        <w:rPr>
          <w:rFonts w:hint="eastAsia" w:ascii="宋体" w:hAnsi="宋体" w:cs="宋体"/>
          <w:color w:val="0F1115"/>
        </w:rPr>
        <w:t>重点乡镇每年开展全员避险转移实战演练。演练聚焦预警响应、群众转移、安置保障等关键环节，检验预案、锻炼队伍、磨合机制。通过实战演练不断提高基层干部群众防灾意识和自救互救能力。</w:t>
      </w:r>
    </w:p>
    <w:p>
      <w:pPr>
        <w:spacing w:line="360" w:lineRule="auto"/>
        <w:rPr>
          <w:rFonts w:ascii="宋体" w:hAnsi="宋体" w:eastAsia="宋体" w:cs="宋体"/>
          <w:b/>
          <w:bCs/>
          <w:color w:val="0F1115"/>
          <w:sz w:val="36"/>
          <w:szCs w:val="36"/>
          <w:shd w:val="clear" w:color="auto" w:fill="FFFFFF"/>
        </w:rPr>
      </w:pPr>
      <w:r>
        <w:rPr>
          <w:rFonts w:hint="eastAsia" w:ascii="宋体" w:hAnsi="宋体" w:eastAsia="宋体" w:cs="宋体"/>
          <w:b/>
          <w:bCs/>
          <w:color w:val="0F1115"/>
          <w:sz w:val="36"/>
          <w:szCs w:val="36"/>
          <w:shd w:val="clear" w:color="auto" w:fill="FFFFFF"/>
        </w:rPr>
        <w:br w:type="page"/>
      </w:r>
    </w:p>
    <w:p>
      <w:pPr>
        <w:pStyle w:val="7"/>
        <w:widowControl/>
        <w:shd w:val="clear" w:color="auto"/>
        <w:spacing w:line="360" w:lineRule="auto"/>
        <w:rPr>
          <w:rFonts w:ascii="宋体" w:hAnsi="宋体" w:eastAsia="宋体" w:cs="宋体"/>
        </w:rPr>
      </w:pPr>
      <w:bookmarkStart w:id="206" w:name="_Toc15090"/>
      <w:bookmarkStart w:id="207" w:name="_Toc240793039"/>
      <w:r>
        <w:t>附则</w:t>
      </w:r>
      <w:bookmarkEnd w:id="206"/>
      <w:bookmarkEnd w:id="207"/>
    </w:p>
    <w:p>
      <w:pPr>
        <w:pStyle w:val="8"/>
        <w:widowControl/>
        <w:shd w:val="clear" w:color="auto"/>
        <w:spacing w:line="360" w:lineRule="auto"/>
        <w:rPr>
          <w:rFonts w:ascii="宋体" w:hAnsi="宋体" w:eastAsia="宋体" w:cs="宋体"/>
        </w:rPr>
      </w:pPr>
      <w:bookmarkStart w:id="208" w:name="_Toc240793040"/>
      <w:bookmarkStart w:id="209" w:name="_Toc31799"/>
      <w:r>
        <w:rPr>
          <w:rFonts w:hint="eastAsia" w:ascii="宋体" w:hAnsi="宋体" w:eastAsia="宋体" w:cs="宋体"/>
        </w:rPr>
        <w:t>（一）</w:t>
      </w:r>
      <w:r>
        <w:t>规划效力</w:t>
      </w:r>
      <w:bookmarkEnd w:id="208"/>
      <w:bookmarkEnd w:id="209"/>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为2026至2030年全市地质灾害风险防控、调查、监测、治理、搬迁、资金申报、年度考核的纲领性文件。各级政府、行业主管部门开展相关工作必须以本规划及配套附表、附图为执行依据，实施成效纳入全市防灾减灾、自然资源年度绩效考核，具备刚性约束效力。</w:t>
      </w:r>
    </w:p>
    <w:p>
      <w:pPr>
        <w:pStyle w:val="8"/>
        <w:widowControl/>
        <w:shd w:val="clear" w:color="auto"/>
        <w:spacing w:line="360" w:lineRule="auto"/>
        <w:rPr>
          <w:rFonts w:ascii="宋体" w:hAnsi="宋体" w:eastAsia="宋体" w:cs="宋体"/>
        </w:rPr>
      </w:pPr>
      <w:bookmarkStart w:id="210" w:name="_Toc240793041"/>
      <w:bookmarkStart w:id="211" w:name="_Toc27917"/>
      <w:r>
        <w:rPr>
          <w:rFonts w:hint="eastAsia" w:ascii="宋体" w:hAnsi="宋体" w:eastAsia="宋体" w:cs="宋体"/>
        </w:rPr>
        <w:t>（二）</w:t>
      </w:r>
      <w:r>
        <w:t>实施期限</w:t>
      </w:r>
      <w:bookmarkEnd w:id="210"/>
      <w:bookmarkEnd w:id="211"/>
    </w:p>
    <w:p>
      <w:pPr>
        <w:pStyle w:val="3"/>
        <w:widowControl/>
        <w:shd w:val="clear"/>
        <w:spacing w:line="360" w:lineRule="auto"/>
        <w:ind w:firstLine="480"/>
        <w:rPr>
          <w:rFonts w:ascii="宋体" w:hAnsi="宋体" w:cs="宋体"/>
          <w:color w:val="0F1115"/>
        </w:rPr>
      </w:pPr>
      <w:r>
        <w:rPr>
          <w:rFonts w:hint="eastAsia" w:ascii="宋体" w:hAnsi="宋体" w:cs="宋体"/>
          <w:color w:val="0F1115"/>
        </w:rPr>
        <w:t>法定实施周期为2026年1月1日至2030年12月31日。期满后结合五年实施评估和国家、省级新政策启动下一轮规划编制，实现工作无缝接续。</w:t>
      </w:r>
    </w:p>
    <w:p>
      <w:pPr>
        <w:pStyle w:val="8"/>
        <w:widowControl/>
        <w:shd w:val="clear" w:color="auto"/>
        <w:spacing w:line="360" w:lineRule="auto"/>
        <w:rPr>
          <w:rFonts w:ascii="宋体" w:hAnsi="宋体" w:eastAsia="宋体" w:cs="宋体"/>
        </w:rPr>
      </w:pPr>
      <w:bookmarkStart w:id="212" w:name="_Toc32654"/>
      <w:bookmarkStart w:id="213" w:name="_Toc240793042"/>
      <w:r>
        <w:rPr>
          <w:rFonts w:hint="eastAsia" w:ascii="宋体" w:hAnsi="宋体" w:eastAsia="宋体" w:cs="宋体"/>
        </w:rPr>
        <w:t>（三）</w:t>
      </w:r>
      <w:r>
        <w:t>解释权限</w:t>
      </w:r>
      <w:bookmarkEnd w:id="212"/>
      <w:bookmarkEnd w:id="213"/>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本规划由洛阳市自然资源和规划局牵头，联合市应急管理局、水利局、交通运输局、气象局共同承担解释职责。实施中政策、工程、投资口径问题由牵头单位依据法规规范统一答复。</w:t>
      </w:r>
    </w:p>
    <w:p>
      <w:pPr>
        <w:pStyle w:val="8"/>
        <w:widowControl/>
        <w:shd w:val="clear" w:color="auto"/>
        <w:spacing w:line="360" w:lineRule="auto"/>
        <w:rPr>
          <w:rFonts w:ascii="宋体" w:hAnsi="宋体" w:eastAsia="宋体" w:cs="宋体"/>
        </w:rPr>
      </w:pPr>
      <w:bookmarkStart w:id="214" w:name="_Toc20528"/>
      <w:bookmarkStart w:id="215" w:name="_Toc240793043"/>
      <w:r>
        <w:rPr>
          <w:rFonts w:hint="eastAsia" w:ascii="宋体" w:hAnsi="宋体" w:eastAsia="宋体" w:cs="宋体"/>
        </w:rPr>
        <w:t>（四）</w:t>
      </w:r>
      <w:r>
        <w:t>动态调整</w:t>
      </w:r>
      <w:bookmarkEnd w:id="214"/>
      <w:bookmarkEnd w:id="215"/>
    </w:p>
    <w:p>
      <w:pPr>
        <w:pStyle w:val="3"/>
        <w:widowControl/>
        <w:shd w:val="clear"/>
        <w:spacing w:line="360" w:lineRule="auto"/>
        <w:ind w:firstLine="480"/>
        <w:rPr>
          <w:rFonts w:ascii="宋体" w:hAnsi="宋体" w:cs="宋体"/>
          <w:color w:val="0F1115"/>
        </w:rPr>
      </w:pPr>
      <w:r>
        <w:rPr>
          <w:rFonts w:hint="eastAsia" w:ascii="宋体" w:hAnsi="宋体" w:cs="宋体"/>
          <w:color w:val="0F1115"/>
        </w:rPr>
        <w:t>实施周期内若上位政策重大修订、市域风险格局突变、重大基建落地、极端灾害新增大量隐患，可结合年度评估按法定程序微调文本、项目清单、投资匡算及全套附表。本规划与《洛阳市国土空间总体规划（2021—2035年）》《洛阳市黄河流域生态保护和高质量发展专项规划》及交通、水利各行业专项规划同步落地执行。未尽事宜，严格遵照国家、河南省现行相关法律法规和行业技术规范执行。</w:t>
      </w:r>
    </w:p>
    <w:p>
      <w:pPr>
        <w:pStyle w:val="8"/>
        <w:widowControl/>
        <w:shd w:val="clear" w:color="auto"/>
        <w:spacing w:line="360" w:lineRule="auto"/>
        <w:rPr>
          <w:rFonts w:ascii="宋体" w:hAnsi="宋体" w:eastAsia="宋体" w:cs="宋体"/>
        </w:rPr>
      </w:pPr>
      <w:bookmarkStart w:id="216" w:name="_Toc240793044"/>
      <w:bookmarkStart w:id="217" w:name="_Toc24654"/>
      <w:r>
        <w:rPr>
          <w:rFonts w:hint="eastAsia" w:ascii="宋体" w:hAnsi="宋体" w:eastAsia="宋体" w:cs="宋体"/>
        </w:rPr>
        <w:t>（五）</w:t>
      </w:r>
      <w:r>
        <w:t>规划研究报告</w:t>
      </w:r>
      <w:bookmarkEnd w:id="216"/>
      <w:bookmarkEnd w:id="217"/>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配套编制《洛阳市地质灾害防治“十五五”规划研究报告》，作为规划决策的技术支撑文件，内容包括规划背景、编制过程、数据分析、方案比选、指标测算依据、投资估算依据等，供规划管理和决策参考。</w:t>
      </w:r>
    </w:p>
    <w:p>
      <w:pPr>
        <w:pStyle w:val="8"/>
        <w:widowControl/>
        <w:shd w:val="clear" w:color="auto"/>
        <w:spacing w:line="360" w:lineRule="auto"/>
        <w:rPr>
          <w:rFonts w:ascii="宋体" w:hAnsi="宋体" w:eastAsia="宋体" w:cs="宋体"/>
        </w:rPr>
      </w:pPr>
      <w:bookmarkStart w:id="218" w:name="_Toc6806"/>
      <w:bookmarkStart w:id="219" w:name="_Toc240793045"/>
      <w:r>
        <w:rPr>
          <w:rFonts w:hint="eastAsia" w:ascii="宋体" w:hAnsi="宋体" w:eastAsia="宋体" w:cs="宋体"/>
        </w:rPr>
        <w:t>（六）</w:t>
      </w:r>
      <w:r>
        <w:t>附图编制依据</w:t>
      </w:r>
      <w:bookmarkEnd w:id="218"/>
      <w:bookmarkEnd w:id="219"/>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附图地质灾害类型符号及图例，依据《地质灾害风险调查评价编图规范》（DZ/T0473-2024）附录B执行，与省级规划附图保持一致。四张附图右下角统一标注编制单位（洛阳市自然资源和规划局）及编制时间（2026年8月）。</w:t>
      </w:r>
    </w:p>
    <w:p>
      <w:pPr>
        <w:pStyle w:val="8"/>
        <w:widowControl/>
        <w:shd w:val="clear" w:color="auto"/>
        <w:spacing w:line="360" w:lineRule="auto"/>
        <w:rPr>
          <w:rFonts w:ascii="宋体" w:hAnsi="宋体" w:eastAsia="宋体" w:cs="宋体"/>
        </w:rPr>
      </w:pPr>
      <w:bookmarkStart w:id="220" w:name="_Toc6599"/>
      <w:bookmarkStart w:id="221" w:name="_Toc240793046"/>
      <w:r>
        <w:rPr>
          <w:rFonts w:hint="eastAsia" w:ascii="宋体" w:hAnsi="宋体" w:eastAsia="宋体" w:cs="宋体"/>
        </w:rPr>
        <w:t>（七）</w:t>
      </w:r>
      <w:r>
        <w:t>生效日期</w:t>
      </w:r>
      <w:bookmarkEnd w:id="220"/>
      <w:bookmarkEnd w:id="221"/>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自洛阳市人民政府正式印发之日起生效。各县（区）、各行业主管部门立即对照规划总体管控目标、三级分区管控要求和附表工程项目清单分解年度工作任务，编制属地、行业年度实施细则，分阶段有序推进各项工作落地实施。</w:t>
      </w:r>
    </w:p>
    <w:p>
      <w:pPr>
        <w:pStyle w:val="8"/>
        <w:widowControl/>
        <w:shd w:val="clear" w:color="auto"/>
        <w:spacing w:line="360" w:lineRule="auto"/>
        <w:rPr>
          <w:rFonts w:ascii="宋体" w:hAnsi="宋体" w:eastAsia="宋体" w:cs="宋体"/>
        </w:rPr>
      </w:pPr>
      <w:bookmarkStart w:id="222" w:name="_Toc2123"/>
      <w:bookmarkStart w:id="223" w:name="_Toc240793047"/>
      <w:r>
        <w:rPr>
          <w:rFonts w:hint="eastAsia" w:ascii="宋体" w:hAnsi="宋体" w:eastAsia="宋体" w:cs="宋体"/>
        </w:rPr>
        <w:t>（八）</w:t>
      </w:r>
      <w:r>
        <w:t>档案管理</w:t>
      </w:r>
      <w:bookmarkEnd w:id="222"/>
      <w:bookmarkEnd w:id="223"/>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完整归档材料包含规划正式文本、全套附表、四张附图、专家评审意见书、年度评估报告、2028年中期修编成果、五年竣工总验收报告。档案统一由洛阳市自然资源和规划局长期保管，保管周期覆盖本轮规划实施全周期及下一轮规划编制衔接阶段。</w:t>
      </w:r>
    </w:p>
    <w:p>
      <w:pPr>
        <w:pStyle w:val="8"/>
        <w:widowControl/>
        <w:shd w:val="clear" w:color="auto"/>
        <w:spacing w:line="360" w:lineRule="auto"/>
        <w:rPr>
          <w:rFonts w:ascii="宋体" w:hAnsi="宋体" w:eastAsia="宋体" w:cs="宋体"/>
        </w:rPr>
      </w:pPr>
      <w:bookmarkStart w:id="224" w:name="_Toc21990"/>
      <w:bookmarkStart w:id="225" w:name="_Toc240793048"/>
      <w:r>
        <w:rPr>
          <w:rFonts w:hint="eastAsia" w:ascii="宋体" w:hAnsi="宋体" w:eastAsia="宋体" w:cs="宋体"/>
        </w:rPr>
        <w:t>（九）</w:t>
      </w:r>
      <w:r>
        <w:t>术语释义</w:t>
      </w:r>
      <w:bookmarkEnd w:id="224"/>
      <w:bookmarkEnd w:id="225"/>
    </w:p>
    <w:p>
      <w:pPr>
        <w:pStyle w:val="3"/>
        <w:widowControl/>
        <w:shd w:val="clear"/>
        <w:spacing w:line="360" w:lineRule="auto"/>
        <w:ind w:firstLine="482"/>
        <w:rPr>
          <w:rFonts w:ascii="宋体" w:hAnsi="宋体" w:cs="宋体"/>
          <w:color w:val="0F1115"/>
        </w:rPr>
      </w:pPr>
      <w:r>
        <w:rPr>
          <w:rFonts w:hint="eastAsia" w:ascii="宋体" w:hAnsi="宋体" w:cs="宋体"/>
          <w:b/>
          <w:color w:val="0F1115"/>
        </w:rPr>
        <w:t>在册隐患点</w:t>
      </w:r>
      <w:r>
        <w:rPr>
          <w:rFonts w:hint="eastAsia" w:ascii="宋体" w:hAnsi="宋体" w:cs="宋体"/>
          <w:color w:val="0F1115"/>
        </w:rPr>
        <w:t>：2025年12月31日市、县、乡三级联合实地核查登记造册，存在持续变形迹象、明确受威胁人群与财产的滑坡、崩塌、泥石流、地面塌陷、地裂缝点位。</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风险斜坡</w:t>
      </w:r>
      <w:r>
        <w:rPr>
          <w:rFonts w:hint="eastAsia" w:ascii="宋体" w:hAnsi="宋体" w:cs="宋体"/>
          <w:color w:val="0F1115"/>
        </w:rPr>
        <w:t>：未达到在册隐患登记标准，但受降雨影响存在滑移、垮塌风险的自然山体、人工开挖边坡，是“十五五”1:1万精细化调查重点摸排对象。</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“隐患点+风险区”双控管理</w:t>
      </w:r>
      <w:r>
        <w:rPr>
          <w:rFonts w:hint="eastAsia" w:ascii="宋体" w:hAnsi="宋体" w:cs="宋体"/>
          <w:color w:val="0F1115"/>
        </w:rPr>
        <w:t>：洛阳市地质灾害双控管理由</w:t>
      </w:r>
      <w:r>
        <w:rPr>
          <w:rFonts w:hint="eastAsia" w:ascii="宋体" w:hAnsi="宋体" w:cs="宋体"/>
          <w:color w:val="0F1115"/>
          <w:lang w:eastAsia="zh-CN"/>
        </w:rPr>
        <w:t>“</w:t>
      </w:r>
      <w:r>
        <w:rPr>
          <w:rFonts w:hint="eastAsia" w:ascii="宋体" w:hAnsi="宋体" w:cs="宋体"/>
          <w:color w:val="0F1115"/>
        </w:rPr>
        <w:t>点控</w:t>
      </w:r>
      <w:r>
        <w:rPr>
          <w:rFonts w:hint="eastAsia" w:ascii="宋体" w:hAnsi="宋体" w:cs="宋体"/>
          <w:color w:val="0F1115"/>
          <w:lang w:eastAsia="zh-CN"/>
        </w:rPr>
        <w:t>”</w:t>
      </w:r>
      <w:r>
        <w:rPr>
          <w:rFonts w:hint="eastAsia" w:ascii="宋体" w:hAnsi="宋体" w:cs="宋体"/>
          <w:color w:val="0F1115"/>
        </w:rPr>
        <w:t>和</w:t>
      </w:r>
      <w:r>
        <w:rPr>
          <w:rFonts w:hint="eastAsia" w:ascii="宋体" w:hAnsi="宋体" w:cs="宋体"/>
          <w:color w:val="0F1115"/>
          <w:lang w:eastAsia="zh-CN"/>
        </w:rPr>
        <w:t>“</w:t>
      </w:r>
      <w:r>
        <w:rPr>
          <w:rFonts w:hint="eastAsia" w:ascii="宋体" w:hAnsi="宋体" w:cs="宋体"/>
          <w:color w:val="0F1115"/>
        </w:rPr>
        <w:t>面控</w:t>
      </w:r>
      <w:r>
        <w:rPr>
          <w:rFonts w:hint="eastAsia" w:ascii="宋体" w:hAnsi="宋体" w:cs="宋体"/>
          <w:color w:val="0F1115"/>
          <w:lang w:eastAsia="zh-CN"/>
        </w:rPr>
        <w:t>”</w:t>
      </w:r>
      <w:r>
        <w:rPr>
          <w:rFonts w:hint="eastAsia" w:ascii="宋体" w:hAnsi="宋体" w:cs="宋体"/>
          <w:color w:val="0F1115"/>
        </w:rPr>
        <w:t>两部分构成，共同实现点面一体化全覆盖管控。</w:t>
      </w:r>
    </w:p>
    <w:p>
      <w:pPr>
        <w:pStyle w:val="3"/>
        <w:widowControl/>
        <w:shd w:val="clear" w:color="auto"/>
        <w:spacing w:before="192" w:after="192"/>
        <w:ind w:firstLine="482"/>
        <w:rPr>
          <w:rFonts w:ascii="宋体" w:hAnsi="宋体" w:cs="宋体"/>
          <w:b w:val="0"/>
          <w:bCs w:val="0"/>
          <w:color w:val="0F1115"/>
        </w:rPr>
      </w:pPr>
      <w:r>
        <w:rPr>
          <w:b w:val="0"/>
          <w:bCs w:val="0"/>
          <w:color w:val="0F1115"/>
          <w:shd w:val="clear" w:color="auto" w:fill="FFFFFF"/>
        </w:rPr>
        <w:t>点控</w:t>
      </w:r>
      <w:r>
        <w:rPr>
          <w:rFonts w:hint="eastAsia"/>
          <w:b w:val="0"/>
          <w:bCs w:val="0"/>
          <w:color w:val="0F1115"/>
          <w:shd w:val="clear" w:color="auto" w:fill="FFFFFF"/>
          <w:lang w:eastAsia="zh-CN"/>
        </w:rPr>
        <w:t>：</w:t>
      </w:r>
      <w:r>
        <w:rPr>
          <w:b w:val="0"/>
          <w:bCs w:val="0"/>
          <w:color w:val="0F1115"/>
        </w:rPr>
        <w:t>对333处在册隐患点实施工程治理、避险搬迁、自动化监测、群测群防等定点消险措施，逐步销号存量隐患。</w:t>
      </w:r>
    </w:p>
    <w:p>
      <w:pPr>
        <w:pStyle w:val="3"/>
        <w:widowControl/>
        <w:shd w:val="clear" w:color="auto"/>
        <w:spacing w:before="192" w:after="192"/>
        <w:ind w:firstLine="482"/>
        <w:rPr>
          <w:rFonts w:ascii="宋体" w:hAnsi="宋体" w:cs="宋体"/>
          <w:b w:val="0"/>
          <w:bCs w:val="0"/>
          <w:color w:val="0F1115"/>
        </w:rPr>
      </w:pPr>
      <w:r>
        <w:rPr>
          <w:b w:val="0"/>
          <w:bCs w:val="0"/>
          <w:color w:val="0F1115"/>
          <w:shd w:val="clear" w:color="auto" w:fill="FFFFFF"/>
        </w:rPr>
        <w:t>面控</w:t>
      </w:r>
      <w:r>
        <w:rPr>
          <w:rFonts w:hint="eastAsia"/>
          <w:b w:val="0"/>
          <w:bCs w:val="0"/>
          <w:color w:val="0F1115"/>
          <w:shd w:val="clear" w:color="auto" w:fill="FFFFFF"/>
          <w:lang w:eastAsia="zh-CN"/>
        </w:rPr>
        <w:t>：</w:t>
      </w:r>
      <w:r>
        <w:rPr>
          <w:b w:val="0"/>
          <w:bCs w:val="0"/>
          <w:color w:val="0F1115"/>
          <w:shd w:val="clear" w:color="auto" w:fill="FFFFFF"/>
        </w:rPr>
        <w:t>对917处风险斜坡开展常态化巡查、建房前置审批、源头减量等面域管控措施，防止风险斜坡转化为在册隐患。</w:t>
      </w:r>
    </w:p>
    <w:p>
      <w:pPr>
        <w:pStyle w:val="3"/>
        <w:widowControl/>
        <w:shd w:val="clear" w:color="auto"/>
        <w:spacing w:before="192" w:after="192"/>
        <w:ind w:firstLine="482"/>
        <w:rPr>
          <w:rFonts w:ascii="宋体" w:hAnsi="宋体" w:cs="宋体"/>
          <w:color w:val="0F1115"/>
        </w:rPr>
      </w:pPr>
      <w:r>
        <w:rPr>
          <w:b w:val="0"/>
          <w:bCs w:val="0"/>
          <w:color w:val="0F1115"/>
          <w:shd w:val="clear" w:color="auto" w:fill="FFFFFF"/>
        </w:rPr>
        <w:t>双控协同</w:t>
      </w:r>
      <w:r>
        <w:rPr>
          <w:rFonts w:hint="eastAsia"/>
          <w:b w:val="0"/>
          <w:bCs w:val="0"/>
          <w:color w:val="0F1115"/>
          <w:shd w:val="clear" w:color="auto" w:fill="FFFFFF"/>
          <w:lang w:eastAsia="zh-CN"/>
        </w:rPr>
        <w:t>：</w:t>
      </w:r>
      <w:r>
        <w:rPr>
          <w:b w:val="0"/>
          <w:bCs w:val="0"/>
          <w:color w:val="0F1115"/>
          <w:shd w:val="clear" w:color="auto" w:fill="FFFFFF"/>
        </w:rPr>
        <w:t>双控总受威胁人口177828人，其中隐患点直接威胁14717人，风险斜坡潜在威胁163111人（户籍人口）。隐患点销号后所在风险斜坡继续巡查管控，风险斜坡出现变形迹象后及时升级为在册隐患纳入点控管理。</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极高/高风险区</w:t>
      </w:r>
      <w:r>
        <w:rPr>
          <w:rFonts w:hint="eastAsia" w:ascii="宋体" w:hAnsi="宋体" w:cs="宋体"/>
          <w:color w:val="0F1115"/>
        </w:rPr>
        <w:t>：叠加人口、工矿、学校医院等承灾体综合判定，灾害发生概率高、易引发群死群伤的片区，所有省级刚性治理、优先搬迁、新建自动化监测项目全部布局于此。</w:t>
      </w:r>
    </w:p>
    <w:p>
      <w:pPr>
        <w:pStyle w:val="3"/>
        <w:widowControl/>
        <w:shd w:val="clear"/>
        <w:spacing w:line="360" w:lineRule="auto"/>
        <w:ind w:firstLine="482"/>
        <w:rPr>
          <w:rFonts w:ascii="宋体" w:hAnsi="宋体" w:cs="宋体"/>
          <w:color w:val="0F1115"/>
        </w:rPr>
      </w:pPr>
      <w:r>
        <w:rPr>
          <w:rFonts w:hint="eastAsia" w:ascii="宋体" w:hAnsi="宋体" w:cs="宋体"/>
          <w:b/>
          <w:color w:val="0F1115"/>
        </w:rPr>
        <w:t>标准化避险安置点</w:t>
      </w:r>
      <w:r>
        <w:rPr>
          <w:rFonts w:hint="eastAsia" w:ascii="宋体" w:hAnsi="宋体" w:cs="宋体"/>
          <w:color w:val="0F1115"/>
        </w:rPr>
        <w:t>：包含硬化场地、封闭式应急物资储备库、独立应急厕所、全域照明、转移路线标识、村级应急广播的成套避险设施。</w:t>
      </w:r>
    </w:p>
    <w:p>
      <w:pPr>
        <w:pStyle w:val="8"/>
        <w:widowControl/>
        <w:shd w:val="clear" w:color="auto"/>
        <w:spacing w:line="360" w:lineRule="auto"/>
        <w:rPr>
          <w:rFonts w:ascii="宋体" w:hAnsi="宋体" w:eastAsia="宋体" w:cs="宋体"/>
        </w:rPr>
      </w:pPr>
      <w:bookmarkStart w:id="226" w:name="_Toc18771"/>
      <w:bookmarkStart w:id="227" w:name="_Toc240793049"/>
      <w:r>
        <w:rPr>
          <w:rFonts w:hint="eastAsia" w:ascii="宋体" w:hAnsi="宋体" w:eastAsia="宋体" w:cs="宋体"/>
        </w:rPr>
        <w:t>（十）</w:t>
      </w:r>
      <w:r>
        <w:t>数据一致性</w:t>
      </w:r>
      <w:bookmarkEnd w:id="226"/>
      <w:bookmarkEnd w:id="227"/>
    </w:p>
    <w:p>
      <w:pPr>
        <w:pStyle w:val="3"/>
        <w:widowControl/>
        <w:shd w:val="clear"/>
        <w:spacing w:line="360" w:lineRule="auto"/>
        <w:ind w:firstLine="480"/>
        <w:rPr>
          <w:rFonts w:ascii="宋体" w:hAnsi="宋体" w:cs="宋体"/>
          <w:color w:val="0F1115"/>
        </w:rPr>
      </w:pPr>
      <w:r>
        <w:rPr>
          <w:rFonts w:hint="eastAsia" w:ascii="宋体" w:hAnsi="宋体" w:cs="宋体"/>
          <w:color w:val="0F1115"/>
        </w:rPr>
        <w:t>全市在册隐患333处、风险斜坡917处的统一统计基准时点为2025年12月31日，所有分项数量、分区人口、分区面积唯一数据源为附表一至附表八。规划期末40处监测站点=存量29处提质改造+省级项目储备库6处+市级新增5处。96户避险搬迁、六大固定资产工程全部工程量、17277.2万元总静态匡算投资完整记录于附表十。固定资产工程14677.2万元、五年运维经费2600万元两类资金的区分、使用范围、监管要求已在附表十中统一备注说明。</w:t>
      </w:r>
    </w:p>
    <w:p>
      <w:pPr>
        <w:pStyle w:val="3"/>
        <w:widowControl/>
        <w:shd w:val="clear"/>
        <w:spacing w:line="360" w:lineRule="auto"/>
        <w:ind w:firstLine="480"/>
        <w:rPr>
          <w:rFonts w:ascii="宋体" w:hAnsi="宋体" w:cs="宋体"/>
          <w:color w:val="0F1115"/>
        </w:rPr>
      </w:pPr>
      <w:r>
        <w:rPr>
          <w:rFonts w:hint="eastAsia" w:ascii="宋体" w:hAnsi="宋体" w:cs="宋体"/>
          <w:color w:val="0F1115"/>
        </w:rPr>
        <w:t>全市在册隐患分灾种：滑坡170、崩塌130、泥石流13、地面塌陷19、地裂缝1，分项求和等于全域总数333处。空间片区划分以省级易发分区体系为基础，Ⅰ2、Ⅰ4两大高易发亚区在洛阳境内的具体边界，依据各县（区）1:5万地质灾害风险调查评价成果进行细化落实。</w:t>
      </w:r>
    </w:p>
    <w:p>
      <w:pPr>
        <w:pStyle w:val="3"/>
        <w:widowControl/>
        <w:shd w:val="clear"/>
        <w:spacing w:line="360" w:lineRule="auto"/>
        <w:ind w:firstLine="480"/>
        <w:rPr>
          <w:rFonts w:ascii="宋体" w:hAnsi="宋体" w:cs="宋体"/>
          <w:color w:val="0F1115"/>
        </w:rPr>
      </w:pPr>
      <w:r>
        <w:rPr>
          <w:rFonts w:hint="eastAsia" w:ascii="宋体" w:hAnsi="宋体" w:cs="宋体"/>
          <w:color w:val="0F1115"/>
        </w:rPr>
        <w:t>易发分区面积依据100m栅格信息量模型计算结果、按乡镇与易发分区面相交图斑统计，高易发区1904.54km²、中易发区4274.81km²、低易发区5927.89km</w:t>
      </w:r>
      <w:r>
        <w:rPr>
          <w:rFonts w:hint="eastAsia" w:ascii="宋体" w:hAnsi="宋体" w:cs="宋体"/>
          <w:color w:val="0F1115"/>
          <w:vertAlign w:val="superscript"/>
          <w:lang w:val="en-US" w:eastAsia="zh-CN"/>
        </w:rPr>
        <w:t>2</w:t>
      </w:r>
      <w:r>
        <w:rPr>
          <w:rFonts w:hint="eastAsia" w:ascii="宋体" w:hAnsi="宋体" w:cs="宋体"/>
          <w:color w:val="0F1115"/>
        </w:rPr>
        <w:t>、非易发区2919.93km²，合计15027.17km²。</w:t>
      </w:r>
    </w:p>
    <w:p>
      <w:pPr>
        <w:pStyle w:val="8"/>
        <w:widowControl/>
        <w:shd w:val="clear" w:color="auto"/>
        <w:spacing w:line="360" w:lineRule="auto"/>
        <w:rPr>
          <w:rFonts w:ascii="宋体" w:hAnsi="宋体" w:eastAsia="宋体" w:cs="宋体"/>
        </w:rPr>
      </w:pPr>
      <w:bookmarkStart w:id="228" w:name="_Toc240793050"/>
      <w:bookmarkStart w:id="229" w:name="_Toc9026"/>
      <w:r>
        <w:rPr>
          <w:rFonts w:hint="eastAsia" w:ascii="宋体" w:hAnsi="宋体" w:eastAsia="宋体" w:cs="宋体"/>
        </w:rPr>
        <w:t>（十一）</w:t>
      </w:r>
      <w:r>
        <w:t>附图与附表匹配</w:t>
      </w:r>
      <w:bookmarkEnd w:id="228"/>
      <w:bookmarkEnd w:id="229"/>
    </w:p>
    <w:p>
      <w:pPr>
        <w:pStyle w:val="3"/>
        <w:widowControl/>
        <w:shd w:val="clear"/>
        <w:spacing w:line="360" w:lineRule="auto"/>
        <w:ind w:firstLine="480"/>
        <w:rPr>
          <w:rFonts w:ascii="宋体" w:hAnsi="宋体" w:cs="宋体"/>
          <w:color w:val="0F1115"/>
        </w:rPr>
      </w:pPr>
      <w:r>
        <w:rPr>
          <w:rFonts w:hint="eastAsia" w:ascii="宋体" w:hAnsi="宋体" w:cs="宋体"/>
          <w:color w:val="0F1115"/>
        </w:rPr>
        <w:t>附图一、附图二、附图三、附图四统一采用2000国家大地坐标系，图例、分级代号、分区划分标准完全沿用省规划统一规范。图纸内分区面积、乡镇范围、隐患分布、受威胁人口统计数值与附表一至附表六逐行数据一一对应，图、表必须同步对照使用。</w:t>
      </w:r>
    </w:p>
    <w:p>
      <w:pPr>
        <w:pStyle w:val="8"/>
        <w:widowControl/>
        <w:shd w:val="clear" w:color="auto"/>
        <w:spacing w:line="360" w:lineRule="auto"/>
        <w:rPr>
          <w:rFonts w:ascii="宋体" w:hAnsi="宋体" w:eastAsia="宋体" w:cs="宋体"/>
        </w:rPr>
      </w:pPr>
      <w:bookmarkStart w:id="230" w:name="_Toc240793051"/>
      <w:bookmarkStart w:id="231" w:name="_Toc24064"/>
      <w:r>
        <w:rPr>
          <w:rFonts w:hint="eastAsia" w:ascii="宋体" w:hAnsi="宋体" w:eastAsia="宋体" w:cs="宋体"/>
        </w:rPr>
        <w:t>（十二）</w:t>
      </w:r>
      <w:r>
        <w:t>与国土空间规划衔接</w:t>
      </w:r>
      <w:bookmarkEnd w:id="230"/>
      <w:bookmarkEnd w:id="231"/>
    </w:p>
    <w:p>
      <w:pPr>
        <w:pStyle w:val="3"/>
        <w:widowControl/>
        <w:shd w:val="clear"/>
        <w:spacing w:line="360" w:lineRule="auto"/>
        <w:ind w:firstLine="480"/>
        <w:rPr>
          <w:rFonts w:ascii="宋体" w:hAnsi="宋体" w:cs="宋体"/>
          <w:color w:val="0F1115"/>
        </w:rPr>
      </w:pPr>
      <w:r>
        <w:rPr>
          <w:rFonts w:hint="eastAsia" w:ascii="宋体" w:hAnsi="宋体" w:cs="宋体"/>
          <w:color w:val="0F1115"/>
        </w:rPr>
        <w:t>本规划划分的极高、高风险矢量图层完整接入《洛阳市国土空间总体规划（2021—2035年）》“三区三线”管控体系，所有极高、高风险片区划定为限制性开发区域，城镇拓展、产业园区、学校医院等高密度公共设施选址强制避让滑坡、泥石流集中发育地段。规划内40处监测站点、60处避险场地、约71处治理工程用地全部在乡镇实用性村庄规划和区县控制性详细规划中预留弹性用地，不占用永久基本农田和生态保护红线。地质安全管控要求作为各类建设用地规划许可前置审查硬性条件。</w:t>
      </w:r>
    </w:p>
    <w:p>
      <w:pPr>
        <w:pStyle w:val="7"/>
        <w:widowControl/>
        <w:shd w:val="clear" w:color="auto"/>
        <w:spacing w:line="360" w:lineRule="auto"/>
        <w:rPr>
          <w:rStyle w:val="39"/>
          <w:rFonts w:ascii="宋体" w:hAnsi="宋体" w:eastAsia="宋体" w:cs="宋体"/>
          <w:sz w:val="24"/>
          <w:szCs w:val="24"/>
        </w:rPr>
      </w:pPr>
      <w:r>
        <w:rPr>
          <w:color w:val="0F1115"/>
          <w:sz w:val="24"/>
          <w:szCs w:val="24"/>
        </w:rPr>
        <w:br w:type="page"/>
      </w:r>
      <w:bookmarkStart w:id="232" w:name="_Toc25754"/>
      <w:bookmarkStart w:id="233" w:name="_Toc240793052"/>
      <w:r>
        <w:t>附表</w:t>
      </w:r>
      <w:bookmarkEnd w:id="232"/>
      <w:bookmarkEnd w:id="233"/>
    </w:p>
    <w:p>
      <w:pPr>
        <w:pStyle w:val="3"/>
        <w:ind w:firstLine="480"/>
        <w:rPr>
          <w:rFonts w:ascii="宋体" w:hAnsi="宋体" w:cs="宋体"/>
        </w:rPr>
      </w:pPr>
      <w:r>
        <w:fldChar w:fldCharType="begin"/>
      </w:r>
      <w:r>
        <w:instrText xml:space="preserve"> HYPERLINK \l "_Toc32546" </w:instrText>
      </w:r>
      <w:r>
        <w:fldChar w:fldCharType="separate"/>
      </w:r>
      <w:r>
        <w:rPr>
          <w:rFonts w:hint="eastAsia" w:ascii="宋体" w:hAnsi="宋体" w:cs="宋体"/>
        </w:rPr>
        <w:t>附表一洛阳市地质灾害易发程度分区说明表（区县）</w:t>
      </w:r>
      <w:r>
        <w:rPr>
          <w:rFonts w:hint="eastAsia" w:ascii="宋体" w:hAnsi="宋体" w:cs="宋体"/>
        </w:rPr>
        <w:fldChar w:fldCharType="end"/>
      </w:r>
      <w:r>
        <w:rPr>
          <w:rFonts w:hint="eastAsia" w:ascii="宋体" w:hAnsi="宋体" w:cs="宋体"/>
        </w:rPr>
        <w:t>——（隐患点+风险斜坡双控）</w:t>
      </w:r>
    </w:p>
    <w:p>
      <w:pPr>
        <w:pStyle w:val="3"/>
        <w:ind w:firstLine="480"/>
        <w:rPr>
          <w:rFonts w:ascii="宋体" w:hAnsi="宋体" w:cs="宋体"/>
        </w:rPr>
      </w:pPr>
      <w:r>
        <w:fldChar w:fldCharType="begin"/>
      </w:r>
      <w:r>
        <w:instrText xml:space="preserve"> HYPERLINK \l "_Toc7813" </w:instrText>
      </w:r>
      <w:r>
        <w:fldChar w:fldCharType="separate"/>
      </w:r>
      <w:r>
        <w:rPr>
          <w:rFonts w:hint="eastAsia" w:ascii="宋体" w:hAnsi="宋体" w:cs="宋体"/>
        </w:rPr>
        <w:t>附表二洛阳市地质灾害易发程度分区说明表（乡镇）</w:t>
      </w:r>
      <w:r>
        <w:rPr>
          <w:rFonts w:hint="eastAsia" w:ascii="宋体" w:hAnsi="宋体" w:cs="宋体"/>
        </w:rPr>
        <w:fldChar w:fldCharType="end"/>
      </w:r>
      <w:r>
        <w:rPr>
          <w:rFonts w:hint="eastAsia" w:ascii="宋体" w:hAnsi="宋体" w:cs="宋体"/>
        </w:rPr>
        <w:t>——（隐患点+风险斜坡双控）</w:t>
      </w:r>
    </w:p>
    <w:p>
      <w:pPr>
        <w:pStyle w:val="3"/>
        <w:ind w:firstLine="480"/>
        <w:rPr>
          <w:rFonts w:ascii="宋体" w:hAnsi="宋体" w:cs="宋体"/>
        </w:rPr>
      </w:pPr>
      <w:r>
        <w:fldChar w:fldCharType="begin"/>
      </w:r>
      <w:r>
        <w:instrText xml:space="preserve"> HYPERLINK \l "_Toc23410" </w:instrText>
      </w:r>
      <w:r>
        <w:fldChar w:fldCharType="separate"/>
      </w:r>
      <w:r>
        <w:rPr>
          <w:rFonts w:hint="eastAsia" w:ascii="宋体" w:hAnsi="宋体" w:cs="宋体"/>
        </w:rPr>
        <w:t>附表三洛阳市地质灾害风险等级分区说明表（区县）</w:t>
      </w:r>
      <w:r>
        <w:rPr>
          <w:rFonts w:hint="eastAsia" w:ascii="宋体" w:hAnsi="宋体" w:cs="宋体"/>
        </w:rPr>
        <w:fldChar w:fldCharType="end"/>
      </w:r>
      <w:r>
        <w:rPr>
          <w:rFonts w:hint="eastAsia" w:ascii="宋体" w:hAnsi="宋体" w:cs="宋体"/>
        </w:rPr>
        <w:t>——（隐患点+风险斜坡双控）</w:t>
      </w:r>
    </w:p>
    <w:p>
      <w:pPr>
        <w:pStyle w:val="3"/>
        <w:ind w:firstLine="480"/>
        <w:rPr>
          <w:rFonts w:ascii="宋体" w:hAnsi="宋体" w:cs="宋体"/>
        </w:rPr>
      </w:pPr>
      <w:r>
        <w:fldChar w:fldCharType="begin"/>
      </w:r>
      <w:r>
        <w:instrText xml:space="preserve"> HYPERLINK \l "_Toc3741" </w:instrText>
      </w:r>
      <w:r>
        <w:fldChar w:fldCharType="separate"/>
      </w:r>
      <w:r>
        <w:rPr>
          <w:rFonts w:hint="eastAsia" w:ascii="宋体" w:hAnsi="宋体" w:cs="宋体"/>
        </w:rPr>
        <w:t>附表四洛阳市地质灾害风险等级分区说明表（乡镇）</w:t>
      </w:r>
      <w:r>
        <w:rPr>
          <w:rFonts w:hint="eastAsia" w:ascii="宋体" w:hAnsi="宋体" w:cs="宋体"/>
        </w:rPr>
        <w:fldChar w:fldCharType="end"/>
      </w:r>
      <w:r>
        <w:rPr>
          <w:rFonts w:hint="eastAsia" w:ascii="宋体" w:hAnsi="宋体" w:cs="宋体"/>
        </w:rPr>
        <w:t>——（隐患点+风险斜坡双控）</w:t>
      </w:r>
    </w:p>
    <w:p>
      <w:pPr>
        <w:pStyle w:val="3"/>
        <w:ind w:firstLine="480"/>
        <w:rPr>
          <w:rFonts w:ascii="宋体" w:hAnsi="宋体" w:cs="宋体"/>
        </w:rPr>
      </w:pPr>
      <w:r>
        <w:fldChar w:fldCharType="begin"/>
      </w:r>
      <w:r>
        <w:instrText xml:space="preserve"> HYPERLINK \l "_Toc17850" </w:instrText>
      </w:r>
      <w:r>
        <w:fldChar w:fldCharType="separate"/>
      </w:r>
      <w:r>
        <w:rPr>
          <w:rFonts w:hint="eastAsia" w:ascii="宋体" w:hAnsi="宋体" w:cs="宋体"/>
        </w:rPr>
        <w:t>附表五洛阳市地质灾害防治分区表（区县）</w:t>
      </w:r>
      <w:r>
        <w:rPr>
          <w:rFonts w:hint="eastAsia" w:ascii="宋体" w:hAnsi="宋体" w:cs="宋体"/>
        </w:rPr>
        <w:fldChar w:fldCharType="end"/>
      </w:r>
      <w:r>
        <w:rPr>
          <w:rFonts w:hint="eastAsia" w:ascii="宋体" w:hAnsi="宋体" w:cs="宋体"/>
        </w:rPr>
        <w:t>——（隐患点+风险斜坡双控）</w:t>
      </w:r>
    </w:p>
    <w:p>
      <w:pPr>
        <w:pStyle w:val="3"/>
        <w:ind w:firstLine="480"/>
        <w:rPr>
          <w:rFonts w:ascii="宋体" w:hAnsi="宋体" w:cs="宋体"/>
        </w:rPr>
      </w:pPr>
      <w:r>
        <w:fldChar w:fldCharType="begin"/>
      </w:r>
      <w:r>
        <w:instrText xml:space="preserve"> HYPERLINK \l "_Toc17211" </w:instrText>
      </w:r>
      <w:r>
        <w:fldChar w:fldCharType="separate"/>
      </w:r>
      <w:r>
        <w:rPr>
          <w:rFonts w:hint="eastAsia" w:ascii="宋体" w:hAnsi="宋体" w:cs="宋体"/>
        </w:rPr>
        <w:t>附表六洛阳市地质灾害防治分区表（乡镇）</w:t>
      </w:r>
      <w:r>
        <w:rPr>
          <w:rFonts w:hint="eastAsia" w:ascii="宋体" w:hAnsi="宋体" w:cs="宋体"/>
        </w:rPr>
        <w:fldChar w:fldCharType="end"/>
      </w:r>
      <w:r>
        <w:rPr>
          <w:rFonts w:hint="eastAsia" w:ascii="宋体" w:hAnsi="宋体" w:cs="宋体"/>
        </w:rPr>
        <w:t>——（隐患点+风险斜坡双控）</w:t>
      </w:r>
    </w:p>
    <w:p>
      <w:pPr>
        <w:pStyle w:val="3"/>
        <w:ind w:firstLine="480"/>
        <w:rPr>
          <w:rFonts w:ascii="宋体" w:hAnsi="宋体" w:cs="宋体"/>
        </w:rPr>
      </w:pPr>
      <w:r>
        <w:rPr>
          <w:rFonts w:hint="eastAsia" w:ascii="宋体" w:hAnsi="宋体" w:cs="宋体"/>
        </w:rPr>
        <w:t>附表七洛阳市在册地质灾害隐患点、风险斜坡汇总表</w:t>
      </w:r>
    </w:p>
    <w:p>
      <w:pPr>
        <w:pStyle w:val="3"/>
        <w:ind w:firstLine="480"/>
        <w:rPr>
          <w:rFonts w:ascii="宋体" w:hAnsi="宋体" w:cs="宋体"/>
        </w:rPr>
      </w:pPr>
      <w:r>
        <w:fldChar w:fldCharType="begin"/>
      </w:r>
      <w:r>
        <w:instrText xml:space="preserve"> HYPERLINK \l "_Toc5207" </w:instrText>
      </w:r>
      <w:r>
        <w:fldChar w:fldCharType="separate"/>
      </w:r>
      <w:r>
        <w:rPr>
          <w:rFonts w:hint="eastAsia" w:ascii="宋体" w:hAnsi="宋体" w:cs="宋体"/>
        </w:rPr>
        <w:t>附表八洛阳市1:1万风险调查评价项目计划实施明细表</w:t>
      </w:r>
      <w:r>
        <w:rPr>
          <w:rFonts w:hint="eastAsia" w:ascii="宋体" w:hAnsi="宋体" w:cs="宋体"/>
        </w:rPr>
        <w:fldChar w:fldCharType="end"/>
      </w:r>
    </w:p>
    <w:p>
      <w:pPr>
        <w:pStyle w:val="3"/>
        <w:ind w:firstLine="480"/>
        <w:rPr>
          <w:rFonts w:ascii="宋体" w:hAnsi="宋体" w:cs="宋体"/>
        </w:rPr>
      </w:pPr>
      <w:r>
        <w:fldChar w:fldCharType="begin"/>
      </w:r>
      <w:r>
        <w:instrText xml:space="preserve"> HYPERLINK \l "_Toc3911" </w:instrText>
      </w:r>
      <w:r>
        <w:fldChar w:fldCharType="separate"/>
      </w:r>
      <w:r>
        <w:rPr>
          <w:rFonts w:hint="eastAsia" w:ascii="宋体" w:hAnsi="宋体" w:cs="宋体"/>
        </w:rPr>
        <w:t>附表九洛阳市地质灾害预警监测点统计表</w:t>
      </w:r>
      <w:r>
        <w:rPr>
          <w:rFonts w:hint="eastAsia" w:ascii="宋体" w:hAnsi="宋体" w:cs="宋体"/>
        </w:rPr>
        <w:fldChar w:fldCharType="end"/>
      </w:r>
    </w:p>
    <w:p>
      <w:pPr>
        <w:pStyle w:val="3"/>
        <w:ind w:firstLine="480"/>
        <w:rPr>
          <w:rFonts w:ascii="宋体" w:hAnsi="宋体" w:cs="宋体"/>
        </w:rPr>
      </w:pPr>
      <w:r>
        <w:fldChar w:fldCharType="begin"/>
      </w:r>
      <w:r>
        <w:instrText xml:space="preserve"> HYPERLINK \l "_Toc26994" </w:instrText>
      </w:r>
      <w:r>
        <w:fldChar w:fldCharType="separate"/>
      </w:r>
      <w:r>
        <w:rPr>
          <w:rFonts w:hint="eastAsia" w:ascii="宋体" w:hAnsi="宋体" w:cs="宋体"/>
        </w:rPr>
        <w:t>附表十洛阳市“十五五”地质灾害防治五年投资汇总简表</w:t>
      </w:r>
      <w:r>
        <w:rPr>
          <w:rFonts w:hint="eastAsia" w:ascii="宋体" w:hAnsi="宋体" w:cs="宋体"/>
        </w:rPr>
        <w:fldChar w:fldCharType="end"/>
      </w:r>
    </w:p>
    <w:p>
      <w:pPr>
        <w:pStyle w:val="3"/>
        <w:ind w:firstLine="480"/>
        <w:rPr>
          <w:rFonts w:ascii="宋体" w:hAnsi="宋体" w:cs="宋体"/>
        </w:rPr>
      </w:pPr>
      <w:r>
        <w:fldChar w:fldCharType="begin"/>
      </w:r>
      <w:r>
        <w:instrText xml:space="preserve"> HYPERLINK \l "_Toc429" </w:instrText>
      </w:r>
      <w:r>
        <w:fldChar w:fldCharType="separate"/>
      </w:r>
      <w:r>
        <w:rPr>
          <w:rFonts w:hint="eastAsia" w:ascii="宋体" w:hAnsi="宋体" w:cs="宋体"/>
        </w:rPr>
        <w:t>附表十一洛阳市“十五五”地质灾害防治规划量化指标总表</w:t>
      </w:r>
      <w:r>
        <w:rPr>
          <w:rFonts w:hint="eastAsia" w:ascii="宋体" w:hAnsi="宋体" w:cs="宋体"/>
        </w:rPr>
        <w:fldChar w:fldCharType="end"/>
      </w:r>
    </w:p>
    <w:p>
      <w:pPr>
        <w:pStyle w:val="3"/>
        <w:ind w:firstLine="480"/>
        <w:rPr>
          <w:rFonts w:ascii="宋体" w:hAnsi="宋体" w:cs="宋体"/>
        </w:rPr>
      </w:pPr>
      <w:r>
        <w:fldChar w:fldCharType="begin"/>
      </w:r>
      <w:r>
        <w:instrText xml:space="preserve"> HYPERLINK \l "_Toc18470" </w:instrText>
      </w:r>
      <w:r>
        <w:fldChar w:fldCharType="separate"/>
      </w:r>
      <w:r>
        <w:rPr>
          <w:rFonts w:hint="eastAsia" w:ascii="宋体" w:hAnsi="宋体" w:cs="宋体"/>
        </w:rPr>
        <w:t>附表十二洛阳市“十四五”地质灾害防灾短板与“十五五”提升量化对比表</w:t>
      </w:r>
      <w:r>
        <w:rPr>
          <w:rFonts w:hint="eastAsia" w:ascii="宋体" w:hAnsi="宋体" w:cs="宋体"/>
        </w:rPr>
        <w:fldChar w:fldCharType="end"/>
      </w:r>
    </w:p>
    <w:p>
      <w:pPr>
        <w:pStyle w:val="3"/>
        <w:spacing w:line="360" w:lineRule="auto"/>
        <w:ind w:firstLine="0" w:firstLineChars="0"/>
        <w:rPr>
          <w:rFonts w:ascii="宋体" w:hAnsi="宋体" w:cs="宋体"/>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8"/>
        <w:widowControl/>
        <w:shd w:val="clear" w:color="auto"/>
        <w:spacing w:line="360" w:lineRule="auto"/>
        <w:jc w:val="both"/>
        <w:rPr>
          <w:rFonts w:ascii="宋体" w:hAnsi="宋体" w:eastAsia="宋体" w:cs="宋体"/>
          <w:b w:val="0"/>
          <w:bCs/>
          <w:sz w:val="20"/>
          <w:szCs w:val="20"/>
        </w:rPr>
      </w:pPr>
      <w:bookmarkStart w:id="234" w:name="_Toc6955"/>
      <w:bookmarkStart w:id="235" w:name="_Toc240793053"/>
      <w:bookmarkStart w:id="236" w:name="_Toc15104"/>
      <w:r>
        <w:rPr>
          <w:rFonts w:hint="eastAsia" w:ascii="黑体" w:hAnsi="黑体" w:cs="黑体"/>
          <w:b w:val="0"/>
          <w:bCs/>
          <w:sz w:val="28"/>
          <w:szCs w:val="20"/>
        </w:rPr>
        <w:t>附表一</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洛阳市地质灾害易发程度分区说明表（区县）</w:t>
      </w:r>
      <w:bookmarkEnd w:id="234"/>
      <w:r>
        <w:rPr>
          <w:rFonts w:hint="eastAsia" w:ascii="黑体" w:hAnsi="黑体" w:cs="黑体"/>
          <w:b w:val="0"/>
          <w:bCs/>
          <w:sz w:val="28"/>
          <w:szCs w:val="20"/>
        </w:rPr>
        <w:t>——（隐患点+风险斜坡双控）</w:t>
      </w:r>
      <w:bookmarkEnd w:id="235"/>
      <w:bookmarkEnd w:id="236"/>
    </w:p>
    <w:tbl>
      <w:tblPr>
        <w:tblStyle w:val="32"/>
        <w:tblW w:w="16112" w:type="dxa"/>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Layout w:type="fixed"/>
        <w:tblCellMar>
          <w:top w:w="0" w:type="dxa"/>
          <w:left w:w="108" w:type="dxa"/>
          <w:bottom w:w="0" w:type="dxa"/>
          <w:right w:w="108" w:type="dxa"/>
        </w:tblCellMar>
      </w:tblPr>
      <w:tblGrid>
        <w:gridCol w:w="1150"/>
        <w:gridCol w:w="1150"/>
        <w:gridCol w:w="1151"/>
        <w:gridCol w:w="1151"/>
        <w:gridCol w:w="1151"/>
        <w:gridCol w:w="1151"/>
        <w:gridCol w:w="1151"/>
        <w:gridCol w:w="1151"/>
        <w:gridCol w:w="1151"/>
        <w:gridCol w:w="1151"/>
        <w:gridCol w:w="1151"/>
        <w:gridCol w:w="1151"/>
        <w:gridCol w:w="1151"/>
        <w:gridCol w:w="1151"/>
      </w:tblGrid>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blHeader/>
          <w:jc w:val="center"/>
        </w:trPr>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分区</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区县</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代号</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亚区</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亚区代号</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行政地区</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面积(km²)</w:t>
            </w:r>
          </w:p>
        </w:tc>
        <w:tc>
          <w:tcPr>
            <w:tcW w:w="593" w:type="dxa"/>
            <w:tcBorders>
              <w:tl2br w:val="nil"/>
              <w:tr2bl w:val="nil"/>
            </w:tcBorders>
            <w:shd w:val="clear" w:color="auto" w:fill="auto"/>
            <w:vAlign w:val="center"/>
          </w:tcPr>
          <w:p>
            <w:pPr>
              <w:shd w:val="clear"/>
              <w:jc w:val="center"/>
              <w:rPr>
                <w:rFonts w:hint="eastAsia" w:ascii="宋体" w:hAnsi="宋体" w:eastAsia="宋体" w:cs="宋体"/>
                <w:b/>
                <w:color w:val="000000"/>
                <w:sz w:val="16"/>
                <w:szCs w:val="16"/>
              </w:rPr>
            </w:pPr>
            <w:r>
              <w:rPr>
                <w:rFonts w:hint="eastAsia" w:ascii="宋体" w:hAnsi="宋体" w:eastAsia="宋体" w:cs="宋体"/>
                <w:b/>
                <w:color w:val="000000"/>
                <w:sz w:val="16"/>
                <w:szCs w:val="16"/>
              </w:rPr>
              <w:t>地质灾害</w:t>
            </w:r>
          </w:p>
          <w:p>
            <w:pPr>
              <w:shd w:val="clear"/>
              <w:jc w:val="center"/>
              <w:rPr>
                <w:rFonts w:ascii="宋体" w:hAnsi="宋体" w:eastAsia="宋体" w:cs="宋体"/>
                <w:b/>
                <w:sz w:val="16"/>
                <w:szCs w:val="16"/>
              </w:rPr>
            </w:pPr>
            <w:r>
              <w:rPr>
                <w:rFonts w:hint="eastAsia" w:ascii="宋体" w:hAnsi="宋体" w:eastAsia="宋体" w:cs="宋体"/>
                <w:b/>
                <w:color w:val="000000"/>
                <w:sz w:val="16"/>
                <w:szCs w:val="16"/>
              </w:rPr>
              <w:t>类型</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隐患点数量（个）</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受威胁人数（隐患点）（人）</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隐患点威胁财产（万元）</w:t>
            </w:r>
          </w:p>
        </w:tc>
        <w:tc>
          <w:tcPr>
            <w:tcW w:w="593" w:type="dxa"/>
            <w:tcBorders>
              <w:tl2br w:val="nil"/>
              <w:tr2bl w:val="nil"/>
            </w:tcBorders>
            <w:shd w:val="clear" w:color="auto" w:fill="auto"/>
            <w:vAlign w:val="center"/>
          </w:tcPr>
          <w:p>
            <w:pPr>
              <w:shd w:val="clear"/>
              <w:jc w:val="center"/>
              <w:rPr>
                <w:rFonts w:hint="eastAsia" w:ascii="宋体" w:hAnsi="宋体" w:eastAsia="宋体" w:cs="宋体"/>
                <w:b/>
                <w:color w:val="000000"/>
                <w:sz w:val="16"/>
                <w:szCs w:val="16"/>
              </w:rPr>
            </w:pPr>
            <w:r>
              <w:rPr>
                <w:rFonts w:hint="eastAsia" w:ascii="宋体" w:hAnsi="宋体" w:eastAsia="宋体" w:cs="宋体"/>
                <w:b/>
                <w:color w:val="000000"/>
                <w:sz w:val="16"/>
                <w:szCs w:val="16"/>
              </w:rPr>
              <w:t>风险斜坡</w:t>
            </w:r>
          </w:p>
          <w:p>
            <w:pPr>
              <w:shd w:val="clear"/>
              <w:jc w:val="center"/>
              <w:rPr>
                <w:rFonts w:ascii="宋体" w:hAnsi="宋体" w:eastAsia="宋体" w:cs="宋体"/>
                <w:b/>
                <w:sz w:val="16"/>
                <w:szCs w:val="16"/>
              </w:rPr>
            </w:pPr>
            <w:r>
              <w:rPr>
                <w:rFonts w:hint="eastAsia" w:ascii="宋体" w:hAnsi="宋体" w:eastAsia="宋体" w:cs="宋体"/>
                <w:b/>
                <w:color w:val="000000"/>
                <w:sz w:val="16"/>
                <w:szCs w:val="16"/>
              </w:rPr>
              <w:t>数量（处）</w:t>
            </w:r>
          </w:p>
        </w:tc>
        <w:tc>
          <w:tcPr>
            <w:tcW w:w="593" w:type="dxa"/>
            <w:tcBorders>
              <w:tl2br w:val="nil"/>
              <w:tr2bl w:val="nil"/>
            </w:tcBorders>
            <w:shd w:val="clear" w:color="auto" w:fill="auto"/>
            <w:vAlign w:val="center"/>
          </w:tcPr>
          <w:p>
            <w:pPr>
              <w:shd w:val="clear"/>
              <w:jc w:val="center"/>
              <w:rPr>
                <w:rFonts w:ascii="宋体" w:hAnsi="宋体" w:eastAsia="宋体" w:cs="宋体"/>
                <w:b/>
                <w:sz w:val="16"/>
                <w:szCs w:val="16"/>
              </w:rPr>
            </w:pPr>
            <w:r>
              <w:rPr>
                <w:rFonts w:hint="eastAsia" w:ascii="宋体" w:hAnsi="宋体" w:eastAsia="宋体" w:cs="宋体"/>
                <w:b/>
                <w:color w:val="000000"/>
                <w:sz w:val="16"/>
                <w:szCs w:val="16"/>
              </w:rPr>
              <w:t>风险斜坡潜在威胁人数（人）</w:t>
            </w:r>
          </w:p>
        </w:tc>
        <w:tc>
          <w:tcPr>
            <w:tcW w:w="593" w:type="dxa"/>
            <w:tcBorders>
              <w:tl2br w:val="nil"/>
              <w:tr2bl w:val="nil"/>
            </w:tcBorders>
            <w:shd w:val="clear" w:color="auto" w:fill="auto"/>
            <w:vAlign w:val="center"/>
          </w:tcPr>
          <w:p>
            <w:pPr>
              <w:shd w:val="clear"/>
              <w:jc w:val="center"/>
              <w:rPr>
                <w:rFonts w:hint="eastAsia" w:ascii="宋体" w:hAnsi="宋体" w:eastAsia="宋体" w:cs="宋体"/>
                <w:b/>
                <w:color w:val="000000"/>
                <w:sz w:val="16"/>
                <w:szCs w:val="16"/>
              </w:rPr>
            </w:pPr>
            <w:r>
              <w:rPr>
                <w:rFonts w:hint="eastAsia" w:ascii="宋体" w:hAnsi="宋体" w:eastAsia="宋体" w:cs="宋体"/>
                <w:b/>
                <w:color w:val="000000"/>
                <w:sz w:val="16"/>
                <w:szCs w:val="16"/>
              </w:rPr>
              <w:t>风险斜坡</w:t>
            </w:r>
          </w:p>
          <w:p>
            <w:pPr>
              <w:shd w:val="clear"/>
              <w:jc w:val="center"/>
              <w:rPr>
                <w:rFonts w:hint="eastAsia" w:ascii="宋体" w:hAnsi="宋体" w:eastAsia="宋体" w:cs="宋体"/>
                <w:b/>
                <w:color w:val="000000"/>
                <w:sz w:val="16"/>
                <w:szCs w:val="16"/>
              </w:rPr>
            </w:pPr>
            <w:r>
              <w:rPr>
                <w:rFonts w:hint="eastAsia" w:ascii="宋体" w:hAnsi="宋体" w:eastAsia="宋体" w:cs="宋体"/>
                <w:b/>
                <w:color w:val="000000"/>
                <w:sz w:val="16"/>
                <w:szCs w:val="16"/>
              </w:rPr>
              <w:t>威胁财产</w:t>
            </w:r>
          </w:p>
          <w:p>
            <w:pPr>
              <w:shd w:val="clear"/>
              <w:jc w:val="center"/>
              <w:rPr>
                <w:rFonts w:ascii="宋体" w:hAnsi="宋体" w:eastAsia="宋体" w:cs="宋体"/>
                <w:b/>
                <w:sz w:val="16"/>
                <w:szCs w:val="16"/>
              </w:rPr>
            </w:pPr>
            <w:r>
              <w:rPr>
                <w:rFonts w:hint="eastAsia" w:ascii="宋体" w:hAnsi="宋体" w:eastAsia="宋体" w:cs="宋体"/>
                <w:b/>
                <w:color w:val="000000"/>
                <w:sz w:val="16"/>
                <w:szCs w:val="16"/>
              </w:rPr>
              <w:t>（万元）</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黄河中游黄土丘陵崩塌、滑坡、地面塌陷地质灾害高易发亚区；嵩山崩塌、滑坡地质灾害高易发亚区；豫西山区滑坡、崩塌地质灾害高易发亚区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Ⅰ2；Ⅰ3；Ⅰ4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75.86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地面塌陷</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210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350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灵宝-惠济滑坡、崩塌、地面塌陷、泥石流地质灾害中易发亚区；卢氏-遂平滑坡、崩塌、地面塌陷、泥石流地质灾害中易发亚区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Ⅱ2；Ⅱ4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392.25</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滑坡、崩塌、地面塌陷</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1017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3850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灵宝-惠济崩塌、滑坡、地面塌陷地质灾害低易发亚区；汝州-长葛崩塌、地面塌陷、滑坡地质灾害低易发亚区；陕州-西平滑坡、崩塌、地面塌陷、泥石流地质灾害低易发亚区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Ⅲ2；Ⅲ3；Ⅲ4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175.17</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崩塌、滑坡、地面塌陷</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607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2913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416.65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伊川县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1059.93</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1834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7113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黄河中游黄土丘陵崩塌、滑坡、地面塌陷地质灾害高易发亚区；嵩山崩塌、滑坡地质灾害高易发亚区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Ⅰ2；Ⅰ3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129.28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崩塌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591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254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6958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灵宝-惠济滑坡、崩塌、地面塌陷、泥石流地质灾害中易发亚区；洛龙-郏县崩塌、滑坡、地面塌陷地质灾害中易发亚区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Ⅱ2；Ⅱ3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25.22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崩塌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灵宝-惠济崩塌、滑坡、地面塌陷地质灾害低易发亚区；汝州-长葛崩塌、地面塌陷、滑坡地质灾害低易发亚区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Ⅲ2；Ⅲ3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119.77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崩塌、地面塌陷</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1292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1582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38840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391.62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22524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偃师区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665.89</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1910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1847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68322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黄河中游黄土丘陵崩塌、滑坡、地面塌陷地质灾害高易发亚区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77.76</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崩塌、滑坡、地面塌陷</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130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2517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灵宝-惠济滑坡、崩塌、地面塌陷、泥石流地质灾害中易发亚区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15.19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滑坡、崩塌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205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灵宝-惠济崩塌、滑坡、地面塌陷地质灾害低易发亚区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266.69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崩塌、地面塌陷</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335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10418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452.34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滑坡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180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孟津区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811.98</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144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850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12935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黄河中游黄土丘陵崩塌、滑坡、地面塌陷地质灾害高易发亚区；豫西山区滑坡、崩塌地质灾害高易发亚区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Ⅰ2；Ⅰ4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160.06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崩塌、滑坡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灵宝-惠济滑坡、崩塌、地面塌陷、泥石流地质灾害中易发亚区；卢氏-遂平滑坡、崩塌、地面塌陷、泥石流地质灾害中易发亚区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Ⅱ2；Ⅱ4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415.77</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滑坡、崩塌、地面塌陷</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935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2309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灵宝-惠济崩塌、滑坡、地面塌陷地质灾害低易发亚区；陕州-西平滑坡、崩塌、地面塌陷、泥石流地质灾害低易发亚区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Ⅲ2；Ⅲ4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648.79</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崩塌、滑坡、地面塌陷；滑坡、崩塌、地面塌陷、泥石流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476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901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200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392.62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420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宜阳县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1617.24</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1454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3297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620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豫西山区滑坡、崩塌地质灾害高易发亚区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695.31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滑坡、崩塌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817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3780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820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卢氏-遂平滑坡、崩塌、地面塌陷、泥石流地质灾害中易发亚区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972.18</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滑坡、崩塌、地面塌陷、泥石流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716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3765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3846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陕州-西平滑坡、崩塌、地面塌陷、泥石流地质灾害低易发亚区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1198.63</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滑坡、崩塌、地面塌陷、泥石流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1268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5888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682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141.81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嵩县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3007.93</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2801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13433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5348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黄河中游黄土丘陵崩塌、滑坡、地面塌陷地质灾害高易发亚区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206.94</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崩塌、滑坡、地面塌陷</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563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1158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451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灵宝-惠济滑坡、崩塌、地面塌陷、泥石流地质灾害中易发亚区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296.82</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滑坡、崩塌、地面塌陷、泥石流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442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1135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灵宝-惠济崩塌、滑坡、地面塌陷地质灾害低易发亚区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483.17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崩塌、滑坡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166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177.62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新安县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1164.55</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1066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2459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694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豫西山区滑坡、崩塌地质灾害高易发亚区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369.74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滑坡、崩塌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1089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5077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1460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卢氏-遂平滑坡、崩塌、地面塌陷、泥石流地质灾害中易发亚区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780.29</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滑坡、崩塌、地面塌陷、泥石流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555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4474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3593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陕州-西平滑坡、崩塌、地面塌陷、泥石流地质灾害低易发亚区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1298.14</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819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3261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178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24506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29.04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滑坡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栾川县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2477.21</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2486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12830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208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29559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豫西山区滑坡、崩塌地质灾害高易发亚区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93.07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滑坡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130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360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卢氏-遂平滑坡、崩塌、地面塌陷、泥石流地质灾害中易发亚区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651.34</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滑坡、崩塌、地面塌陷、泥石流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1478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3218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630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5192</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陕州-西平滑坡、崩塌、地面塌陷、泥石流地质灾害低易发亚区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333.69</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滑坡、崩塌、地面塌陷、泥石流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571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908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23755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628.6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250.55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汝阳县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1328.65</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2075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4256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24474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6180.6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豫西山区滑坡、崩塌地质灾害高易发亚区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82.38</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滑坡、崩塌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300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1172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2590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卢氏-遂平滑坡、崩塌、地面塌陷、泥石流地质灾害中易发亚区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657.23</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滑坡、崩塌、地面塌陷、泥石流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1246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3100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灵宝-惠济崩塌、滑坡、地面塌陷地质灾害低易发亚区；陕州-西平滑坡、崩塌、地面塌陷、泥石流地质灾害低易发亚区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Ⅲ2；Ⅲ4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1316.4</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崩塌、滑坡、地面塌陷；滑坡、崩塌、地面塌陷、泥石流</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655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2680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1841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4000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247.84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120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洛宁县</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2303.85</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781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3065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4279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9810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高易发区（四）</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黄河中游黄土丘陵崩塌、滑坡、地面塌陷地质灾害高易发亚区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Ⅰ2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14.14</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崩塌、滑坡、地面塌陷</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991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中易发区（三）</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灵宝-惠济滑坡、崩塌、地面塌陷、泥石流地质灾害中易发亚区；洛龙-郏县崩塌、滑坡、地面塌陷地质灾害中易发亚区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Ⅱ2；Ⅱ3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68.52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崩塌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89</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345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233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11335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低易发区（二）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w:t>
            </w:r>
          </w:p>
        </w:tc>
        <w:tc>
          <w:tcPr>
            <w:tcW w:w="593" w:type="dxa"/>
            <w:tcBorders>
              <w:tl2br w:val="nil"/>
              <w:tr2bl w:val="nil"/>
            </w:tcBorders>
            <w:shd w:val="clear" w:color="auto" w:fill="auto"/>
            <w:vAlign w:val="center"/>
          </w:tcPr>
          <w:p>
            <w:pPr>
              <w:shd w:val="clear"/>
              <w:jc w:val="left"/>
              <w:rPr>
                <w:rFonts w:ascii="宋体" w:hAnsi="宋体" w:eastAsia="宋体" w:cs="宋体"/>
                <w:sz w:val="16"/>
                <w:szCs w:val="16"/>
              </w:rPr>
            </w:pPr>
            <w:r>
              <w:rPr>
                <w:rFonts w:hint="eastAsia" w:ascii="宋体" w:hAnsi="宋体" w:eastAsia="宋体" w:cs="宋体"/>
                <w:color w:val="000000"/>
                <w:sz w:val="16"/>
                <w:szCs w:val="16"/>
              </w:rPr>
              <w:t>灵宝-惠济崩塌、滑坡、地面塌陷地质灾害低易发亚区；汝州-长葛崩塌、地面塌陷、滑坡地质灾害低易发亚区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Ⅲ2；Ⅲ3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87.44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崩塌</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77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290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4554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非易发区（一）</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419.84</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小计</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洛龙区</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589.94</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166</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635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377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16880</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洛阳市合计</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洛阳市</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15027.17</w:t>
            </w:r>
          </w:p>
        </w:tc>
        <w:tc>
          <w:tcPr>
            <w:tcW w:w="593" w:type="dxa"/>
            <w:tcBorders>
              <w:tl2br w:val="nil"/>
              <w:tr2bl w:val="nil"/>
            </w:tcBorders>
            <w:shd w:val="clear" w:color="auto" w:fill="auto"/>
            <w:vAlign w:val="center"/>
          </w:tcPr>
          <w:p>
            <w:pPr>
              <w:shd w:val="clear"/>
              <w:jc w:val="center"/>
              <w:rPr>
                <w:rFonts w:ascii="宋体" w:hAnsi="宋体" w:eastAsia="宋体" w:cs="宋体"/>
                <w:color w:val="08090C"/>
                <w:sz w:val="16"/>
                <w:szCs w:val="16"/>
              </w:rPr>
            </w:pP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333</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14717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49785</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917</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163111</w:t>
            </w:r>
          </w:p>
        </w:tc>
        <w:tc>
          <w:tcPr>
            <w:tcW w:w="593" w:type="dxa"/>
            <w:tcBorders>
              <w:tl2br w:val="nil"/>
              <w:tr2bl w:val="nil"/>
            </w:tcBorders>
            <w:shd w:val="clear" w:color="auto" w:fill="auto"/>
            <w:vAlign w:val="center"/>
          </w:tcPr>
          <w:p>
            <w:pPr>
              <w:shd w:val="clear"/>
              <w:jc w:val="center"/>
              <w:rPr>
                <w:rFonts w:ascii="宋体" w:hAnsi="宋体" w:eastAsia="宋体" w:cs="宋体"/>
                <w:sz w:val="16"/>
                <w:szCs w:val="16"/>
              </w:rPr>
            </w:pPr>
            <w:r>
              <w:rPr>
                <w:rFonts w:hint="eastAsia" w:ascii="宋体" w:hAnsi="宋体" w:eastAsia="宋体" w:cs="宋体"/>
                <w:color w:val="000000"/>
                <w:sz w:val="16"/>
                <w:szCs w:val="16"/>
              </w:rPr>
              <w:t>15990.6</w:t>
            </w:r>
          </w:p>
        </w:tc>
      </w:tr>
    </w:tbl>
    <w:p>
      <w:pPr>
        <w:shd w:val="clear"/>
        <w:jc w:val="center"/>
        <w:rPr>
          <w:rFonts w:ascii="宋体" w:hAnsi="宋体" w:eastAsia="宋体" w:cs="宋体"/>
          <w:b/>
          <w:sz w:val="20"/>
          <w:szCs w:val="20"/>
        </w:rPr>
      </w:pPr>
      <w:r>
        <w:rPr>
          <w:rFonts w:hint="eastAsia" w:ascii="宋体" w:hAnsi="宋体" w:eastAsia="宋体" w:cs="宋体"/>
          <w:b/>
          <w:sz w:val="20"/>
          <w:szCs w:val="20"/>
        </w:rPr>
        <w:br w:type="page"/>
      </w:r>
    </w:p>
    <w:p>
      <w:pPr>
        <w:pStyle w:val="8"/>
        <w:widowControl/>
        <w:shd w:val="clear" w:color="auto"/>
        <w:spacing w:line="360" w:lineRule="auto"/>
        <w:jc w:val="both"/>
        <w:rPr>
          <w:rFonts w:ascii="宋体" w:hAnsi="宋体" w:eastAsia="宋体" w:cs="宋体"/>
          <w:b w:val="0"/>
          <w:bCs/>
          <w:sz w:val="20"/>
          <w:szCs w:val="20"/>
        </w:rPr>
      </w:pPr>
      <w:bookmarkStart w:id="237" w:name="_Toc8653"/>
      <w:bookmarkStart w:id="238" w:name="_Toc3362"/>
      <w:bookmarkStart w:id="239" w:name="_Toc240793054"/>
      <w:r>
        <w:rPr>
          <w:rFonts w:hint="eastAsia" w:ascii="黑体" w:hAnsi="黑体" w:cs="黑体"/>
          <w:b w:val="0"/>
          <w:bCs/>
          <w:sz w:val="28"/>
          <w:szCs w:val="20"/>
        </w:rPr>
        <w:t>附表二</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洛阳市地质灾害易发程度分区说明表（乡镇）</w:t>
      </w:r>
      <w:bookmarkEnd w:id="237"/>
      <w:r>
        <w:rPr>
          <w:rFonts w:hint="eastAsia" w:ascii="黑体" w:hAnsi="黑体" w:cs="黑体"/>
          <w:b w:val="0"/>
          <w:bCs/>
          <w:sz w:val="28"/>
          <w:szCs w:val="20"/>
        </w:rPr>
        <w:t>——（隐患点+风险斜坡双控）</w:t>
      </w:r>
      <w:bookmarkEnd w:id="238"/>
      <w:bookmarkEnd w:id="239"/>
    </w:p>
    <w:tbl>
      <w:tblPr>
        <w:tblStyle w:val="32"/>
        <w:tblW w:w="16398" w:type="dxa"/>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Layout w:type="fixed"/>
        <w:tblCellMar>
          <w:top w:w="0" w:type="dxa"/>
          <w:left w:w="108" w:type="dxa"/>
          <w:bottom w:w="0" w:type="dxa"/>
          <w:right w:w="108" w:type="dxa"/>
        </w:tblCellMar>
      </w:tblPr>
      <w:tblGrid>
        <w:gridCol w:w="1366"/>
        <w:gridCol w:w="1366"/>
        <w:gridCol w:w="1366"/>
        <w:gridCol w:w="1366"/>
        <w:gridCol w:w="1366"/>
        <w:gridCol w:w="1366"/>
        <w:gridCol w:w="1367"/>
        <w:gridCol w:w="1367"/>
        <w:gridCol w:w="1367"/>
        <w:gridCol w:w="1367"/>
        <w:gridCol w:w="1367"/>
        <w:gridCol w:w="1367"/>
      </w:tblGrid>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blHeader/>
          <w:jc w:val="center"/>
        </w:trPr>
        <w:tc>
          <w:tcPr>
            <w:tcW w:w="692"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分区</w:t>
            </w:r>
          </w:p>
        </w:tc>
        <w:tc>
          <w:tcPr>
            <w:tcW w:w="692"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区县</w:t>
            </w:r>
          </w:p>
        </w:tc>
        <w:tc>
          <w:tcPr>
            <w:tcW w:w="692"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代号</w:t>
            </w:r>
          </w:p>
        </w:tc>
        <w:tc>
          <w:tcPr>
            <w:tcW w:w="692"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亚区</w:t>
            </w:r>
          </w:p>
        </w:tc>
        <w:tc>
          <w:tcPr>
            <w:tcW w:w="692"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亚区代号</w:t>
            </w:r>
          </w:p>
        </w:tc>
        <w:tc>
          <w:tcPr>
            <w:tcW w:w="692"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行政地区</w:t>
            </w:r>
          </w:p>
        </w:tc>
        <w:tc>
          <w:tcPr>
            <w:tcW w:w="692"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面积(km²)</w:t>
            </w:r>
          </w:p>
        </w:tc>
        <w:tc>
          <w:tcPr>
            <w:tcW w:w="692"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地质灾害类型</w:t>
            </w:r>
          </w:p>
        </w:tc>
        <w:tc>
          <w:tcPr>
            <w:tcW w:w="692" w:type="dxa"/>
            <w:tcBorders>
              <w:tl2br w:val="nil"/>
              <w:tr2bl w:val="nil"/>
            </w:tcBorders>
            <w:shd w:val="clear" w:color="auto" w:fill="auto"/>
            <w:vAlign w:val="center"/>
          </w:tcPr>
          <w:p>
            <w:pPr>
              <w:shd w:val="clear"/>
              <w:jc w:val="center"/>
              <w:rPr>
                <w:rFonts w:hint="eastAsia" w:ascii="宋体" w:hAnsi="宋体" w:eastAsia="宋体"/>
                <w:b/>
                <w:color w:val="000000"/>
                <w:sz w:val="16"/>
              </w:rPr>
            </w:pPr>
            <w:r>
              <w:rPr>
                <w:rFonts w:hint="eastAsia" w:ascii="宋体" w:hAnsi="宋体" w:eastAsia="宋体"/>
                <w:b/>
                <w:color w:val="000000"/>
                <w:sz w:val="16"/>
              </w:rPr>
              <w:t>受威胁人数</w:t>
            </w:r>
          </w:p>
          <w:p>
            <w:pPr>
              <w:shd w:val="clear"/>
              <w:jc w:val="center"/>
              <w:rPr>
                <w:b/>
              </w:rPr>
            </w:pPr>
            <w:r>
              <w:rPr>
                <w:rFonts w:hint="eastAsia" w:ascii="宋体" w:hAnsi="宋体" w:eastAsia="宋体"/>
                <w:b/>
                <w:color w:val="000000"/>
                <w:sz w:val="16"/>
              </w:rPr>
              <w:t>（隐患点）（人）</w:t>
            </w:r>
          </w:p>
        </w:tc>
        <w:tc>
          <w:tcPr>
            <w:tcW w:w="692"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隐患点威胁财产（万元）</w:t>
            </w:r>
          </w:p>
        </w:tc>
        <w:tc>
          <w:tcPr>
            <w:tcW w:w="692" w:type="dxa"/>
            <w:tcBorders>
              <w:tl2br w:val="nil"/>
              <w:tr2bl w:val="nil"/>
            </w:tcBorders>
            <w:shd w:val="clear" w:color="auto" w:fill="auto"/>
            <w:vAlign w:val="center"/>
          </w:tcPr>
          <w:p>
            <w:pPr>
              <w:shd w:val="clear"/>
              <w:jc w:val="center"/>
              <w:rPr>
                <w:rFonts w:hint="eastAsia" w:ascii="宋体" w:hAnsi="宋体" w:eastAsia="宋体"/>
                <w:b/>
                <w:color w:val="000000"/>
                <w:sz w:val="16"/>
              </w:rPr>
            </w:pPr>
            <w:r>
              <w:rPr>
                <w:rFonts w:hint="eastAsia" w:ascii="宋体" w:hAnsi="宋体" w:eastAsia="宋体"/>
                <w:b/>
                <w:color w:val="000000"/>
                <w:sz w:val="16"/>
              </w:rPr>
              <w:t>风险斜坡潜在</w:t>
            </w:r>
          </w:p>
          <w:p>
            <w:pPr>
              <w:shd w:val="clear"/>
              <w:jc w:val="center"/>
              <w:rPr>
                <w:b/>
              </w:rPr>
            </w:pPr>
            <w:r>
              <w:rPr>
                <w:rFonts w:hint="eastAsia" w:ascii="宋体" w:hAnsi="宋体" w:eastAsia="宋体"/>
                <w:b/>
                <w:color w:val="000000"/>
                <w:sz w:val="16"/>
              </w:rPr>
              <w:t>威胁人数（人）</w:t>
            </w:r>
          </w:p>
        </w:tc>
        <w:tc>
          <w:tcPr>
            <w:tcW w:w="692" w:type="dxa"/>
            <w:tcBorders>
              <w:tl2br w:val="nil"/>
              <w:tr2bl w:val="nil"/>
            </w:tcBorders>
            <w:shd w:val="clear" w:color="auto" w:fill="auto"/>
            <w:vAlign w:val="center"/>
          </w:tcPr>
          <w:p>
            <w:pPr>
              <w:shd w:val="clear"/>
              <w:jc w:val="center"/>
              <w:rPr>
                <w:rFonts w:hint="eastAsia" w:ascii="宋体" w:hAnsi="宋体" w:eastAsia="宋体"/>
                <w:b/>
                <w:color w:val="000000"/>
                <w:sz w:val="16"/>
              </w:rPr>
            </w:pPr>
            <w:r>
              <w:rPr>
                <w:rFonts w:hint="eastAsia" w:ascii="宋体" w:hAnsi="宋体" w:eastAsia="宋体"/>
                <w:b/>
                <w:color w:val="000000"/>
                <w:sz w:val="16"/>
              </w:rPr>
              <w:t>风险斜坡威胁</w:t>
            </w:r>
          </w:p>
          <w:p>
            <w:pPr>
              <w:shd w:val="clear"/>
              <w:jc w:val="center"/>
              <w:rPr>
                <w:b/>
              </w:rPr>
            </w:pPr>
            <w:r>
              <w:rPr>
                <w:rFonts w:hint="eastAsia" w:ascii="宋体" w:hAnsi="宋体" w:eastAsia="宋体"/>
                <w:b/>
                <w:color w:val="000000"/>
                <w:sz w:val="16"/>
              </w:rPr>
              <w:t>财产（万元）</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城关街道办事处</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0.07</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半坡镇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20.63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地面塌陷</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210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350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吕店镇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3.27</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河滨街道办事处</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1.45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酒后镇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13.27</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水寨镇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0.29</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江左镇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0.86</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平等乡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0.08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葛寨镇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白元镇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0.69</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白沙镇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9.35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彭婆镇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2.19</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高山镇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0.62</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鸣皋镇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1.34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黄河中游黄土丘陵崩塌、滑坡、地面塌陷地质灾害高易发亚区；嵩山崩塌、滑坡地质灾害高易发亚区；豫西山区滑坡、崩塌地质灾害高易发亚区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Ⅰ2；Ⅰ3；Ⅰ4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鸦岭镇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21.46</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鸦岭镇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91.08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吕店镇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27.03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城关街道办事处</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9.54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河滨街道办事处</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17.99</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白元镇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11.12</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高山镇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29.42</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地面塌陷</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675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2190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酒后镇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28.31</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崩塌、滑坡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96</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530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平等乡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13.35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彭婆镇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38.28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65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100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白沙镇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31.84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葛寨镇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85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760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江左镇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18.05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水寨镇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15.52</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半坡镇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16.74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46</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150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鸣皋镇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30.94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50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120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吕店镇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47.91</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城关街道办事处</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4.24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半坡镇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4.1</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河滨街道办事处</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3.55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平等乡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11.09</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江左镇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18.91</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白沙镇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12.25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170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1000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白元镇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11.61</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酒后镇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12.21</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418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1850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水寨镇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1.75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葛寨镇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15.75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彭婆镇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9.67</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鸣皋镇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11.55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鸦岭镇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2.56</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灵宝-惠济崩塌、滑坡、地面塌陷地质灾害低易发亚区；汝州-长葛崩塌、地面塌陷、滑坡地质灾害低易发亚区；陕州-西平滑坡、崩塌、地面塌陷、泥石流地质灾害低易发亚区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Ⅲ2；Ⅲ3；Ⅲ4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高山镇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地面塌陷</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半坡镇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5.08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吕店镇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27.99</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城关街道办事处</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16.99</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酒后镇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18.63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彭婆镇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32.35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水寨镇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17.63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葛寨镇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33.69</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平等乡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28.54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白元镇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42.06</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白沙镇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60.09</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鸦岭镇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10.45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河滨街道办事处</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19.58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高山镇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25.78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鸣皋镇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35.25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江左镇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42.51</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rPr>
                <w:color w:val="08090C"/>
              </w:rPr>
            </w:pP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w:t>
            </w:r>
          </w:p>
        </w:tc>
        <w:tc>
          <w:tcPr>
            <w:tcW w:w="692" w:type="dxa"/>
            <w:tcBorders>
              <w:tl2br w:val="nil"/>
              <w:tr2bl w:val="nil"/>
            </w:tcBorders>
            <w:shd w:val="clear" w:color="auto" w:fill="auto"/>
            <w:vAlign w:val="center"/>
          </w:tcPr>
          <w:p>
            <w:pPr>
              <w:shd w:val="clear"/>
              <w:jc w:val="center"/>
              <w:rPr>
                <w:color w:val="08090C"/>
              </w:rPr>
            </w:pPr>
          </w:p>
        </w:tc>
        <w:tc>
          <w:tcPr>
            <w:tcW w:w="692" w:type="dxa"/>
            <w:tcBorders>
              <w:tl2br w:val="nil"/>
              <w:tr2bl w:val="nil"/>
            </w:tcBorders>
            <w:shd w:val="clear" w:color="auto" w:fill="auto"/>
            <w:vAlign w:val="center"/>
          </w:tcPr>
          <w:p>
            <w:pPr>
              <w:shd w:val="clear"/>
              <w:jc w:val="center"/>
              <w:rPr>
                <w:color w:val="08090C"/>
              </w:rPr>
            </w:pPr>
          </w:p>
        </w:tc>
        <w:tc>
          <w:tcPr>
            <w:tcW w:w="692" w:type="dxa"/>
            <w:tcBorders>
              <w:tl2br w:val="nil"/>
              <w:tr2bl w:val="nil"/>
            </w:tcBorders>
            <w:shd w:val="clear" w:color="auto" w:fill="auto"/>
            <w:vAlign w:val="center"/>
          </w:tcPr>
          <w:p>
            <w:pPr>
              <w:shd w:val="clear"/>
              <w:jc w:val="center"/>
              <w:rPr>
                <w:color w:val="08090C"/>
              </w:rPr>
            </w:pP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伊川县小计</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1059.85</w:t>
            </w:r>
          </w:p>
        </w:tc>
        <w:tc>
          <w:tcPr>
            <w:tcW w:w="692" w:type="dxa"/>
            <w:tcBorders>
              <w:tl2br w:val="nil"/>
              <w:tr2bl w:val="nil"/>
            </w:tcBorders>
            <w:shd w:val="clear" w:color="auto" w:fill="auto"/>
            <w:vAlign w:val="center"/>
          </w:tcPr>
          <w:p>
            <w:pPr>
              <w:shd w:val="clear"/>
              <w:jc w:val="center"/>
              <w:rPr>
                <w:color w:val="08090C"/>
              </w:rPr>
            </w:pP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1834</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7113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山化镇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36.85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540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232</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6958</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商城街道</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7.41</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府店镇</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37.5</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shd w:val="clear"/>
              <w:jc w:val="left"/>
            </w:pPr>
            <w:r>
              <w:rPr>
                <w:rFonts w:ascii="宋体" w:hAnsi="宋体" w:eastAsia="宋体"/>
                <w:color w:val="000000"/>
                <w:sz w:val="16"/>
              </w:rPr>
              <w:t>黄河中游黄土丘陵崩塌、滑坡、地面塌陷地质灾害高易发亚区；嵩山崩塌、滑坡地质灾害高易发亚区</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Ⅰ2；Ⅰ3</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槐新街道</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4.67</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shd w:val="clea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黄河中游黄土丘陵崩塌、滑坡、地面塌陷地质灾害高易发亚区；嵩山崩塌、滑坡地质灾害高易发亚区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Ⅰ2；Ⅰ3</w:t>
            </w:r>
          </w:p>
        </w:tc>
        <w:tc>
          <w:tcPr>
            <w:tcW w:w="692" w:type="dxa"/>
            <w:tcBorders>
              <w:tl2br w:val="nil"/>
              <w:tr2bl w:val="nil"/>
            </w:tcBorders>
            <w:shd w:val="clear" w:color="auto" w:fill="auto"/>
            <w:vAlign w:val="center"/>
          </w:tcPr>
          <w:p>
            <w:pPr>
              <w:jc w:val="center"/>
            </w:pPr>
            <w:r>
              <w:rPr>
                <w:rFonts w:ascii="宋体" w:hAnsi="宋体" w:eastAsia="宋体"/>
                <w:color w:val="000000"/>
                <w:sz w:val="16"/>
              </w:rPr>
              <w:t>邙岭镇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51</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黄河中游黄土丘陵崩塌、滑坡、地面塌陷地质灾害高易发亚区；嵩山崩塌、滑坡地质灾害高易发亚区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Ⅰ2；Ⅰ3</w:t>
            </w:r>
          </w:p>
        </w:tc>
        <w:tc>
          <w:tcPr>
            <w:tcW w:w="692" w:type="dxa"/>
            <w:tcBorders>
              <w:tl2br w:val="nil"/>
              <w:tr2bl w:val="nil"/>
            </w:tcBorders>
            <w:shd w:val="clear" w:color="auto" w:fill="auto"/>
            <w:vAlign w:val="center"/>
          </w:tcPr>
          <w:p>
            <w:pPr>
              <w:jc w:val="center"/>
            </w:pPr>
            <w:r>
              <w:rPr>
                <w:rFonts w:ascii="宋体" w:hAnsi="宋体" w:eastAsia="宋体"/>
                <w:color w:val="000000"/>
                <w:sz w:val="16"/>
              </w:rPr>
              <w:t>首阳山街道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9.9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黄河中游黄土丘陵崩塌、滑坡、地面塌陷地质灾害高易发亚区；嵩山崩塌、滑坡地质灾害高易发亚区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大口镇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12.38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大口镇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w:t>
            </w:r>
          </w:p>
        </w:tc>
        <w:tc>
          <w:tcPr>
            <w:tcW w:w="692" w:type="dxa"/>
            <w:tcBorders>
              <w:tl2br w:val="nil"/>
              <w:tr2bl w:val="nil"/>
            </w:tcBorders>
            <w:shd w:val="clear" w:color="auto" w:fill="auto"/>
            <w:vAlign w:val="center"/>
          </w:tcPr>
          <w:p>
            <w:pPr>
              <w:jc w:val="center"/>
            </w:pPr>
            <w:r>
              <w:rPr>
                <w:rFonts w:ascii="宋体" w:hAnsi="宋体" w:eastAsia="宋体"/>
                <w:color w:val="000000"/>
                <w:sz w:val="16"/>
              </w:rPr>
              <w:t>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山化镇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0.39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府店镇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14.6</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9</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缑氏镇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0.36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邙岭镇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首阳山街道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大口镇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28.72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伊洛街道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69</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商城街道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3.35</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崩塌、滑坡、地面塌陷；崩塌、地面塌陷、滑坡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23895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缑氏镇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山化镇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4.94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753</w:t>
            </w:r>
          </w:p>
        </w:tc>
        <w:tc>
          <w:tcPr>
            <w:tcW w:w="692" w:type="dxa"/>
            <w:tcBorders>
              <w:tl2br w:val="nil"/>
              <w:tr2bl w:val="nil"/>
            </w:tcBorders>
            <w:shd w:val="clear" w:color="auto" w:fill="auto"/>
            <w:vAlign w:val="center"/>
          </w:tcPr>
          <w:p>
            <w:pPr>
              <w:jc w:val="center"/>
            </w:pPr>
            <w:r>
              <w:rPr>
                <w:rFonts w:ascii="宋体" w:hAnsi="宋体" w:eastAsia="宋体"/>
                <w:color w:val="000000"/>
                <w:sz w:val="16"/>
              </w:rPr>
              <w:t>312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12754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槐新街道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4.41</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崩塌、滑坡、地面塌陷；崩塌、地面塌陷、滑坡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2122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府店镇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49.8</w:t>
            </w:r>
          </w:p>
        </w:tc>
        <w:tc>
          <w:tcPr>
            <w:tcW w:w="692" w:type="dxa"/>
            <w:tcBorders>
              <w:tl2br w:val="nil"/>
              <w:tr2bl w:val="nil"/>
            </w:tcBorders>
            <w:shd w:val="clear" w:color="auto" w:fill="auto"/>
            <w:vAlign w:val="center"/>
          </w:tcPr>
          <w:p>
            <w:pPr>
              <w:jc w:val="center"/>
            </w:pPr>
            <w:r>
              <w:rPr>
                <w:rFonts w:ascii="宋体" w:hAnsi="宋体" w:eastAsia="宋体"/>
                <w:color w:val="000000"/>
                <w:sz w:val="16"/>
              </w:rPr>
              <w:t>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1068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首阳山街道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0.11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邙岭镇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顾县镇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w:t>
            </w:r>
          </w:p>
        </w:tc>
        <w:tc>
          <w:tcPr>
            <w:tcW w:w="692" w:type="dxa"/>
            <w:tcBorders>
              <w:tl2br w:val="nil"/>
              <w:tr2bl w:val="nil"/>
            </w:tcBorders>
            <w:shd w:val="clear" w:color="auto" w:fill="auto"/>
            <w:vAlign w:val="center"/>
          </w:tcPr>
          <w:p>
            <w:pPr>
              <w:jc w:val="center"/>
            </w:pPr>
            <w:r>
              <w:rPr>
                <w:rFonts w:ascii="宋体" w:hAnsi="宋体" w:eastAsia="宋体"/>
                <w:color w:val="000000"/>
                <w:sz w:val="16"/>
              </w:rPr>
              <w:t>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商城街道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9.81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岳滩镇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山化镇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25.91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大口镇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40.36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高龙镇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37.46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府店镇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25.16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槐新街道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9.96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22321</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缑氏镇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翟镇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31.84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伊洛街道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8.11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首阳山街道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顾县镇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36.53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邙岭镇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偃师区小计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665.88</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1910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1847</w:t>
            </w:r>
          </w:p>
        </w:tc>
        <w:tc>
          <w:tcPr>
            <w:tcW w:w="692" w:type="dxa"/>
            <w:tcBorders>
              <w:tl2br w:val="nil"/>
              <w:tr2bl w:val="nil"/>
            </w:tcBorders>
            <w:shd w:val="clear" w:color="auto" w:fill="auto"/>
            <w:vAlign w:val="center"/>
          </w:tcPr>
          <w:p>
            <w:pPr>
              <w:jc w:val="center"/>
            </w:pPr>
            <w:r>
              <w:rPr>
                <w:rFonts w:ascii="宋体" w:hAnsi="宋体" w:eastAsia="宋体"/>
                <w:color w:val="000000"/>
                <w:sz w:val="16"/>
              </w:rPr>
              <w:t>68322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2.85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会盟镇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西霞街道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0.68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白鹤镇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25.54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7</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横水镇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朝阳镇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4.89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马屯镇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18.57</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送庄镇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47</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平乐镇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8.51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康乐街道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0.51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康乐街道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7.32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吉利街道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0.97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白鹤镇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横水镇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西霞街道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3.98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马屯镇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白鹤镇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36</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37</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河阳街道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0.8</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横水镇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26.57</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朝阳镇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19.24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常袋镇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32.17</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58.68</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9450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平乐镇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2.76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康乐街道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送庄镇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3.68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西霞街道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会盟镇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9.83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77</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吉利街道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0.76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马屯镇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48.3</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麻屯镇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河阳街道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白鹤镇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49.54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常袋镇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11.16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马屯镇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麻屯镇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21.85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朝阳镇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43.26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横水镇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17.92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吉利街道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10.91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会盟镇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93.79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西霞街道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送庄镇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37.88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康乐街道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7.56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平乐镇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57.27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孟津区小计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811.97</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144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850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12935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三乡镇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9.93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上观乡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盐镇乡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莲庄镇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韩城镇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锦屏镇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44.43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0.71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柳泉镇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11.59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董王庄乡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赵保乡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9.6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白杨镇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8.77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樊村镇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19.77</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w:t>
            </w:r>
          </w:p>
        </w:tc>
        <w:tc>
          <w:tcPr>
            <w:tcW w:w="692" w:type="dxa"/>
            <w:tcBorders>
              <w:tl2br w:val="nil"/>
              <w:tr2bl w:val="nil"/>
            </w:tcBorders>
            <w:shd w:val="clear" w:color="auto" w:fill="auto"/>
            <w:vAlign w:val="center"/>
          </w:tcPr>
          <w:p>
            <w:pPr>
              <w:jc w:val="center"/>
            </w:pPr>
            <w:r>
              <w:rPr>
                <w:rFonts w:ascii="宋体" w:hAnsi="宋体" w:eastAsia="宋体"/>
                <w:color w:val="000000"/>
                <w:sz w:val="16"/>
              </w:rPr>
              <w:t>73</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香鹿山镇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6.77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高村镇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17.31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上观乡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97.63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116</w:t>
            </w:r>
          </w:p>
        </w:tc>
        <w:tc>
          <w:tcPr>
            <w:tcW w:w="692" w:type="dxa"/>
            <w:tcBorders>
              <w:tl2br w:val="nil"/>
              <w:tr2bl w:val="nil"/>
            </w:tcBorders>
            <w:shd w:val="clear" w:color="auto" w:fill="auto"/>
            <w:vAlign w:val="center"/>
          </w:tcPr>
          <w:p>
            <w:pPr>
              <w:jc w:val="center"/>
            </w:pPr>
            <w:r>
              <w:rPr>
                <w:rFonts w:ascii="宋体" w:hAnsi="宋体" w:eastAsia="宋体"/>
                <w:color w:val="000000"/>
                <w:sz w:val="16"/>
              </w:rPr>
              <w:t>473</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三乡镇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0.29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0.37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张坞镇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花果山乡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莲庄镇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3</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韩城镇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13.18</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70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锦屏镇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15.77</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柳泉镇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樊村镇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31.34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820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董王庄乡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40.82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赵保乡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67.58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153</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盐镇乡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17.37</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白杨镇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24.98</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高村镇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14.86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香鹿山镇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21.09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张坞镇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78.46</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上观乡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44.16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三乡镇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18.28</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231</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盐镇乡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104.77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白杨镇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莲庄镇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21.33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63</w:t>
            </w:r>
          </w:p>
        </w:tc>
        <w:tc>
          <w:tcPr>
            <w:tcW w:w="692" w:type="dxa"/>
            <w:tcBorders>
              <w:tl2br w:val="nil"/>
              <w:tr2bl w:val="nil"/>
            </w:tcBorders>
            <w:shd w:val="clear" w:color="auto" w:fill="auto"/>
            <w:vAlign w:val="center"/>
          </w:tcPr>
          <w:p>
            <w:pPr>
              <w:jc w:val="center"/>
            </w:pPr>
            <w:r>
              <w:rPr>
                <w:rFonts w:ascii="宋体" w:hAnsi="宋体" w:eastAsia="宋体"/>
                <w:color w:val="000000"/>
                <w:sz w:val="16"/>
              </w:rPr>
              <w:t>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花果山乡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67.89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柳泉镇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55.13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樊村镇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董王庄乡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38.13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赵保乡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40.51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香鹿山镇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高村镇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73.68</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59</w:t>
            </w:r>
          </w:p>
        </w:tc>
        <w:tc>
          <w:tcPr>
            <w:tcW w:w="692" w:type="dxa"/>
            <w:tcBorders>
              <w:tl2br w:val="nil"/>
              <w:tr2bl w:val="nil"/>
            </w:tcBorders>
            <w:shd w:val="clear" w:color="auto" w:fill="auto"/>
            <w:vAlign w:val="center"/>
          </w:tcPr>
          <w:p>
            <w:pPr>
              <w:jc w:val="center"/>
            </w:pPr>
            <w:r>
              <w:rPr>
                <w:rFonts w:ascii="宋体" w:hAnsi="宋体" w:eastAsia="宋体"/>
                <w:color w:val="000000"/>
                <w:sz w:val="16"/>
              </w:rPr>
              <w:t>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韩城镇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18.98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锦屏镇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9.94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31</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三乡镇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39.1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8.39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锦屏镇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26.86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韩城镇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47.1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董王庄乡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5.21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赵保乡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张坞镇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34.64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柳泉镇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香鹿山镇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高村镇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43.99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盐镇乡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35.02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莲庄镇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27.83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樊村镇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9.68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白杨镇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宜阳县小计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1617.24</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1454</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3297</w:t>
            </w:r>
          </w:p>
        </w:tc>
        <w:tc>
          <w:tcPr>
            <w:tcW w:w="692" w:type="dxa"/>
            <w:tcBorders>
              <w:tl2br w:val="nil"/>
              <w:tr2bl w:val="nil"/>
            </w:tcBorders>
            <w:shd w:val="clear" w:color="auto" w:fill="auto"/>
            <w:vAlign w:val="center"/>
          </w:tcPr>
          <w:p>
            <w:pPr>
              <w:jc w:val="center"/>
            </w:pPr>
            <w:r>
              <w:rPr>
                <w:rFonts w:ascii="宋体" w:hAnsi="宋体" w:eastAsia="宋体"/>
                <w:color w:val="000000"/>
                <w:sz w:val="16"/>
              </w:rPr>
              <w:t>620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九皋镇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27.41</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62</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何村乡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64.99</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685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94</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大坪乡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大章镇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72.8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德亭镇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78.33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39</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旧县镇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38.03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木植街乡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71.96</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90</w:t>
            </w:r>
          </w:p>
        </w:tc>
        <w:tc>
          <w:tcPr>
            <w:tcW w:w="692" w:type="dxa"/>
            <w:tcBorders>
              <w:tl2br w:val="nil"/>
              <w:tr2bl w:val="nil"/>
            </w:tcBorders>
            <w:shd w:val="clear" w:color="auto" w:fill="auto"/>
            <w:vAlign w:val="center"/>
          </w:tcPr>
          <w:p>
            <w:pPr>
              <w:jc w:val="center"/>
            </w:pPr>
            <w:r>
              <w:rPr>
                <w:rFonts w:ascii="宋体" w:hAnsi="宋体" w:eastAsia="宋体"/>
                <w:color w:val="000000"/>
                <w:sz w:val="16"/>
              </w:rPr>
              <w:t>810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田湖镇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12.73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107.14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103</w:t>
            </w:r>
          </w:p>
        </w:tc>
        <w:tc>
          <w:tcPr>
            <w:tcW w:w="692" w:type="dxa"/>
            <w:tcBorders>
              <w:tl2br w:val="nil"/>
              <w:tr2bl w:val="nil"/>
            </w:tcBorders>
            <w:shd w:val="clear" w:color="auto" w:fill="auto"/>
            <w:vAlign w:val="center"/>
          </w:tcPr>
          <w:p>
            <w:pPr>
              <w:jc w:val="center"/>
            </w:pPr>
            <w:r>
              <w:rPr>
                <w:rFonts w:ascii="宋体" w:hAnsi="宋体" w:eastAsia="宋体"/>
                <w:color w:val="000000"/>
                <w:sz w:val="16"/>
              </w:rPr>
              <w:t>635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纸房镇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92.26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61</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车村镇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20.39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闫庄镇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陆浑镇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4.33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700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饭坡镇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18.09</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黄庄乡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85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九皋镇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45.43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520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何村乡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3</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1975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28.96</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163</w:t>
            </w:r>
          </w:p>
        </w:tc>
        <w:tc>
          <w:tcPr>
            <w:tcW w:w="692" w:type="dxa"/>
            <w:tcBorders>
              <w:tl2br w:val="nil"/>
              <w:tr2bl w:val="nil"/>
            </w:tcBorders>
            <w:shd w:val="clear" w:color="auto" w:fill="auto"/>
            <w:vAlign w:val="center"/>
          </w:tcPr>
          <w:p>
            <w:pPr>
              <w:jc w:val="center"/>
            </w:pPr>
            <w:r>
              <w:rPr>
                <w:rFonts w:ascii="宋体" w:hAnsi="宋体" w:eastAsia="宋体"/>
                <w:color w:val="000000"/>
                <w:sz w:val="16"/>
              </w:rPr>
              <w:t>625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大坪乡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82.9</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大章镇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80.93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德亭镇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65.12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泥石流</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90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旧县镇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30.82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52</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木植街乡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76.92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田湖镇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64.6</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97</w:t>
            </w:r>
          </w:p>
        </w:tc>
        <w:tc>
          <w:tcPr>
            <w:tcW w:w="692" w:type="dxa"/>
            <w:tcBorders>
              <w:tl2br w:val="nil"/>
              <w:tr2bl w:val="nil"/>
            </w:tcBorders>
            <w:shd w:val="clear" w:color="auto" w:fill="auto"/>
            <w:vAlign w:val="center"/>
          </w:tcPr>
          <w:p>
            <w:pPr>
              <w:jc w:val="center"/>
            </w:pPr>
            <w:r>
              <w:rPr>
                <w:rFonts w:ascii="宋体" w:hAnsi="宋体" w:eastAsia="宋体"/>
                <w:color w:val="000000"/>
                <w:sz w:val="16"/>
              </w:rPr>
              <w:t>980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纸房镇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79.61</w:t>
            </w:r>
          </w:p>
        </w:tc>
        <w:tc>
          <w:tcPr>
            <w:tcW w:w="692" w:type="dxa"/>
            <w:tcBorders>
              <w:tl2br w:val="nil"/>
              <w:tr2bl w:val="nil"/>
            </w:tcBorders>
            <w:shd w:val="clear" w:color="auto" w:fill="auto"/>
            <w:vAlign w:val="center"/>
          </w:tcPr>
          <w:p>
            <w:pPr>
              <w:jc w:val="left"/>
            </w:pPr>
            <w:r>
              <w:rPr>
                <w:rFonts w:ascii="宋体" w:hAnsi="宋体" w:eastAsia="宋体"/>
                <w:color w:val="000000"/>
                <w:sz w:val="16"/>
              </w:rPr>
              <w:t>滑坡、崩塌、地面塌陷、泥石流</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60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车村镇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62.06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闫庄镇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81.64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430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70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陆浑镇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75</w:t>
            </w:r>
          </w:p>
        </w:tc>
        <w:tc>
          <w:tcPr>
            <w:tcW w:w="692" w:type="dxa"/>
            <w:tcBorders>
              <w:tl2br w:val="nil"/>
              <w:tr2bl w:val="nil"/>
            </w:tcBorders>
            <w:shd w:val="clear" w:color="auto" w:fill="auto"/>
            <w:vAlign w:val="center"/>
          </w:tcPr>
          <w:p>
            <w:pPr>
              <w:jc w:val="center"/>
            </w:pPr>
            <w:r>
              <w:rPr>
                <w:rFonts w:ascii="宋体" w:hAnsi="宋体" w:eastAsia="宋体"/>
                <w:color w:val="000000"/>
                <w:sz w:val="16"/>
              </w:rPr>
              <w:t>995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饭坡镇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57.1</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596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黄庄乡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120.23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102</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何村乡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5.24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136.48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九皋镇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21.13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38.84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191</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田湖镇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35.79</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530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德亭镇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162.64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90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旧县镇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69.32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860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木植街乡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78.5</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84</w:t>
            </w:r>
          </w:p>
        </w:tc>
        <w:tc>
          <w:tcPr>
            <w:tcW w:w="692" w:type="dxa"/>
            <w:tcBorders>
              <w:tl2br w:val="nil"/>
              <w:tr2bl w:val="nil"/>
            </w:tcBorders>
            <w:shd w:val="clear" w:color="auto" w:fill="auto"/>
            <w:vAlign w:val="center"/>
          </w:tcPr>
          <w:p>
            <w:pPr>
              <w:jc w:val="center"/>
            </w:pPr>
            <w:r>
              <w:rPr>
                <w:rFonts w:ascii="宋体" w:hAnsi="宋体" w:eastAsia="宋体"/>
                <w:color w:val="000000"/>
                <w:sz w:val="16"/>
              </w:rPr>
              <w:t>600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闫庄镇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陆浑镇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纸房镇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5.77</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大坪乡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16.22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27</w:t>
            </w:r>
          </w:p>
        </w:tc>
        <w:tc>
          <w:tcPr>
            <w:tcW w:w="692" w:type="dxa"/>
            <w:tcBorders>
              <w:tl2br w:val="nil"/>
              <w:tr2bl w:val="nil"/>
            </w:tcBorders>
            <w:shd w:val="clear" w:color="auto" w:fill="auto"/>
            <w:vAlign w:val="center"/>
          </w:tcPr>
          <w:p>
            <w:pPr>
              <w:jc w:val="center"/>
            </w:pPr>
            <w:r>
              <w:rPr>
                <w:rFonts w:ascii="宋体" w:hAnsi="宋体" w:eastAsia="宋体"/>
                <w:color w:val="000000"/>
                <w:sz w:val="16"/>
              </w:rPr>
              <w:t>60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大章镇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109.4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崩塌、泥石流</w:t>
            </w:r>
          </w:p>
        </w:tc>
        <w:tc>
          <w:tcPr>
            <w:tcW w:w="692" w:type="dxa"/>
            <w:tcBorders>
              <w:tl2br w:val="nil"/>
              <w:tr2bl w:val="nil"/>
            </w:tcBorders>
            <w:shd w:val="clear" w:color="auto" w:fill="auto"/>
            <w:vAlign w:val="center"/>
          </w:tcPr>
          <w:p>
            <w:pPr>
              <w:jc w:val="center"/>
            </w:pPr>
            <w:r>
              <w:rPr>
                <w:rFonts w:ascii="宋体" w:hAnsi="宋体" w:eastAsia="宋体"/>
                <w:color w:val="000000"/>
                <w:sz w:val="16"/>
              </w:rPr>
              <w:t>79</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饭坡镇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1088</w:t>
            </w:r>
          </w:p>
        </w:tc>
        <w:tc>
          <w:tcPr>
            <w:tcW w:w="692" w:type="dxa"/>
            <w:tcBorders>
              <w:tl2br w:val="nil"/>
              <w:tr2bl w:val="nil"/>
            </w:tcBorders>
            <w:shd w:val="clear" w:color="auto" w:fill="auto"/>
            <w:vAlign w:val="center"/>
          </w:tcPr>
          <w:p>
            <w:pPr>
              <w:jc w:val="center"/>
            </w:pPr>
            <w:r>
              <w:rPr>
                <w:rFonts w:ascii="宋体" w:hAnsi="宋体" w:eastAsia="宋体"/>
                <w:color w:val="000000"/>
                <w:sz w:val="16"/>
              </w:rPr>
              <w:t>366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黄庄乡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21.04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车村镇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456.29</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11.13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闫庄镇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10.13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大坪乡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5.38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大章镇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5.51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车村镇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13.83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旧县镇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9.71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田湖镇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23.45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饭坡镇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0.61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黄庄乡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纸房镇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陆浑镇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44.06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何村乡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德亭镇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嵩县小计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3007.92</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2801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13433</w:t>
            </w:r>
          </w:p>
        </w:tc>
        <w:tc>
          <w:tcPr>
            <w:tcW w:w="692" w:type="dxa"/>
            <w:tcBorders>
              <w:tl2br w:val="nil"/>
              <w:tr2bl w:val="nil"/>
            </w:tcBorders>
            <w:shd w:val="clear" w:color="auto" w:fill="auto"/>
            <w:vAlign w:val="center"/>
          </w:tcPr>
          <w:p>
            <w:pPr>
              <w:jc w:val="center"/>
            </w:pPr>
            <w:r>
              <w:rPr>
                <w:rFonts w:ascii="宋体" w:hAnsi="宋体" w:eastAsia="宋体"/>
                <w:color w:val="000000"/>
                <w:sz w:val="16"/>
              </w:rPr>
              <w:t>5348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仓头镇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19.6</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正村镇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石寺镇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石井镇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58.41</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7</w:t>
            </w:r>
          </w:p>
        </w:tc>
        <w:tc>
          <w:tcPr>
            <w:tcW w:w="692" w:type="dxa"/>
            <w:tcBorders>
              <w:tl2br w:val="nil"/>
              <w:tr2bl w:val="nil"/>
            </w:tcBorders>
            <w:shd w:val="clear" w:color="auto" w:fill="auto"/>
            <w:vAlign w:val="center"/>
          </w:tcPr>
          <w:p>
            <w:pPr>
              <w:jc w:val="center"/>
            </w:pPr>
            <w:r>
              <w:rPr>
                <w:rFonts w:ascii="宋体" w:hAnsi="宋体" w:eastAsia="宋体"/>
                <w:color w:val="000000"/>
                <w:sz w:val="16"/>
              </w:rPr>
              <w:t>40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铁门镇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青要山镇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磁涧镇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五头镇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0.24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北冶镇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298</w:t>
            </w:r>
          </w:p>
        </w:tc>
        <w:tc>
          <w:tcPr>
            <w:tcW w:w="692" w:type="dxa"/>
            <w:tcBorders>
              <w:tl2br w:val="nil"/>
              <w:tr2bl w:val="nil"/>
            </w:tcBorders>
            <w:shd w:val="clear" w:color="auto" w:fill="auto"/>
            <w:vAlign w:val="center"/>
          </w:tcPr>
          <w:p>
            <w:pPr>
              <w:jc w:val="center"/>
            </w:pPr>
            <w:r>
              <w:rPr>
                <w:rFonts w:ascii="宋体" w:hAnsi="宋体" w:eastAsia="宋体"/>
                <w:color w:val="000000"/>
                <w:sz w:val="16"/>
              </w:rPr>
              <w:t>620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南李村镇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8.63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石井镇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57.88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五头镇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铁门镇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21.39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青要山镇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71.97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磁涧镇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49.21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南李村镇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21.91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6.79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北冶镇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31.45</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352</w:t>
            </w:r>
          </w:p>
        </w:tc>
        <w:tc>
          <w:tcPr>
            <w:tcW w:w="692" w:type="dxa"/>
            <w:tcBorders>
              <w:tl2br w:val="nil"/>
              <w:tr2bl w:val="nil"/>
            </w:tcBorders>
            <w:shd w:val="clear" w:color="auto" w:fill="auto"/>
            <w:vAlign w:val="center"/>
          </w:tcPr>
          <w:p>
            <w:pPr>
              <w:jc w:val="center"/>
            </w:pPr>
            <w:r>
              <w:rPr>
                <w:rFonts w:ascii="宋体" w:hAnsi="宋体" w:eastAsia="宋体"/>
                <w:color w:val="000000"/>
                <w:sz w:val="16"/>
              </w:rPr>
              <w:t>975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仓头镇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石寺镇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243</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正村镇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7.86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56.71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北冶镇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38.67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南李村镇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49.78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石井镇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42.08</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3</w:t>
            </w:r>
          </w:p>
        </w:tc>
        <w:tc>
          <w:tcPr>
            <w:tcW w:w="692" w:type="dxa"/>
            <w:tcBorders>
              <w:tl2br w:val="nil"/>
              <w:tr2bl w:val="nil"/>
            </w:tcBorders>
            <w:shd w:val="clear" w:color="auto" w:fill="auto"/>
            <w:vAlign w:val="center"/>
          </w:tcPr>
          <w:p>
            <w:pPr>
              <w:jc w:val="center"/>
            </w:pPr>
            <w:r>
              <w:rPr>
                <w:rFonts w:ascii="宋体" w:hAnsi="宋体" w:eastAsia="宋体"/>
                <w:color w:val="000000"/>
                <w:sz w:val="16"/>
              </w:rPr>
              <w:t>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石寺镇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24.28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青要山镇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仓头镇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21.63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五头镇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81.44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铁门镇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51.55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正村镇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磁涧镇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35.47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五头镇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仓头镇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27.34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北冶镇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39.07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石井镇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6.96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石寺镇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9.52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铁门镇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32.43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青要山镇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磁涧镇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15.03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南李村镇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5.93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正村镇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新安县小计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1164.56</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1066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2459</w:t>
            </w:r>
          </w:p>
        </w:tc>
        <w:tc>
          <w:tcPr>
            <w:tcW w:w="692" w:type="dxa"/>
            <w:tcBorders>
              <w:tl2br w:val="nil"/>
              <w:tr2bl w:val="nil"/>
            </w:tcBorders>
            <w:shd w:val="clear" w:color="auto" w:fill="auto"/>
            <w:vAlign w:val="center"/>
          </w:tcPr>
          <w:p>
            <w:pPr>
              <w:jc w:val="center"/>
            </w:pPr>
            <w:r>
              <w:rPr>
                <w:rFonts w:ascii="宋体" w:hAnsi="宋体" w:eastAsia="宋体"/>
                <w:color w:val="000000"/>
                <w:sz w:val="16"/>
              </w:rPr>
              <w:t>694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庙子镇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44.97</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潭头镇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17.09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三川镇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76.3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31</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叫河镇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狮子庙镇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4.41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合峪镇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0.41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冷水镇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43.44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白土镇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9.27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耕莘街道办事处</w:t>
            </w:r>
          </w:p>
        </w:tc>
        <w:tc>
          <w:tcPr>
            <w:tcW w:w="692" w:type="dxa"/>
            <w:tcBorders>
              <w:tl2br w:val="nil"/>
              <w:tr2bl w:val="nil"/>
            </w:tcBorders>
            <w:shd w:val="clear" w:color="auto" w:fill="auto"/>
            <w:vAlign w:val="center"/>
          </w:tcPr>
          <w:p>
            <w:pPr>
              <w:jc w:val="center"/>
            </w:pPr>
            <w:r>
              <w:rPr>
                <w:rFonts w:ascii="宋体" w:hAnsi="宋体" w:eastAsia="宋体"/>
                <w:color w:val="000000"/>
                <w:sz w:val="16"/>
              </w:rPr>
              <w:t>6.84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68</w:t>
            </w:r>
          </w:p>
        </w:tc>
        <w:tc>
          <w:tcPr>
            <w:tcW w:w="692" w:type="dxa"/>
            <w:tcBorders>
              <w:tl2br w:val="nil"/>
              <w:tr2bl w:val="nil"/>
            </w:tcBorders>
            <w:shd w:val="clear" w:color="auto" w:fill="auto"/>
            <w:vAlign w:val="center"/>
          </w:tcPr>
          <w:p>
            <w:pPr>
              <w:jc w:val="center"/>
            </w:pPr>
            <w:r>
              <w:rPr>
                <w:rFonts w:ascii="宋体" w:hAnsi="宋体" w:eastAsia="宋体"/>
                <w:color w:val="000000"/>
                <w:sz w:val="16"/>
              </w:rPr>
              <w:t>800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秋扒乡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赤土店镇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石庙乡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1122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陶湾镇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36.72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208</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303</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赤土店镇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5.71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三川镇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9.6</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叫河镇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146.8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合峪镇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41.99</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庙子镇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29.08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1094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狮子庙镇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150.78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38</w:t>
            </w:r>
          </w:p>
        </w:tc>
        <w:tc>
          <w:tcPr>
            <w:tcW w:w="692" w:type="dxa"/>
            <w:tcBorders>
              <w:tl2br w:val="nil"/>
              <w:tr2bl w:val="nil"/>
            </w:tcBorders>
            <w:shd w:val="clear" w:color="auto" w:fill="auto"/>
            <w:vAlign w:val="center"/>
          </w:tcPr>
          <w:p>
            <w:pPr>
              <w:jc w:val="center"/>
            </w:pPr>
            <w:r>
              <w:rPr>
                <w:rFonts w:ascii="宋体" w:hAnsi="宋体" w:eastAsia="宋体"/>
                <w:color w:val="000000"/>
                <w:sz w:val="16"/>
              </w:rPr>
              <w:t>592</w:t>
            </w:r>
          </w:p>
        </w:tc>
        <w:tc>
          <w:tcPr>
            <w:tcW w:w="692" w:type="dxa"/>
            <w:tcBorders>
              <w:tl2br w:val="nil"/>
              <w:tr2bl w:val="nil"/>
            </w:tcBorders>
            <w:shd w:val="clear" w:color="auto" w:fill="auto"/>
            <w:vAlign w:val="center"/>
          </w:tcPr>
          <w:p>
            <w:pPr>
              <w:jc w:val="center"/>
            </w:pPr>
            <w:r>
              <w:rPr>
                <w:rFonts w:ascii="宋体" w:hAnsi="宋体" w:eastAsia="宋体"/>
                <w:color w:val="000000"/>
                <w:sz w:val="16"/>
              </w:rPr>
              <w:t>90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白土镇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90.81</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227</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257</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石庙乡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35.48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滑坡、泥石流</w:t>
            </w:r>
          </w:p>
        </w:tc>
        <w:tc>
          <w:tcPr>
            <w:tcW w:w="692" w:type="dxa"/>
            <w:tcBorders>
              <w:tl2br w:val="nil"/>
              <w:tr2bl w:val="nil"/>
            </w:tcBorders>
            <w:shd w:val="clear" w:color="auto" w:fill="auto"/>
            <w:vAlign w:val="center"/>
          </w:tcPr>
          <w:p>
            <w:pPr>
              <w:jc w:val="center"/>
            </w:pPr>
            <w:r>
              <w:rPr>
                <w:rFonts w:ascii="宋体" w:hAnsi="宋体" w:eastAsia="宋体"/>
                <w:color w:val="000000"/>
                <w:sz w:val="16"/>
              </w:rPr>
              <w:t>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2643</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陶湾镇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101.15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滑坡、泥石流</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108</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191</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48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冷水镇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0.27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秋扒乡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66.95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耕莘街道办事处</w:t>
            </w:r>
          </w:p>
        </w:tc>
        <w:tc>
          <w:tcPr>
            <w:tcW w:w="692" w:type="dxa"/>
            <w:tcBorders>
              <w:tl2br w:val="nil"/>
              <w:tr2bl w:val="nil"/>
            </w:tcBorders>
            <w:shd w:val="clear" w:color="auto" w:fill="auto"/>
            <w:vAlign w:val="center"/>
          </w:tcPr>
          <w:p>
            <w:pPr>
              <w:jc w:val="center"/>
            </w:pPr>
            <w:r>
              <w:rPr>
                <w:rFonts w:ascii="宋体" w:hAnsi="宋体" w:eastAsia="宋体"/>
                <w:color w:val="000000"/>
                <w:sz w:val="16"/>
              </w:rPr>
              <w:t>4.47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1182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潭头镇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86.43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153</w:t>
            </w:r>
          </w:p>
        </w:tc>
        <w:tc>
          <w:tcPr>
            <w:tcW w:w="692" w:type="dxa"/>
            <w:tcBorders>
              <w:tl2br w:val="nil"/>
              <w:tr2bl w:val="nil"/>
            </w:tcBorders>
            <w:shd w:val="clear" w:color="auto" w:fill="auto"/>
            <w:vAlign w:val="center"/>
          </w:tcPr>
          <w:p>
            <w:pPr>
              <w:jc w:val="center"/>
            </w:pPr>
            <w:r>
              <w:rPr>
                <w:rFonts w:ascii="宋体" w:hAnsi="宋体" w:eastAsia="宋体"/>
                <w:color w:val="000000"/>
                <w:sz w:val="16"/>
              </w:rPr>
              <w:t>405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耕莘街道办事处</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16.88</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63</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2332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92.33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4336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庙子镇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279.47</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合峪镇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266.34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828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冷水镇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9.18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狮子庙镇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120.37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三川镇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9.91</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白土镇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47.95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泥石流</w:t>
            </w:r>
          </w:p>
        </w:tc>
        <w:tc>
          <w:tcPr>
            <w:tcW w:w="692" w:type="dxa"/>
            <w:tcBorders>
              <w:tl2br w:val="nil"/>
              <w:tr2bl w:val="nil"/>
            </w:tcBorders>
            <w:shd w:val="clear" w:color="auto" w:fill="auto"/>
            <w:vAlign w:val="center"/>
          </w:tcPr>
          <w:p>
            <w:pPr>
              <w:jc w:val="center"/>
            </w:pPr>
            <w:r>
              <w:rPr>
                <w:rFonts w:ascii="宋体" w:hAnsi="宋体" w:eastAsia="宋体"/>
                <w:color w:val="000000"/>
                <w:sz w:val="16"/>
              </w:rPr>
              <w:t>88</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297</w:t>
            </w:r>
          </w:p>
        </w:tc>
        <w:tc>
          <w:tcPr>
            <w:tcW w:w="692" w:type="dxa"/>
            <w:tcBorders>
              <w:tl2br w:val="nil"/>
              <w:tr2bl w:val="nil"/>
            </w:tcBorders>
            <w:shd w:val="clear" w:color="auto" w:fill="auto"/>
            <w:vAlign w:val="center"/>
          </w:tcPr>
          <w:p>
            <w:pPr>
              <w:jc w:val="center"/>
            </w:pPr>
            <w:r>
              <w:rPr>
                <w:rFonts w:ascii="宋体" w:hAnsi="宋体" w:eastAsia="宋体"/>
                <w:color w:val="000000"/>
                <w:sz w:val="16"/>
              </w:rPr>
              <w:t>644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叫河镇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29.33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484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赤土店镇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85.36</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滑坡、泥石流</w:t>
            </w:r>
          </w:p>
        </w:tc>
        <w:tc>
          <w:tcPr>
            <w:tcW w:w="692" w:type="dxa"/>
            <w:tcBorders>
              <w:tl2br w:val="nil"/>
              <w:tr2bl w:val="nil"/>
            </w:tcBorders>
            <w:shd w:val="clear" w:color="auto" w:fill="auto"/>
            <w:vAlign w:val="center"/>
          </w:tcPr>
          <w:p>
            <w:pPr>
              <w:jc w:val="center"/>
            </w:pPr>
            <w:r>
              <w:rPr>
                <w:rFonts w:ascii="宋体" w:hAnsi="宋体" w:eastAsia="宋体"/>
                <w:color w:val="000000"/>
                <w:sz w:val="16"/>
              </w:rPr>
              <w:t>52</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407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潭头镇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160.93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90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石庙乡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33.74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304</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2225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秋扒乡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83.65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w:t>
            </w:r>
          </w:p>
        </w:tc>
        <w:tc>
          <w:tcPr>
            <w:tcW w:w="692" w:type="dxa"/>
            <w:tcBorders>
              <w:tl2br w:val="nil"/>
              <w:tr2bl w:val="nil"/>
            </w:tcBorders>
            <w:shd w:val="clear" w:color="auto" w:fill="auto"/>
            <w:vAlign w:val="center"/>
          </w:tcPr>
          <w:p>
            <w:pPr>
              <w:jc w:val="center"/>
            </w:pPr>
            <w:r>
              <w:rPr>
                <w:rFonts w:ascii="宋体" w:hAnsi="宋体" w:eastAsia="宋体"/>
                <w:color w:val="000000"/>
                <w:sz w:val="16"/>
              </w:rPr>
              <w:t>60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陶湾镇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62.69</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w:t>
            </w:r>
          </w:p>
        </w:tc>
        <w:tc>
          <w:tcPr>
            <w:tcW w:w="692" w:type="dxa"/>
            <w:tcBorders>
              <w:tl2br w:val="nil"/>
              <w:tr2bl w:val="nil"/>
            </w:tcBorders>
            <w:shd w:val="clear" w:color="auto" w:fill="auto"/>
            <w:vAlign w:val="center"/>
          </w:tcPr>
          <w:p>
            <w:pPr>
              <w:jc w:val="center"/>
            </w:pPr>
            <w:r>
              <w:rPr>
                <w:rFonts w:ascii="宋体" w:hAnsi="宋体" w:eastAsia="宋体"/>
                <w:color w:val="000000"/>
                <w:sz w:val="16"/>
              </w:rPr>
              <w:t>70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1703</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合峪镇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叫河镇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秋扒乡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庙子镇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石庙乡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潭头镇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8.47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狮子庙镇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冷水镇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耕莘街道办事处</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三川镇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赤土店镇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0.53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陶湾镇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栾川县小计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2477.23</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2486</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12830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29559</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小店镇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3.92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柏树乡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14.09</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89</w:t>
            </w:r>
          </w:p>
        </w:tc>
        <w:tc>
          <w:tcPr>
            <w:tcW w:w="692" w:type="dxa"/>
            <w:tcBorders>
              <w:tl2br w:val="nil"/>
              <w:tr2bl w:val="nil"/>
            </w:tcBorders>
            <w:shd w:val="clear" w:color="auto" w:fill="auto"/>
            <w:vAlign w:val="center"/>
          </w:tcPr>
          <w:p>
            <w:pPr>
              <w:jc w:val="center"/>
            </w:pPr>
            <w:r>
              <w:rPr>
                <w:rFonts w:ascii="宋体" w:hAnsi="宋体" w:eastAsia="宋体"/>
                <w:color w:val="000000"/>
                <w:sz w:val="16"/>
              </w:rPr>
              <w:t>360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8.24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刘店镇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20.22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十八盘乡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5.58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22.06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大安工业园区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靳村乡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0.21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大安工业园区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柏树乡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219</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400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972</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23.83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刘店镇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44.86</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十八盘乡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87.61</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滑坡、泥石流</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51.3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付店镇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84.17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4220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小店镇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25.83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蔡店乡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王坪乡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121.19</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崩塌、泥石流</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203</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陶营镇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83.82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239</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靳村乡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72.92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814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陶营镇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9.21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蔡店乡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11.31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20.52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十八盘乡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15.73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靳村乡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55.33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9.92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23027</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大安工业园区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0.77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小店镇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13.06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王坪乡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34.75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付店镇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136.34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555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刘店镇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3.74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柏树乡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18.84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486</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325</w:t>
            </w:r>
          </w:p>
        </w:tc>
        <w:tc>
          <w:tcPr>
            <w:tcW w:w="692" w:type="dxa"/>
            <w:tcBorders>
              <w:tl2br w:val="nil"/>
              <w:tr2bl w:val="nil"/>
            </w:tcBorders>
            <w:shd w:val="clear" w:color="auto" w:fill="auto"/>
            <w:vAlign w:val="center"/>
          </w:tcPr>
          <w:p>
            <w:pPr>
              <w:jc w:val="center"/>
            </w:pPr>
            <w:r>
              <w:rPr>
                <w:rFonts w:ascii="宋体" w:hAnsi="宋体" w:eastAsia="宋体"/>
                <w:color w:val="000000"/>
                <w:sz w:val="16"/>
              </w:rPr>
              <w:t>623</w:t>
            </w:r>
          </w:p>
        </w:tc>
        <w:tc>
          <w:tcPr>
            <w:tcW w:w="692" w:type="dxa"/>
            <w:tcBorders>
              <w:tl2br w:val="nil"/>
              <w:tr2bl w:val="nil"/>
            </w:tcBorders>
            <w:shd w:val="clear" w:color="auto" w:fill="auto"/>
            <w:vAlign w:val="center"/>
          </w:tcPr>
          <w:p>
            <w:pPr>
              <w:jc w:val="center"/>
            </w:pPr>
            <w:r>
              <w:rPr>
                <w:rFonts w:ascii="宋体" w:hAnsi="宋体" w:eastAsia="宋体"/>
                <w:color w:val="000000"/>
                <w:sz w:val="16"/>
              </w:rPr>
              <w:t>408.6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三屯镇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大安工业园区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27.84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付店镇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王坪乡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0.01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刘店镇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内埠镇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36.66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小店镇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陶营镇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39.11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靳村乡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0.61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蔡店乡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56.24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十八盘乡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柏树乡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15.41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汝阳县小计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1328.62</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2075</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24474</w:t>
            </w:r>
          </w:p>
        </w:tc>
        <w:tc>
          <w:tcPr>
            <w:tcW w:w="692" w:type="dxa"/>
            <w:tcBorders>
              <w:tl2br w:val="nil"/>
              <w:tr2bl w:val="nil"/>
            </w:tcBorders>
            <w:shd w:val="clear" w:color="auto" w:fill="auto"/>
            <w:vAlign w:val="center"/>
          </w:tcPr>
          <w:p>
            <w:pPr>
              <w:jc w:val="center"/>
            </w:pPr>
            <w:r>
              <w:rPr>
                <w:rFonts w:ascii="宋体" w:hAnsi="宋体" w:eastAsia="宋体"/>
                <w:color w:val="000000"/>
                <w:sz w:val="16"/>
              </w:rPr>
              <w:t>6180.6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上戈镇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10.11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兴华镇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4.75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小界镇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11.37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东宋镇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0.86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故县镇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10.46</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194</w:t>
            </w:r>
          </w:p>
        </w:tc>
        <w:tc>
          <w:tcPr>
            <w:tcW w:w="692" w:type="dxa"/>
            <w:tcBorders>
              <w:tl2br w:val="nil"/>
              <w:tr2bl w:val="nil"/>
            </w:tcBorders>
            <w:shd w:val="clear" w:color="auto" w:fill="auto"/>
            <w:vAlign w:val="center"/>
          </w:tcPr>
          <w:p>
            <w:pPr>
              <w:jc w:val="center"/>
            </w:pPr>
            <w:r>
              <w:rPr>
                <w:rFonts w:ascii="宋体" w:hAnsi="宋体" w:eastAsia="宋体"/>
                <w:color w:val="000000"/>
                <w:sz w:val="16"/>
              </w:rPr>
              <w:t>390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景阳镇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河底镇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43</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下峪镇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32.81</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978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2200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赵村镇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长水镇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0.52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罗岭乡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4.72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豫西山区滑坡、崩塌地质灾害高易发亚区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底张乡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上戈镇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176.28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永宁街道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东宋镇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7.69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小界镇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53.57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故县镇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60</w:t>
            </w:r>
          </w:p>
        </w:tc>
        <w:tc>
          <w:tcPr>
            <w:tcW w:w="692" w:type="dxa"/>
            <w:tcBorders>
              <w:tl2br w:val="nil"/>
              <w:tr2bl w:val="nil"/>
            </w:tcBorders>
            <w:shd w:val="clear" w:color="auto" w:fill="auto"/>
            <w:vAlign w:val="center"/>
          </w:tcPr>
          <w:p>
            <w:pPr>
              <w:jc w:val="center"/>
            </w:pPr>
            <w:r>
              <w:rPr>
                <w:rFonts w:ascii="宋体" w:hAnsi="宋体" w:eastAsia="宋体"/>
                <w:color w:val="000000"/>
                <w:sz w:val="16"/>
              </w:rPr>
              <w:t>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997</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2530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景阳镇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河底镇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涧口乡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9.95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王范回族镇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0.39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下峪镇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40.42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地裂缝</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570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凤翼镇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兴华镇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50.49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底张乡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17.84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长水镇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46.69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马店镇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33.69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陈吴乡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7.29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赵村镇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17.99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卢氏-遂平滑坡、崩塌、地面塌陷、泥石流地质灾害中易发亚区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罗岭乡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104.37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上戈镇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46.73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东宋镇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110.21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永宁街道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4.65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凤翼镇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小界镇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87.06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底张乡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98.41</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60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故县镇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45.57</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9</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588</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1750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景阳镇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67.44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6</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河底镇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97.48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涧口乡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105.75</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王范回族镇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2.56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罗岭乡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赵村镇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95.79</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875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长水镇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60.57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下峪镇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125.38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1253</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2250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马店镇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95.26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陈吴乡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118.52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50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灵宝-惠济崩塌、滑坡、地面塌陷地质灾害低易发亚区；陕州-西平滑坡、崩塌、地面塌陷、泥石流地质灾害低易发亚区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Ⅲ2；Ⅲ4</w:t>
            </w:r>
          </w:p>
        </w:tc>
        <w:tc>
          <w:tcPr>
            <w:tcW w:w="692" w:type="dxa"/>
            <w:tcBorders>
              <w:tl2br w:val="nil"/>
              <w:tr2bl w:val="nil"/>
            </w:tcBorders>
            <w:shd w:val="clear" w:color="auto" w:fill="auto"/>
            <w:vAlign w:val="center"/>
          </w:tcPr>
          <w:p>
            <w:pPr>
              <w:jc w:val="center"/>
            </w:pPr>
            <w:r>
              <w:rPr>
                <w:rFonts w:ascii="宋体" w:hAnsi="宋体" w:eastAsia="宋体"/>
                <w:color w:val="000000"/>
                <w:sz w:val="16"/>
              </w:rPr>
              <w:t>兴华镇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103.22</w:t>
            </w:r>
          </w:p>
        </w:tc>
        <w:tc>
          <w:tcPr>
            <w:tcW w:w="692" w:type="dxa"/>
            <w:tcBorders>
              <w:tl2br w:val="nil"/>
              <w:tr2bl w:val="nil"/>
            </w:tcBorders>
            <w:shd w:val="clear" w:color="auto" w:fill="auto"/>
            <w:vAlign w:val="center"/>
          </w:tcPr>
          <w:p>
            <w:pPr>
              <w:jc w:val="center"/>
            </w:pPr>
            <w:r>
              <w:rPr>
                <w:rFonts w:ascii="宋体" w:hAnsi="宋体" w:eastAsia="宋体"/>
                <w:color w:val="000000"/>
                <w:sz w:val="16"/>
              </w:rPr>
              <w:t>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270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下峪镇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东宋镇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29.74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兴华镇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永宁街道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凤翼镇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30.11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小界镇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18.17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底张乡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14.69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故县镇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6.87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陈吴乡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20.88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上戈镇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0.01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景阳镇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8.78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河底镇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30.76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涧口乡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17.79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王范回族镇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6.32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罗岭乡</w:t>
            </w:r>
          </w:p>
        </w:tc>
        <w:tc>
          <w:tcPr>
            <w:tcW w:w="692" w:type="dxa"/>
            <w:tcBorders>
              <w:tl2br w:val="nil"/>
              <w:tr2bl w:val="nil"/>
            </w:tcBorders>
            <w:shd w:val="clear" w:color="auto" w:fill="auto"/>
            <w:vAlign w:val="center"/>
          </w:tcPr>
          <w:p>
            <w:pPr>
              <w:jc w:val="center"/>
            </w:pPr>
            <w:r>
              <w:rPr>
                <w:rFonts w:ascii="宋体" w:hAnsi="宋体" w:eastAsia="宋体"/>
                <w:color w:val="000000"/>
                <w:sz w:val="16"/>
              </w:rPr>
              <w:t>0.07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赵村镇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长水镇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7.18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马店镇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洛宁县小计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2303.85</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781</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4279</w:t>
            </w:r>
          </w:p>
        </w:tc>
        <w:tc>
          <w:tcPr>
            <w:tcW w:w="692" w:type="dxa"/>
            <w:tcBorders>
              <w:tl2br w:val="nil"/>
              <w:tr2bl w:val="nil"/>
            </w:tcBorders>
            <w:shd w:val="clear" w:color="auto" w:fill="auto"/>
            <w:vAlign w:val="center"/>
          </w:tcPr>
          <w:p>
            <w:pPr>
              <w:jc w:val="center"/>
            </w:pPr>
            <w:r>
              <w:rPr>
                <w:rFonts w:ascii="宋体" w:hAnsi="宋体" w:eastAsia="宋体"/>
                <w:color w:val="000000"/>
                <w:sz w:val="16"/>
              </w:rPr>
              <w:t>9810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诸葛镇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辛店街道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1.77</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127</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left"/>
            </w:pPr>
            <w:r>
              <w:rPr>
                <w:rFonts w:ascii="宋体" w:hAnsi="宋体" w:eastAsia="宋体"/>
                <w:color w:val="000000"/>
                <w:sz w:val="16"/>
              </w:rPr>
              <w:t>龙门石窟世界文化遗产园区管理委员会</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3.55</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龙门街道直属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0.05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丰李镇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3.49</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810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学府街道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0.28</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寇店镇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高易发区（四）</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w:t>
            </w:r>
          </w:p>
        </w:tc>
        <w:tc>
          <w:tcPr>
            <w:tcW w:w="692" w:type="dxa"/>
            <w:tcBorders>
              <w:tl2br w:val="nil"/>
              <w:tr2bl w:val="nil"/>
            </w:tcBorders>
            <w:shd w:val="clear" w:color="auto" w:fill="auto"/>
            <w:vAlign w:val="center"/>
          </w:tcPr>
          <w:p>
            <w:pPr>
              <w:jc w:val="left"/>
            </w:pPr>
            <w:r>
              <w:rPr>
                <w:rFonts w:ascii="宋体" w:hAnsi="宋体" w:eastAsia="宋体"/>
                <w:color w:val="000000"/>
                <w:sz w:val="16"/>
              </w:rPr>
              <w:t>黄河中游黄土丘陵崩塌、滑坡、地面塌陷地质灾害高易发亚区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Ⅰ2</w:t>
            </w:r>
          </w:p>
        </w:tc>
        <w:tc>
          <w:tcPr>
            <w:tcW w:w="692" w:type="dxa"/>
            <w:tcBorders>
              <w:tl2br w:val="nil"/>
              <w:tr2bl w:val="nil"/>
            </w:tcBorders>
            <w:shd w:val="clear" w:color="auto" w:fill="auto"/>
            <w:vAlign w:val="center"/>
          </w:tcPr>
          <w:p>
            <w:pPr>
              <w:jc w:val="center"/>
            </w:pPr>
            <w:r>
              <w:rPr>
                <w:rFonts w:ascii="宋体" w:hAnsi="宋体" w:eastAsia="宋体"/>
                <w:color w:val="000000"/>
                <w:sz w:val="16"/>
              </w:rPr>
              <w:t>科技园街道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0.84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科技园街道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5.38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诸葛镇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辛店街道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22.81</w:t>
            </w:r>
          </w:p>
        </w:tc>
        <w:tc>
          <w:tcPr>
            <w:tcW w:w="692" w:type="dxa"/>
            <w:tcBorders>
              <w:tl2br w:val="nil"/>
              <w:tr2bl w:val="nil"/>
            </w:tcBorders>
            <w:shd w:val="clear" w:color="auto" w:fill="auto"/>
            <w:vAlign w:val="center"/>
          </w:tcPr>
          <w:p>
            <w:pPr>
              <w:jc w:val="left"/>
            </w:pPr>
            <w:r>
              <w:rPr>
                <w:rFonts w:ascii="宋体" w:hAnsi="宋体" w:eastAsia="宋体"/>
                <w:color w:val="000000"/>
                <w:sz w:val="16"/>
              </w:rPr>
              <w:t>滑坡、崩塌、地面塌陷、泥石流；崩塌、滑坡、地面塌陷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4505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龙门街道直属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left"/>
            </w:pPr>
            <w:r>
              <w:rPr>
                <w:rFonts w:ascii="宋体" w:hAnsi="宋体" w:eastAsia="宋体"/>
                <w:color w:val="000000"/>
                <w:sz w:val="16"/>
              </w:rPr>
              <w:t>龙门石窟世界文化遗产园区管理委员会</w:t>
            </w:r>
          </w:p>
        </w:tc>
        <w:tc>
          <w:tcPr>
            <w:tcW w:w="692" w:type="dxa"/>
            <w:tcBorders>
              <w:tl2br w:val="nil"/>
              <w:tr2bl w:val="nil"/>
            </w:tcBorders>
            <w:shd w:val="clear" w:color="auto" w:fill="auto"/>
            <w:vAlign w:val="center"/>
          </w:tcPr>
          <w:p>
            <w:pPr>
              <w:jc w:val="center"/>
            </w:pPr>
            <w:r>
              <w:rPr>
                <w:rFonts w:ascii="宋体" w:hAnsi="宋体" w:eastAsia="宋体"/>
                <w:color w:val="000000"/>
                <w:sz w:val="16"/>
              </w:rPr>
              <w:t>8.53</w:t>
            </w:r>
          </w:p>
        </w:tc>
        <w:tc>
          <w:tcPr>
            <w:tcW w:w="692" w:type="dxa"/>
            <w:tcBorders>
              <w:tl2br w:val="nil"/>
              <w:tr2bl w:val="nil"/>
            </w:tcBorders>
            <w:shd w:val="clear" w:color="auto" w:fill="auto"/>
            <w:vAlign w:val="center"/>
          </w:tcPr>
          <w:p>
            <w:pPr>
              <w:jc w:val="left"/>
            </w:pPr>
            <w:r>
              <w:rPr>
                <w:rFonts w:ascii="宋体" w:hAnsi="宋体" w:eastAsia="宋体"/>
                <w:color w:val="000000"/>
                <w:sz w:val="16"/>
              </w:rPr>
              <w:t>滑坡、崩塌、地面塌陷、泥石流；崩塌、滑坡、地面塌陷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2324</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学府街道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2.46</w:t>
            </w:r>
          </w:p>
        </w:tc>
        <w:tc>
          <w:tcPr>
            <w:tcW w:w="692" w:type="dxa"/>
            <w:tcBorders>
              <w:tl2br w:val="nil"/>
              <w:tr2bl w:val="nil"/>
            </w:tcBorders>
            <w:shd w:val="clear" w:color="auto" w:fill="auto"/>
            <w:vAlign w:val="center"/>
          </w:tcPr>
          <w:p>
            <w:pPr>
              <w:jc w:val="left"/>
            </w:pPr>
            <w:r>
              <w:rPr>
                <w:rFonts w:ascii="宋体" w:hAnsi="宋体" w:eastAsia="宋体"/>
                <w:color w:val="000000"/>
                <w:sz w:val="16"/>
              </w:rPr>
              <w:t>滑坡、崩塌、地面塌陷、泥石流；崩塌、滑坡、地面塌陷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1140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丰李镇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6.15</w:t>
            </w:r>
          </w:p>
        </w:tc>
        <w:tc>
          <w:tcPr>
            <w:tcW w:w="692" w:type="dxa"/>
            <w:tcBorders>
              <w:tl2br w:val="nil"/>
              <w:tr2bl w:val="nil"/>
            </w:tcBorders>
            <w:shd w:val="clear" w:color="auto" w:fill="auto"/>
            <w:vAlign w:val="center"/>
          </w:tcPr>
          <w:p>
            <w:pPr>
              <w:jc w:val="left"/>
            </w:pPr>
            <w:r>
              <w:rPr>
                <w:rFonts w:ascii="宋体" w:hAnsi="宋体" w:eastAsia="宋体"/>
                <w:color w:val="000000"/>
                <w:sz w:val="16"/>
              </w:rPr>
              <w:t>滑坡、崩塌、地面塌陷、泥石流；崩塌、滑坡、地面塌陷</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3366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寇店镇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11.97</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89</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345</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中易发区（三）</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灵宝-惠济滑坡、崩塌、地面塌陷、泥石流地质灾害中易发亚区；洛龙-郏县崩塌、滑坡、地面塌陷地质灾害中易发亚区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Ⅱ2；Ⅱ3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李村镇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4.69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科技园街道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丰李镇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3.74</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崩塌、滑坡、地面塌陷；崩塌、地面塌陷、滑坡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393</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寇店镇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20.45</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w:t>
            </w:r>
          </w:p>
        </w:tc>
        <w:tc>
          <w:tcPr>
            <w:tcW w:w="692" w:type="dxa"/>
            <w:tcBorders>
              <w:tl2br w:val="nil"/>
              <w:tr2bl w:val="nil"/>
            </w:tcBorders>
            <w:shd w:val="clear" w:color="auto" w:fill="auto"/>
            <w:vAlign w:val="center"/>
          </w:tcPr>
          <w:p>
            <w:pPr>
              <w:jc w:val="center"/>
            </w:pPr>
            <w:r>
              <w:rPr>
                <w:rFonts w:ascii="宋体" w:hAnsi="宋体" w:eastAsia="宋体"/>
                <w:color w:val="000000"/>
                <w:sz w:val="16"/>
              </w:rPr>
              <w:t>90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辛店街道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0.26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学府街道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0.05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诸葛镇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24.48</w:t>
            </w:r>
          </w:p>
        </w:tc>
        <w:tc>
          <w:tcPr>
            <w:tcW w:w="692" w:type="dxa"/>
            <w:tcBorders>
              <w:tl2br w:val="nil"/>
              <w:tr2bl w:val="nil"/>
            </w:tcBorders>
            <w:shd w:val="clear" w:color="auto" w:fill="auto"/>
            <w:vAlign w:val="center"/>
          </w:tcPr>
          <w:p>
            <w:pPr>
              <w:jc w:val="center"/>
            </w:pPr>
            <w:r>
              <w:rPr>
                <w:rFonts w:ascii="宋体" w:hAnsi="宋体" w:eastAsia="宋体"/>
                <w:color w:val="000000"/>
                <w:sz w:val="16"/>
              </w:rPr>
              <w:t>崩塌</w:t>
            </w:r>
          </w:p>
        </w:tc>
        <w:tc>
          <w:tcPr>
            <w:tcW w:w="692" w:type="dxa"/>
            <w:tcBorders>
              <w:tl2br w:val="nil"/>
              <w:tr2bl w:val="nil"/>
            </w:tcBorders>
            <w:shd w:val="clear" w:color="auto" w:fill="auto"/>
            <w:vAlign w:val="center"/>
          </w:tcPr>
          <w:p>
            <w:pPr>
              <w:jc w:val="center"/>
            </w:pPr>
            <w:r>
              <w:rPr>
                <w:rFonts w:ascii="宋体" w:hAnsi="宋体" w:eastAsia="宋体"/>
                <w:color w:val="000000"/>
                <w:sz w:val="16"/>
              </w:rPr>
              <w:t>54</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200</w:t>
            </w:r>
          </w:p>
        </w:tc>
        <w:tc>
          <w:tcPr>
            <w:tcW w:w="692" w:type="dxa"/>
            <w:tcBorders>
              <w:tl2br w:val="nil"/>
              <w:tr2bl w:val="nil"/>
            </w:tcBorders>
            <w:shd w:val="clear" w:color="auto" w:fill="auto"/>
            <w:vAlign w:val="center"/>
          </w:tcPr>
          <w:p>
            <w:pPr>
              <w:jc w:val="center"/>
            </w:pPr>
            <w:r>
              <w:rPr>
                <w:rFonts w:ascii="宋体" w:hAnsi="宋体" w:eastAsia="宋体"/>
                <w:color w:val="000000"/>
                <w:sz w:val="16"/>
              </w:rPr>
              <w:t>663</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left"/>
            </w:pPr>
            <w:r>
              <w:rPr>
                <w:rFonts w:ascii="宋体" w:hAnsi="宋体" w:eastAsia="宋体"/>
                <w:color w:val="000000"/>
                <w:sz w:val="16"/>
              </w:rPr>
              <w:t>龙门石窟世界文化遗产园区管理委员会</w:t>
            </w:r>
          </w:p>
        </w:tc>
        <w:tc>
          <w:tcPr>
            <w:tcW w:w="692" w:type="dxa"/>
            <w:tcBorders>
              <w:tl2br w:val="nil"/>
              <w:tr2bl w:val="nil"/>
            </w:tcBorders>
            <w:shd w:val="clear" w:color="auto" w:fill="auto"/>
            <w:vAlign w:val="center"/>
          </w:tcPr>
          <w:p>
            <w:pPr>
              <w:jc w:val="center"/>
            </w:pPr>
            <w:r>
              <w:rPr>
                <w:rFonts w:ascii="宋体" w:hAnsi="宋体" w:eastAsia="宋体"/>
                <w:color w:val="000000"/>
                <w:sz w:val="16"/>
              </w:rPr>
              <w:t>7.67</w:t>
            </w:r>
          </w:p>
        </w:tc>
        <w:tc>
          <w:tcPr>
            <w:tcW w:w="692" w:type="dxa"/>
            <w:tcBorders>
              <w:tl2br w:val="nil"/>
              <w:tr2bl w:val="nil"/>
            </w:tcBorders>
            <w:shd w:val="clear" w:color="auto" w:fill="auto"/>
            <w:vAlign w:val="center"/>
          </w:tcPr>
          <w:p>
            <w:pPr>
              <w:jc w:val="left"/>
            </w:pPr>
            <w:r>
              <w:rPr>
                <w:rFonts w:ascii="宋体" w:hAnsi="宋体" w:eastAsia="宋体"/>
                <w:color w:val="000000"/>
                <w:sz w:val="16"/>
              </w:rPr>
              <w:t>崩塌、滑坡、地面塌陷；崩塌、地面塌陷、滑坡</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3498</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李村镇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26.5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低易发区（二）</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w:t>
            </w:r>
          </w:p>
        </w:tc>
        <w:tc>
          <w:tcPr>
            <w:tcW w:w="692" w:type="dxa"/>
            <w:tcBorders>
              <w:tl2br w:val="nil"/>
              <w:tr2bl w:val="nil"/>
            </w:tcBorders>
            <w:shd w:val="clear" w:color="auto" w:fill="auto"/>
            <w:vAlign w:val="center"/>
          </w:tcPr>
          <w:p>
            <w:pPr>
              <w:jc w:val="left"/>
            </w:pPr>
            <w:r>
              <w:rPr>
                <w:rFonts w:ascii="宋体" w:hAnsi="宋体" w:eastAsia="宋体"/>
                <w:color w:val="000000"/>
                <w:sz w:val="16"/>
              </w:rPr>
              <w:t>灵宝-惠济崩塌、滑坡、地面塌陷地质灾害低易发亚区；汝州-长葛崩塌、地面塌陷、滑坡地质灾害低易发亚区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Ⅲ2；Ⅲ3</w:t>
            </w:r>
          </w:p>
        </w:tc>
        <w:tc>
          <w:tcPr>
            <w:tcW w:w="692" w:type="dxa"/>
            <w:tcBorders>
              <w:tl2br w:val="nil"/>
              <w:tr2bl w:val="nil"/>
            </w:tcBorders>
            <w:shd w:val="clear" w:color="auto" w:fill="auto"/>
            <w:vAlign w:val="center"/>
          </w:tcPr>
          <w:p>
            <w:pPr>
              <w:jc w:val="center"/>
            </w:pPr>
            <w:r>
              <w:rPr>
                <w:rFonts w:ascii="宋体" w:hAnsi="宋体" w:eastAsia="宋体"/>
                <w:color w:val="000000"/>
                <w:sz w:val="16"/>
              </w:rPr>
              <w:t>龙门街道直属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3.04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学府街道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太康东路街道直属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7.04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丰李镇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20.19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佃庄镇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39.08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寇店镇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28.68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庞村镇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32.87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开元街道直属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5.39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李村镇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51.4</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李楼镇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36.52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白马寺镇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32.62</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科技园街道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23.43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翠云路街道直属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3.67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关林街道直属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13.17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古城街道直属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8.63</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诸葛镇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29.46</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辛店街道</w:t>
            </w:r>
          </w:p>
        </w:tc>
        <w:tc>
          <w:tcPr>
            <w:tcW w:w="692" w:type="dxa"/>
            <w:tcBorders>
              <w:tl2br w:val="nil"/>
              <w:tr2bl w:val="nil"/>
            </w:tcBorders>
            <w:shd w:val="clear" w:color="auto" w:fill="auto"/>
            <w:vAlign w:val="center"/>
          </w:tcPr>
          <w:p>
            <w:pPr>
              <w:jc w:val="center"/>
            </w:pPr>
            <w:r>
              <w:rPr>
                <w:rFonts w:ascii="宋体" w:hAnsi="宋体" w:eastAsia="宋体"/>
                <w:color w:val="000000"/>
                <w:sz w:val="16"/>
              </w:rPr>
              <w:t>35.59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left"/>
            </w:pPr>
            <w:r>
              <w:rPr>
                <w:rFonts w:ascii="宋体" w:hAnsi="宋体" w:eastAsia="宋体"/>
                <w:color w:val="000000"/>
                <w:sz w:val="16"/>
              </w:rPr>
              <w:t>龙门石窟世界文化遗产园区管理委员会</w:t>
            </w:r>
          </w:p>
        </w:tc>
        <w:tc>
          <w:tcPr>
            <w:tcW w:w="692" w:type="dxa"/>
            <w:tcBorders>
              <w:tl2br w:val="nil"/>
              <w:tr2bl w:val="nil"/>
            </w:tcBorders>
            <w:shd w:val="clear" w:color="auto" w:fill="auto"/>
            <w:vAlign w:val="center"/>
          </w:tcPr>
          <w:p>
            <w:pPr>
              <w:jc w:val="center"/>
            </w:pPr>
            <w:r>
              <w:rPr>
                <w:rFonts w:ascii="宋体" w:hAnsi="宋体" w:eastAsia="宋体"/>
                <w:color w:val="000000"/>
                <w:sz w:val="16"/>
              </w:rPr>
              <w:t>11.59</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龙门街道直属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12.75</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定鼎门街道直属</w:t>
            </w:r>
          </w:p>
        </w:tc>
        <w:tc>
          <w:tcPr>
            <w:tcW w:w="692" w:type="dxa"/>
            <w:tcBorders>
              <w:tl2br w:val="nil"/>
              <w:tr2bl w:val="nil"/>
            </w:tcBorders>
            <w:shd w:val="clear" w:color="auto" w:fill="auto"/>
            <w:vAlign w:val="center"/>
          </w:tcPr>
          <w:p>
            <w:pPr>
              <w:jc w:val="center"/>
            </w:pPr>
            <w:r>
              <w:rPr>
                <w:rFonts w:ascii="宋体" w:hAnsi="宋体" w:eastAsia="宋体"/>
                <w:color w:val="000000"/>
                <w:sz w:val="16"/>
              </w:rPr>
              <w:t>6.78</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pPr>
            <w:r>
              <w:rPr>
                <w:rFonts w:ascii="宋体" w:hAnsi="宋体" w:eastAsia="宋体"/>
                <w:color w:val="000000"/>
                <w:sz w:val="16"/>
              </w:rPr>
              <w:t>非易发区（一）</w:t>
            </w: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安乐镇</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15.11</w:t>
            </w:r>
          </w:p>
        </w:tc>
        <w:tc>
          <w:tcPr>
            <w:tcW w:w="692" w:type="dxa"/>
            <w:tcBorders>
              <w:tl2br w:val="nil"/>
              <w:tr2bl w:val="nil"/>
            </w:tcBorders>
            <w:shd w:val="clear" w:color="auto" w:fill="auto"/>
            <w:vAlign w:val="center"/>
          </w:tcPr>
          <w:p>
            <w:pPr>
              <w:jc w:val="center"/>
            </w:pPr>
            <w:r>
              <w:rPr>
                <w:rFonts w:ascii="宋体" w:hAnsi="宋体" w:eastAsia="宋体"/>
                <w:color w:val="000000"/>
                <w:sz w:val="16"/>
              </w:rPr>
              <w:t>—</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洛龙区小计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589.95</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166</w:t>
            </w:r>
          </w:p>
        </w:tc>
        <w:tc>
          <w:tcPr>
            <w:tcW w:w="692" w:type="dxa"/>
            <w:tcBorders>
              <w:tl2br w:val="nil"/>
              <w:tr2bl w:val="nil"/>
            </w:tcBorders>
            <w:shd w:val="clear" w:color="auto" w:fill="auto"/>
            <w:vAlign w:val="center"/>
          </w:tcPr>
          <w:p>
            <w:pPr>
              <w:jc w:val="center"/>
            </w:pPr>
            <w:r>
              <w:rPr>
                <w:rFonts w:ascii="宋体" w:hAnsi="宋体" w:eastAsia="宋体"/>
                <w:color w:val="000000"/>
                <w:sz w:val="16"/>
              </w:rPr>
              <w:t>635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16880</w:t>
            </w:r>
          </w:p>
        </w:tc>
        <w:tc>
          <w:tcPr>
            <w:tcW w:w="692"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洛阳市总计</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15027.07</w:t>
            </w:r>
          </w:p>
        </w:tc>
        <w:tc>
          <w:tcPr>
            <w:tcW w:w="692" w:type="dxa"/>
            <w:tcBorders>
              <w:tl2br w:val="nil"/>
              <w:tr2bl w:val="nil"/>
            </w:tcBorders>
            <w:shd w:val="clear" w:color="auto" w:fill="auto"/>
            <w:vAlign w:val="center"/>
          </w:tcPr>
          <w:p>
            <w:pPr>
              <w:jc w:val="center"/>
              <w:rPr>
                <w:color w:val="08090C"/>
              </w:rPr>
            </w:pPr>
          </w:p>
        </w:tc>
        <w:tc>
          <w:tcPr>
            <w:tcW w:w="692" w:type="dxa"/>
            <w:tcBorders>
              <w:tl2br w:val="nil"/>
              <w:tr2bl w:val="nil"/>
            </w:tcBorders>
            <w:shd w:val="clear" w:color="auto" w:fill="auto"/>
            <w:vAlign w:val="center"/>
          </w:tcPr>
          <w:p>
            <w:pPr>
              <w:jc w:val="center"/>
            </w:pPr>
            <w:r>
              <w:rPr>
                <w:rFonts w:ascii="宋体" w:hAnsi="宋体" w:eastAsia="宋体"/>
                <w:color w:val="000000"/>
                <w:sz w:val="16"/>
              </w:rPr>
              <w:t>14717</w:t>
            </w:r>
          </w:p>
        </w:tc>
        <w:tc>
          <w:tcPr>
            <w:tcW w:w="692" w:type="dxa"/>
            <w:tcBorders>
              <w:tl2br w:val="nil"/>
              <w:tr2bl w:val="nil"/>
            </w:tcBorders>
            <w:shd w:val="clear" w:color="auto" w:fill="auto"/>
            <w:vAlign w:val="center"/>
          </w:tcPr>
          <w:p>
            <w:pPr>
              <w:jc w:val="center"/>
            </w:pPr>
            <w:r>
              <w:rPr>
                <w:rFonts w:ascii="宋体" w:hAnsi="宋体" w:eastAsia="宋体"/>
                <w:color w:val="000000"/>
                <w:sz w:val="16"/>
              </w:rPr>
              <w:t>49785</w:t>
            </w:r>
          </w:p>
        </w:tc>
        <w:tc>
          <w:tcPr>
            <w:tcW w:w="692" w:type="dxa"/>
            <w:tcBorders>
              <w:tl2br w:val="nil"/>
              <w:tr2bl w:val="nil"/>
            </w:tcBorders>
            <w:shd w:val="clear" w:color="auto" w:fill="auto"/>
            <w:vAlign w:val="center"/>
          </w:tcPr>
          <w:p>
            <w:pPr>
              <w:jc w:val="center"/>
            </w:pPr>
            <w:r>
              <w:rPr>
                <w:rFonts w:ascii="宋体" w:hAnsi="宋体" w:eastAsia="宋体"/>
                <w:color w:val="000000"/>
                <w:sz w:val="16"/>
              </w:rPr>
              <w:t>163111</w:t>
            </w:r>
          </w:p>
        </w:tc>
        <w:tc>
          <w:tcPr>
            <w:tcW w:w="692" w:type="dxa"/>
            <w:tcBorders>
              <w:tl2br w:val="nil"/>
              <w:tr2bl w:val="nil"/>
            </w:tcBorders>
            <w:shd w:val="clear" w:color="auto" w:fill="auto"/>
            <w:vAlign w:val="center"/>
          </w:tcPr>
          <w:p>
            <w:pPr>
              <w:jc w:val="center"/>
            </w:pPr>
            <w:r>
              <w:rPr>
                <w:rFonts w:ascii="宋体" w:hAnsi="宋体" w:eastAsia="宋体"/>
                <w:color w:val="000000"/>
                <w:sz w:val="16"/>
              </w:rPr>
              <w:t>15990.6</w:t>
            </w:r>
          </w:p>
        </w:tc>
      </w:tr>
    </w:tbl>
    <w:p>
      <w:pPr>
        <w:rPr>
          <w:rFonts w:ascii="宋体" w:hAnsi="宋体" w:eastAsia="宋体" w:cs="宋体"/>
          <w:b/>
          <w:sz w:val="20"/>
          <w:szCs w:val="20"/>
        </w:rPr>
      </w:pPr>
    </w:p>
    <w:p>
      <w:pPr>
        <w:rPr>
          <w:rFonts w:ascii="宋体" w:hAnsi="宋体" w:eastAsia="宋体" w:cs="宋体"/>
          <w:b/>
          <w:sz w:val="20"/>
          <w:szCs w:val="20"/>
        </w:rPr>
      </w:pPr>
      <w:r>
        <w:rPr>
          <w:rFonts w:hint="eastAsia" w:ascii="宋体" w:hAnsi="宋体" w:eastAsia="宋体" w:cs="宋体"/>
          <w:b/>
          <w:sz w:val="20"/>
          <w:szCs w:val="20"/>
        </w:rPr>
        <w:br w:type="page"/>
      </w:r>
    </w:p>
    <w:p>
      <w:pPr>
        <w:pStyle w:val="8"/>
        <w:widowControl/>
        <w:shd w:val="clear" w:color="auto"/>
        <w:spacing w:line="360" w:lineRule="auto"/>
        <w:jc w:val="both"/>
        <w:rPr>
          <w:rFonts w:ascii="宋体" w:hAnsi="宋体" w:eastAsia="宋体" w:cs="宋体"/>
          <w:b w:val="0"/>
          <w:bCs/>
          <w:sz w:val="20"/>
          <w:szCs w:val="20"/>
        </w:rPr>
      </w:pPr>
      <w:bookmarkStart w:id="240" w:name="_Toc240793055"/>
      <w:bookmarkStart w:id="241" w:name="_Toc6898"/>
      <w:r>
        <w:rPr>
          <w:rFonts w:hint="eastAsia" w:ascii="黑体" w:hAnsi="黑体" w:cs="黑体"/>
          <w:b w:val="0"/>
          <w:bCs/>
          <w:sz w:val="28"/>
          <w:szCs w:val="20"/>
        </w:rPr>
        <w:t>附表三</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洛阳市地质灾害风险等级分区说明表（区县）——（隐患点+风险斜坡双控）</w:t>
      </w:r>
      <w:bookmarkEnd w:id="240"/>
      <w:bookmarkEnd w:id="241"/>
    </w:p>
    <w:tbl>
      <w:tblPr>
        <w:tblStyle w:val="32"/>
        <w:tblW w:w="14419" w:type="dxa"/>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Layout w:type="fixed"/>
        <w:tblCellMar>
          <w:top w:w="0" w:type="dxa"/>
          <w:left w:w="108" w:type="dxa"/>
          <w:bottom w:w="0" w:type="dxa"/>
          <w:right w:w="108" w:type="dxa"/>
        </w:tblCellMar>
      </w:tblPr>
      <w:tblGrid>
        <w:gridCol w:w="1310"/>
        <w:gridCol w:w="1310"/>
        <w:gridCol w:w="1311"/>
        <w:gridCol w:w="1311"/>
        <w:gridCol w:w="1311"/>
        <w:gridCol w:w="1311"/>
        <w:gridCol w:w="1311"/>
        <w:gridCol w:w="1311"/>
        <w:gridCol w:w="1311"/>
        <w:gridCol w:w="1311"/>
        <w:gridCol w:w="1311"/>
      </w:tblGrid>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blHeader/>
          <w:jc w:val="center"/>
        </w:trPr>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风险等级</w:t>
            </w:r>
          </w:p>
        </w:tc>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代号</w:t>
            </w:r>
          </w:p>
        </w:tc>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行政区（区县）</w:t>
            </w:r>
          </w:p>
        </w:tc>
        <w:tc>
          <w:tcPr>
            <w:tcW w:w="755" w:type="dxa"/>
            <w:tcBorders>
              <w:tl2br w:val="nil"/>
              <w:tr2bl w:val="nil"/>
            </w:tcBorders>
            <w:shd w:val="clear" w:color="auto" w:fill="auto"/>
            <w:vAlign w:val="center"/>
          </w:tcPr>
          <w:p>
            <w:pPr>
              <w:shd w:val="clear"/>
              <w:jc w:val="center"/>
              <w:rPr>
                <w:rFonts w:hint="eastAsia" w:ascii="宋体" w:hAnsi="宋体" w:eastAsia="宋体"/>
                <w:b/>
                <w:color w:val="000000"/>
                <w:sz w:val="16"/>
              </w:rPr>
            </w:pPr>
            <w:r>
              <w:rPr>
                <w:rFonts w:hint="eastAsia" w:ascii="宋体" w:hAnsi="宋体" w:eastAsia="宋体"/>
                <w:b/>
                <w:color w:val="000000"/>
                <w:sz w:val="16"/>
              </w:rPr>
              <w:t>风险区面积</w:t>
            </w:r>
          </w:p>
          <w:p>
            <w:pPr>
              <w:shd w:val="clear"/>
              <w:jc w:val="center"/>
              <w:rPr>
                <w:b/>
              </w:rPr>
            </w:pPr>
            <w:r>
              <w:rPr>
                <w:rFonts w:hint="eastAsia" w:ascii="宋体" w:hAnsi="宋体" w:eastAsia="宋体"/>
                <w:b/>
                <w:color w:val="000000"/>
                <w:sz w:val="16"/>
              </w:rPr>
              <w:t>(km²)</w:t>
            </w:r>
          </w:p>
        </w:tc>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隐患点(处)</w:t>
            </w:r>
          </w:p>
        </w:tc>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受威胁人数(人)</w:t>
            </w:r>
          </w:p>
        </w:tc>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威胁财产(万元)</w:t>
            </w:r>
          </w:p>
        </w:tc>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风险斜坡(处)</w:t>
            </w:r>
          </w:p>
        </w:tc>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潜在威胁人数(人)</w:t>
            </w:r>
          </w:p>
        </w:tc>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风险斜坡威胁财产(万元)</w:t>
            </w:r>
          </w:p>
        </w:tc>
        <w:tc>
          <w:tcPr>
            <w:tcW w:w="755" w:type="dxa"/>
            <w:tcBorders>
              <w:tl2br w:val="nil"/>
              <w:tr2bl w:val="nil"/>
            </w:tcBorders>
            <w:shd w:val="clear" w:color="auto" w:fill="auto"/>
            <w:vAlign w:val="center"/>
          </w:tcPr>
          <w:p>
            <w:pPr>
              <w:shd w:val="clear"/>
              <w:jc w:val="center"/>
              <w:rPr>
                <w:b/>
              </w:rPr>
            </w:pPr>
            <w:r>
              <w:rPr>
                <w:rFonts w:hint="eastAsia" w:ascii="宋体" w:hAnsi="宋体" w:eastAsia="宋体"/>
                <w:b/>
                <w:color w:val="000000"/>
                <w:sz w:val="16"/>
              </w:rPr>
              <w:t>威胁对象</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嵩县</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342.71</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148</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480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嵩县</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2424.66</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63</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1356</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7420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嵩县</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147.24</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21</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545</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2435</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1752</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嵩县</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37.09</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752</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3098</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18</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3596</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shd w:val="clear"/>
              <w:jc w:val="center"/>
              <w:rPr>
                <w:color w:val="08090C"/>
              </w:rPr>
            </w:pP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嵩县</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2951.71</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98</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2801</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13433</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29</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5348</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0</w:t>
            </w:r>
          </w:p>
        </w:tc>
        <w:tc>
          <w:tcPr>
            <w:tcW w:w="755" w:type="dxa"/>
            <w:tcBorders>
              <w:tl2br w:val="nil"/>
              <w:tr2bl w:val="nil"/>
            </w:tcBorders>
            <w:shd w:val="clear" w:color="auto" w:fill="auto"/>
            <w:vAlign w:val="center"/>
          </w:tcPr>
          <w:p>
            <w:pPr>
              <w:shd w:val="clea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栾川县</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103.42</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栾川县</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2190.68</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51</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1464</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6724</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178</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24506</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栾川县</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126.26</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716</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4115</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28</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3593</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栾川县</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52.58</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306</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1991</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1460</w:t>
            </w:r>
          </w:p>
        </w:tc>
        <w:tc>
          <w:tcPr>
            <w:tcW w:w="755" w:type="dxa"/>
            <w:tcBorders>
              <w:tl2br w:val="nil"/>
              <w:tr2bl w:val="nil"/>
            </w:tcBorders>
            <w:shd w:val="clear" w:color="auto" w:fill="auto"/>
            <w:vAlign w:val="center"/>
          </w:tcPr>
          <w:p>
            <w:pPr>
              <w:shd w:val="clea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shd w:val="clea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shd w:val="clear"/>
              <w:jc w:val="center"/>
              <w:rPr>
                <w:color w:val="08090C"/>
              </w:rPr>
            </w:pP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栾川县</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2472.94</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77</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2486</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12830</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208</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29559</w:t>
            </w:r>
          </w:p>
        </w:tc>
        <w:tc>
          <w:tcPr>
            <w:tcW w:w="755" w:type="dxa"/>
            <w:tcBorders>
              <w:tl2br w:val="nil"/>
              <w:tr2bl w:val="nil"/>
            </w:tcBorders>
            <w:shd w:val="clear" w:color="auto" w:fill="auto"/>
            <w:vAlign w:val="center"/>
          </w:tcPr>
          <w:p>
            <w:pPr>
              <w:shd w:val="clear"/>
              <w:jc w:val="center"/>
            </w:pPr>
            <w:r>
              <w:rPr>
                <w:rFonts w:hint="eastAsia" w:ascii="宋体" w:hAnsi="宋体" w:eastAsia="宋体"/>
                <w:color w:val="000000"/>
                <w:sz w:val="16"/>
              </w:rPr>
              <w:t>0</w:t>
            </w:r>
          </w:p>
        </w:tc>
        <w:tc>
          <w:tcPr>
            <w:tcW w:w="755" w:type="dxa"/>
            <w:tcBorders>
              <w:tl2br w:val="nil"/>
              <w:tr2bl w:val="nil"/>
            </w:tcBorders>
            <w:shd w:val="clear" w:color="auto" w:fill="auto"/>
            <w:vAlign w:val="center"/>
          </w:tcPr>
          <w:p>
            <w:pPr>
              <w:shd w:val="clea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1202.1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63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785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2080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949.03</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637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37</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3009</w:t>
            </w:r>
          </w:p>
        </w:tc>
        <w:tc>
          <w:tcPr>
            <w:tcW w:w="755" w:type="dxa"/>
            <w:tcBorders>
              <w:tl2br w:val="nil"/>
              <w:tr2bl w:val="nil"/>
            </w:tcBorders>
            <w:shd w:val="clear" w:color="auto" w:fill="auto"/>
            <w:vAlign w:val="center"/>
          </w:tcPr>
          <w:p>
            <w:pPr>
              <w:jc w:val="center"/>
            </w:pPr>
            <w:r>
              <w:rPr>
                <w:rFonts w:ascii="宋体" w:hAnsi="宋体" w:eastAsia="宋体"/>
                <w:color w:val="000000"/>
                <w:sz w:val="16"/>
              </w:rPr>
              <w:t>6720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81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1010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2.98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2173.3</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781</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3065</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55</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4279</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9810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664.11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391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649.28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774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1971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52.61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477</w:t>
            </w:r>
          </w:p>
        </w:tc>
        <w:tc>
          <w:tcPr>
            <w:tcW w:w="755" w:type="dxa"/>
            <w:tcBorders>
              <w:tl2br w:val="nil"/>
              <w:tr2bl w:val="nil"/>
            </w:tcBorders>
            <w:shd w:val="clear" w:color="auto" w:fill="auto"/>
            <w:vAlign w:val="center"/>
          </w:tcPr>
          <w:p>
            <w:pPr>
              <w:jc w:val="center"/>
            </w:pPr>
            <w:r>
              <w:rPr>
                <w:rFonts w:ascii="宋体" w:hAnsi="宋体" w:eastAsia="宋体"/>
                <w:color w:val="000000"/>
                <w:sz w:val="16"/>
              </w:rPr>
              <w:t>935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1380.84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40</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1454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3297</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24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620</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100.75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493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961.3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640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1046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1633.6</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58.11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942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23393</w:t>
            </w:r>
          </w:p>
        </w:tc>
        <w:tc>
          <w:tcPr>
            <w:tcW w:w="755" w:type="dxa"/>
            <w:tcBorders>
              <w:tl2br w:val="nil"/>
              <w:tr2bl w:val="nil"/>
            </w:tcBorders>
            <w:shd w:val="clear" w:color="auto" w:fill="auto"/>
            <w:vAlign w:val="center"/>
          </w:tcPr>
          <w:p>
            <w:pPr>
              <w:jc w:val="center"/>
            </w:pPr>
            <w:r>
              <w:rPr>
                <w:rFonts w:ascii="宋体" w:hAnsi="宋体" w:eastAsia="宋体"/>
                <w:color w:val="000000"/>
                <w:sz w:val="16"/>
              </w:rPr>
              <w:t>4487</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1135.32</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24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2075</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4256</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32</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24474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6180.6</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314.78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568.37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337</w:t>
            </w:r>
          </w:p>
        </w:tc>
        <w:tc>
          <w:tcPr>
            <w:tcW w:w="755" w:type="dxa"/>
            <w:tcBorders>
              <w:tl2br w:val="nil"/>
              <w:tr2bl w:val="nil"/>
            </w:tcBorders>
            <w:shd w:val="clear" w:color="auto" w:fill="auto"/>
            <w:vAlign w:val="center"/>
          </w:tcPr>
          <w:p>
            <w:pPr>
              <w:jc w:val="center"/>
            </w:pPr>
            <w:r>
              <w:rPr>
                <w:rFonts w:ascii="宋体" w:hAnsi="宋体" w:eastAsia="宋体"/>
                <w:color w:val="000000"/>
                <w:sz w:val="16"/>
              </w:rPr>
              <w:t>966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609</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120.01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478</w:t>
            </w:r>
          </w:p>
        </w:tc>
        <w:tc>
          <w:tcPr>
            <w:tcW w:w="755" w:type="dxa"/>
            <w:tcBorders>
              <w:tl2br w:val="nil"/>
              <w:tr2bl w:val="nil"/>
            </w:tcBorders>
            <w:shd w:val="clear" w:color="auto" w:fill="auto"/>
            <w:vAlign w:val="center"/>
          </w:tcPr>
          <w:p>
            <w:pPr>
              <w:jc w:val="center"/>
            </w:pPr>
            <w:r>
              <w:rPr>
                <w:rFonts w:ascii="宋体" w:hAnsi="宋体" w:eastAsia="宋体"/>
                <w:color w:val="000000"/>
                <w:sz w:val="16"/>
              </w:rPr>
              <w:t>913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新安县</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1041.29</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24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1066</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2459</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694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289.44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409.99</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887</w:t>
            </w:r>
          </w:p>
        </w:tc>
        <w:tc>
          <w:tcPr>
            <w:tcW w:w="755" w:type="dxa"/>
            <w:tcBorders>
              <w:tl2br w:val="nil"/>
              <w:tr2bl w:val="nil"/>
            </w:tcBorders>
            <w:shd w:val="clear" w:color="auto" w:fill="auto"/>
            <w:vAlign w:val="center"/>
          </w:tcPr>
          <w:p>
            <w:pPr>
              <w:jc w:val="center"/>
            </w:pPr>
            <w:r>
              <w:rPr>
                <w:rFonts w:ascii="宋体" w:hAnsi="宋体" w:eastAsia="宋体"/>
                <w:color w:val="000000"/>
                <w:sz w:val="16"/>
              </w:rPr>
              <w:t>3178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84.61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621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31.64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81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815.69</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22</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1834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7113</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124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258.92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67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170.98</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72</w:t>
            </w:r>
          </w:p>
        </w:tc>
        <w:tc>
          <w:tcPr>
            <w:tcW w:w="755" w:type="dxa"/>
            <w:tcBorders>
              <w:tl2br w:val="nil"/>
              <w:tr2bl w:val="nil"/>
            </w:tcBorders>
            <w:shd w:val="clear" w:color="auto" w:fill="auto"/>
            <w:vAlign w:val="center"/>
          </w:tcPr>
          <w:p>
            <w:pPr>
              <w:jc w:val="center"/>
            </w:pPr>
            <w:r>
              <w:rPr>
                <w:rFonts w:ascii="宋体" w:hAnsi="宋体" w:eastAsia="宋体"/>
                <w:color w:val="000000"/>
                <w:sz w:val="16"/>
              </w:rPr>
              <w:t>630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32.72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2626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9.94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10309</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472.56</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11</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144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850</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38</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12935</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109.19</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161.87</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1401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1448</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22390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36.03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84</w:t>
            </w:r>
          </w:p>
        </w:tc>
        <w:tc>
          <w:tcPr>
            <w:tcW w:w="755" w:type="dxa"/>
            <w:tcBorders>
              <w:tl2br w:val="nil"/>
              <w:tr2bl w:val="nil"/>
            </w:tcBorders>
            <w:shd w:val="clear" w:color="auto" w:fill="auto"/>
            <w:vAlign w:val="center"/>
          </w:tcPr>
          <w:p>
            <w:pPr>
              <w:jc w:val="center"/>
            </w:pPr>
            <w:r>
              <w:rPr>
                <w:rFonts w:ascii="宋体" w:hAnsi="宋体" w:eastAsia="宋体"/>
                <w:color w:val="000000"/>
                <w:sz w:val="16"/>
              </w:rPr>
              <w:t>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36116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20.64</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147</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9813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偃师区</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327.73</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18</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1910</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1847</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68322</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Ⅰ</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63.12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Ⅱ</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95.56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Ⅲ</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9939</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Ⅳ</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9.18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164</w:t>
            </w:r>
          </w:p>
        </w:tc>
        <w:tc>
          <w:tcPr>
            <w:tcW w:w="755" w:type="dxa"/>
            <w:tcBorders>
              <w:tl2br w:val="nil"/>
              <w:tr2bl w:val="nil"/>
            </w:tcBorders>
            <w:shd w:val="clear" w:color="auto" w:fill="auto"/>
            <w:vAlign w:val="center"/>
          </w:tcPr>
          <w:p>
            <w:pPr>
              <w:jc w:val="center"/>
            </w:pPr>
            <w:r>
              <w:rPr>
                <w:rFonts w:ascii="宋体" w:hAnsi="宋体" w:eastAsia="宋体"/>
                <w:color w:val="000000"/>
                <w:sz w:val="16"/>
              </w:rPr>
              <w:t>6941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小计</w:t>
            </w: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洛龙区</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198.01</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166</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635</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377</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16880</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合计</w:t>
            </w: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全市合计</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12969.4</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333</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14717</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49785</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917</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163111</w:t>
            </w:r>
          </w:p>
        </w:tc>
        <w:tc>
          <w:tcPr>
            <w:tcW w:w="755" w:type="dxa"/>
            <w:tcBorders>
              <w:tl2br w:val="nil"/>
              <w:tr2bl w:val="nil"/>
            </w:tcBorders>
            <w:shd w:val="clear" w:color="auto" w:fill="auto"/>
            <w:vAlign w:val="center"/>
          </w:tcPr>
          <w:p>
            <w:pPr>
              <w:jc w:val="center"/>
            </w:pPr>
            <w:r>
              <w:rPr>
                <w:rFonts w:hint="eastAsia" w:ascii="宋体" w:hAnsi="宋体" w:eastAsia="宋体"/>
                <w:color w:val="000000"/>
                <w:sz w:val="16"/>
              </w:rPr>
              <w:t>15990.6</w:t>
            </w:r>
          </w:p>
        </w:tc>
        <w:tc>
          <w:tcPr>
            <w:tcW w:w="755" w:type="dxa"/>
            <w:tcBorders>
              <w:tl2br w:val="nil"/>
              <w:tr2bl w:val="nil"/>
            </w:tcBorders>
            <w:shd w:val="clear" w:color="auto" w:fill="auto"/>
            <w:vAlign w:val="center"/>
          </w:tcPr>
          <w:p>
            <w:pPr>
              <w:jc w:val="center"/>
              <w:rPr>
                <w:color w:val="08090C"/>
              </w:rPr>
            </w:pPr>
          </w:p>
        </w:tc>
      </w:tr>
    </w:tbl>
    <w:p>
      <w:pPr>
        <w:spacing w:before="20" w:after="20"/>
        <w:jc w:val="left"/>
      </w:pPr>
      <w:r>
        <w:rPr>
          <w:rFonts w:ascii="Times New Roman" w:hAnsi="Times New Roman" w:eastAsia="宋体" w:cs="Times New Roman"/>
          <w:color w:val="000000"/>
          <w:sz w:val="16"/>
        </w:rPr>
        <w:t>注：1.风险分区、风险等级划分及亚区边界采用省级下发洛阳市地质灾害风险区划成果，分级标准与省级成果保持一致（1级=低风险、2级=中风险、3级=高风险、4级=极高风险）；</w:t>
      </w:r>
    </w:p>
    <w:p>
      <w:pPr>
        <w:spacing w:before="20" w:after="20"/>
        <w:jc w:val="left"/>
      </w:pPr>
      <w:r>
        <w:rPr>
          <w:rFonts w:ascii="Times New Roman" w:hAnsi="Times New Roman" w:eastAsia="宋体" w:cs="Times New Roman"/>
          <w:color w:val="000000"/>
          <w:sz w:val="16"/>
        </w:rPr>
        <w:t>2.风险区面积为各乡镇与风险分区面相交后按区县、风险等级汇总的面积，全市风险区面积合计12969.40km²；</w:t>
      </w:r>
    </w:p>
    <w:p>
      <w:pPr>
        <w:spacing w:before="20" w:after="20"/>
        <w:jc w:val="left"/>
      </w:pPr>
      <w:r>
        <w:rPr>
          <w:rFonts w:ascii="Times New Roman" w:hAnsi="Times New Roman" w:eastAsia="宋体" w:cs="Times New Roman"/>
          <w:color w:val="000000"/>
          <w:sz w:val="16"/>
        </w:rPr>
        <w:t>3.少量点位因市级风险区划图斑边界概化，空间分析判定落在边界，结合GIS图面目视复核人工赋值；</w:t>
      </w:r>
    </w:p>
    <w:p>
      <w:pPr>
        <w:spacing w:before="20" w:after="20"/>
        <w:jc w:val="left"/>
      </w:pPr>
      <w:r>
        <w:rPr>
          <w:rFonts w:ascii="Times New Roman" w:hAnsi="Times New Roman" w:eastAsia="宋体" w:cs="Times New Roman"/>
          <w:color w:val="000000"/>
          <w:sz w:val="16"/>
        </w:rPr>
        <w:t>4.隐患点数据来源于333处地质灾害隐患点调查成果；风险斜坡共917处，由省厅两轮成果衔接形成、普查与精细化成果不重复计数：上一版805处＝720处普查＋85处精细化（洛宁55处、汝阳30处），“十五五”反馈更新普查清单609处（未含栾川、新安），本次以609处为基础，按上一版720处普查清单补入栾川县208处、新安县15处，并保留85处精细化调查成果，即917处＝609处普查＋栾川县208处＋新安县15处＋85处精细化；</w:t>
      </w:r>
    </w:p>
    <w:p>
      <w:pPr>
        <w:spacing w:before="20" w:after="20"/>
        <w:jc w:val="left"/>
      </w:pPr>
      <w:r>
        <w:rPr>
          <w:rFonts w:ascii="Times New Roman" w:hAnsi="Times New Roman" w:eastAsia="宋体" w:cs="Times New Roman"/>
          <w:color w:val="000000"/>
          <w:sz w:val="16"/>
        </w:rPr>
        <w:t>5.潜在威胁人数统一按风险斜坡表“户籍人（户籍人口）”字段统计；风险斜坡威胁财产仅85处精细化调查斜坡有统计（合计15990.6万元，洛宁9810万元、汝阳6180.6万元），普查类斜坡未调查威胁财产；</w:t>
      </w:r>
    </w:p>
    <w:p>
      <w:pPr>
        <w:spacing w:before="20" w:after="20"/>
        <w:jc w:val="left"/>
      </w:pPr>
      <w:r>
        <w:rPr>
          <w:rFonts w:ascii="Times New Roman" w:hAnsi="Times New Roman" w:eastAsia="宋体" w:cs="Times New Roman"/>
          <w:color w:val="000000"/>
          <w:sz w:val="16"/>
        </w:rPr>
        <w:t>6.按全市行政区划口径，涧西区、伊滨区已并入洛龙区统计（洛龙区风险区面积198.0143km²已含三区所辖全部乡镇）；新安县隐患点风险等级维持省级风险区划图斑判定结果，风险斜坡按省厅普查清单逐条等级计入；</w:t>
      </w:r>
    </w:p>
    <w:p>
      <w:pPr>
        <w:spacing w:before="20" w:after="20"/>
        <w:jc w:val="left"/>
      </w:pPr>
      <w:r>
        <w:rPr>
          <w:rFonts w:ascii="Times New Roman" w:hAnsi="Times New Roman" w:eastAsia="宋体" w:cs="Times New Roman"/>
          <w:color w:val="000000"/>
          <w:sz w:val="16"/>
        </w:rPr>
        <w:t>7.偃师区1处斜坡（新寨、前杜楼、潘屯）经核3村均属商城街道，归入商城街道；孟津区1处斜坡（孙沟、十里头交界）经确认归入送庄镇。</w:t>
      </w:r>
    </w:p>
    <w:p>
      <w:pPr>
        <w:spacing w:before="20" w:after="20"/>
        <w:jc w:val="left"/>
      </w:pPr>
      <w:r>
        <w:rPr>
          <w:rFonts w:ascii="Times New Roman" w:hAnsi="Times New Roman" w:eastAsia="宋体" w:cs="Times New Roman"/>
          <w:color w:val="000000"/>
          <w:sz w:val="16"/>
        </w:rPr>
        <w:t>8.本表风险等级为隐患点、风险斜坡落在省级风险区划图斑上的落界结果；新安县1∶5万地质灾害风险调查评价将其境内隐患点定性为高、中风险（无极高风险点），与本表按图斑落界的统计口径不同，新安县极高风险图斑内隐患点的最终等级以省级风险区划成果和县局调查校核为准。</w:t>
      </w:r>
    </w:p>
    <w:p>
      <w:pPr>
        <w:rPr>
          <w:rFonts w:ascii="宋体" w:hAnsi="宋体" w:eastAsia="宋体" w:cs="宋体"/>
        </w:rPr>
      </w:pPr>
    </w:p>
    <w:p>
      <w:pPr>
        <w:pStyle w:val="3"/>
        <w:ind w:firstLine="480"/>
        <w:rPr>
          <w:rFonts w:ascii="宋体" w:hAnsi="宋体" w:cs="宋体"/>
          <w:color w:val="0F1115"/>
        </w:rPr>
      </w:pPr>
    </w:p>
    <w:p>
      <w:pPr>
        <w:pStyle w:val="3"/>
        <w:ind w:firstLine="0" w:firstLineChars="0"/>
        <w:rPr>
          <w:rFonts w:ascii="宋体" w:hAnsi="宋体" w:cs="宋体"/>
        </w:rPr>
      </w:pPr>
      <w:r>
        <w:rPr>
          <w:rFonts w:hint="eastAsia" w:ascii="宋体" w:hAnsi="宋体" w:cs="宋体"/>
        </w:rPr>
        <w:br w:type="page"/>
      </w:r>
    </w:p>
    <w:p>
      <w:pPr>
        <w:pStyle w:val="8"/>
        <w:widowControl/>
        <w:shd w:val="clear" w:color="auto"/>
        <w:spacing w:line="360" w:lineRule="auto"/>
        <w:jc w:val="both"/>
        <w:rPr>
          <w:rFonts w:ascii="宋体" w:hAnsi="宋体" w:eastAsia="宋体" w:cs="宋体"/>
          <w:b w:val="0"/>
          <w:bCs/>
          <w:sz w:val="20"/>
          <w:szCs w:val="20"/>
        </w:rPr>
      </w:pPr>
      <w:bookmarkStart w:id="242" w:name="_Toc10763"/>
      <w:bookmarkStart w:id="243" w:name="_Toc4431"/>
      <w:bookmarkStart w:id="244" w:name="_Toc17685"/>
      <w:bookmarkStart w:id="245" w:name="_Toc6223"/>
      <w:bookmarkStart w:id="246" w:name="_Toc240793056"/>
      <w:r>
        <w:rPr>
          <w:rFonts w:hint="eastAsia" w:ascii="黑体" w:hAnsi="黑体" w:cs="黑体"/>
          <w:b w:val="0"/>
          <w:bCs/>
          <w:sz w:val="28"/>
          <w:szCs w:val="20"/>
        </w:rPr>
        <w:t>附表四</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洛阳市地质灾害风险等级分区说明表（乡镇）</w:t>
      </w:r>
      <w:bookmarkEnd w:id="242"/>
      <w:bookmarkEnd w:id="243"/>
      <w:bookmarkEnd w:id="244"/>
      <w:r>
        <w:rPr>
          <w:rFonts w:hint="eastAsia" w:ascii="黑体" w:hAnsi="黑体" w:cs="黑体"/>
          <w:b w:val="0"/>
          <w:bCs/>
          <w:sz w:val="28"/>
          <w:szCs w:val="20"/>
        </w:rPr>
        <w:t>——（隐患点+风险斜坡双控）</w:t>
      </w:r>
      <w:bookmarkEnd w:id="245"/>
      <w:bookmarkEnd w:id="246"/>
    </w:p>
    <w:tbl>
      <w:tblPr>
        <w:tblStyle w:val="32"/>
        <w:tblW w:w="14174" w:type="dxa"/>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Layout w:type="fixed"/>
        <w:tblCellMar>
          <w:top w:w="0" w:type="dxa"/>
          <w:left w:w="108" w:type="dxa"/>
          <w:bottom w:w="0" w:type="dxa"/>
          <w:right w:w="108" w:type="dxa"/>
        </w:tblCellMar>
      </w:tblPr>
      <w:tblGrid>
        <w:gridCol w:w="1288"/>
        <w:gridCol w:w="1288"/>
        <w:gridCol w:w="1288"/>
        <w:gridCol w:w="1288"/>
        <w:gridCol w:w="1288"/>
        <w:gridCol w:w="1289"/>
        <w:gridCol w:w="1289"/>
        <w:gridCol w:w="1289"/>
        <w:gridCol w:w="1289"/>
        <w:gridCol w:w="1289"/>
        <w:gridCol w:w="1289"/>
      </w:tblGrid>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blHeader/>
          <w:jc w:val="center"/>
        </w:trPr>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风险等级</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序号</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区县</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乡镇</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隐患点(处)</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受威胁人数(人)</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威胁财产(万元)</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风险斜坡(处)</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潜在威胁人数(人)</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风险斜坡威胁财产(万元)</w:t>
            </w:r>
          </w:p>
        </w:tc>
        <w:tc>
          <w:tcPr>
            <w:tcW w:w="755" w:type="dxa"/>
            <w:tcBorders>
              <w:tl2br w:val="nil"/>
              <w:tr2bl w:val="nil"/>
            </w:tcBorders>
            <w:shd w:val="clear" w:color="auto" w:fill="auto"/>
            <w:vAlign w:val="center"/>
          </w:tcPr>
          <w:p>
            <w:pPr>
              <w:jc w:val="center"/>
              <w:rPr>
                <w:b/>
              </w:rPr>
            </w:pPr>
            <w:r>
              <w:rPr>
                <w:rFonts w:hint="eastAsia" w:ascii="宋体" w:hAnsi="宋体" w:eastAsia="宋体"/>
                <w:b/>
                <w:color w:val="000000"/>
                <w:sz w:val="16"/>
              </w:rPr>
              <w:t>威胁对象</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城关镇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196</w:t>
            </w:r>
          </w:p>
        </w:tc>
        <w:tc>
          <w:tcPr>
            <w:tcW w:w="755" w:type="dxa"/>
            <w:tcBorders>
              <w:tl2br w:val="nil"/>
              <w:tr2bl w:val="nil"/>
            </w:tcBorders>
            <w:shd w:val="clear" w:color="auto" w:fill="auto"/>
            <w:vAlign w:val="center"/>
          </w:tcPr>
          <w:p>
            <w:pPr>
              <w:jc w:val="center"/>
            </w:pPr>
            <w:r>
              <w:rPr>
                <w:rFonts w:ascii="宋体" w:hAnsi="宋体" w:eastAsia="宋体"/>
                <w:color w:val="000000"/>
                <w:sz w:val="16"/>
              </w:rPr>
              <w:t>695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城关镇小计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448</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陆浑镇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陆浑镇小计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旧县镇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旧县镇小计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田湖镇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田湖镇小计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234</w:t>
            </w:r>
          </w:p>
        </w:tc>
        <w:tc>
          <w:tcPr>
            <w:tcW w:w="755" w:type="dxa"/>
            <w:tcBorders>
              <w:tl2br w:val="nil"/>
              <w:tr2bl w:val="nil"/>
            </w:tcBorders>
            <w:shd w:val="clear" w:color="auto" w:fill="auto"/>
            <w:vAlign w:val="center"/>
          </w:tcPr>
          <w:p>
            <w:pPr>
              <w:jc w:val="center"/>
            </w:pPr>
            <w:r>
              <w:rPr>
                <w:rFonts w:ascii="宋体" w:hAnsi="宋体" w:eastAsia="宋体"/>
                <w:color w:val="000000"/>
                <w:sz w:val="16"/>
              </w:rPr>
              <w:t>530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九皋镇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129</w:t>
            </w:r>
          </w:p>
        </w:tc>
        <w:tc>
          <w:tcPr>
            <w:tcW w:w="755" w:type="dxa"/>
            <w:tcBorders>
              <w:tl2br w:val="nil"/>
              <w:tr2bl w:val="nil"/>
            </w:tcBorders>
            <w:shd w:val="clear" w:color="auto" w:fill="auto"/>
            <w:vAlign w:val="center"/>
          </w:tcPr>
          <w:p>
            <w:pPr>
              <w:jc w:val="center"/>
            </w:pPr>
            <w:r>
              <w:rPr>
                <w:rFonts w:ascii="宋体" w:hAnsi="宋体" w:eastAsia="宋体"/>
                <w:color w:val="000000"/>
                <w:sz w:val="16"/>
              </w:rPr>
              <w:t>535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九皋镇小计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226</w:t>
            </w:r>
          </w:p>
        </w:tc>
        <w:tc>
          <w:tcPr>
            <w:tcW w:w="755" w:type="dxa"/>
            <w:tcBorders>
              <w:tl2br w:val="nil"/>
              <w:tr2bl w:val="nil"/>
            </w:tcBorders>
            <w:shd w:val="clear" w:color="auto" w:fill="auto"/>
            <w:vAlign w:val="center"/>
          </w:tcPr>
          <w:p>
            <w:pPr>
              <w:jc w:val="center"/>
            </w:pPr>
            <w:r>
              <w:rPr>
                <w:rFonts w:ascii="宋体" w:hAnsi="宋体" w:eastAsia="宋体"/>
                <w:color w:val="000000"/>
                <w:sz w:val="16"/>
              </w:rPr>
              <w:t>975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何村乡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76</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930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176</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何村乡小计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252</w:t>
            </w:r>
          </w:p>
        </w:tc>
        <w:tc>
          <w:tcPr>
            <w:tcW w:w="755" w:type="dxa"/>
            <w:tcBorders>
              <w:tl2br w:val="nil"/>
              <w:tr2bl w:val="nil"/>
            </w:tcBorders>
            <w:shd w:val="clear" w:color="auto" w:fill="auto"/>
            <w:vAlign w:val="center"/>
          </w:tcPr>
          <w:p>
            <w:pPr>
              <w:jc w:val="center"/>
            </w:pPr>
            <w:r>
              <w:rPr>
                <w:rFonts w:ascii="宋体" w:hAnsi="宋体" w:eastAsia="宋体"/>
                <w:color w:val="000000"/>
                <w:sz w:val="16"/>
              </w:rPr>
              <w:t>695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1975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纸房镇</w:t>
            </w: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73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纸房镇小计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73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大坪乡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大坪乡小计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饭坡镇</w:t>
            </w:r>
          </w:p>
          <w:p>
            <w:pPr>
              <w:jc w:val="center"/>
            </w:pP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57</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526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293</w:t>
            </w:r>
          </w:p>
        </w:tc>
        <w:tc>
          <w:tcPr>
            <w:tcW w:w="755" w:type="dxa"/>
            <w:tcBorders>
              <w:tl2br w:val="nil"/>
              <w:tr2bl w:val="nil"/>
            </w:tcBorders>
            <w:shd w:val="clear" w:color="auto" w:fill="auto"/>
            <w:vAlign w:val="center"/>
          </w:tcPr>
          <w:p>
            <w:pPr>
              <w:jc w:val="center"/>
            </w:pPr>
            <w:r>
              <w:rPr>
                <w:rFonts w:ascii="宋体" w:hAnsi="宋体" w:eastAsia="宋体"/>
                <w:color w:val="000000"/>
                <w:sz w:val="16"/>
              </w:rPr>
              <w:t>738</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饭坡镇小计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1288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982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闫庄镇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闫庄镇小计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11</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德亭镇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德亭镇小计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82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木植街乡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75</w:t>
            </w:r>
          </w:p>
        </w:tc>
        <w:tc>
          <w:tcPr>
            <w:tcW w:w="755" w:type="dxa"/>
            <w:tcBorders>
              <w:tl2br w:val="nil"/>
              <w:tr2bl w:val="nil"/>
            </w:tcBorders>
            <w:shd w:val="clear" w:color="auto" w:fill="auto"/>
            <w:vAlign w:val="center"/>
          </w:tcPr>
          <w:p>
            <w:pPr>
              <w:jc w:val="center"/>
            </w:pPr>
            <w:r>
              <w:rPr>
                <w:rFonts w:ascii="宋体" w:hAnsi="宋体" w:eastAsia="宋体"/>
                <w:color w:val="000000"/>
                <w:sz w:val="16"/>
              </w:rPr>
              <w:t>770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92</w:t>
            </w:r>
          </w:p>
        </w:tc>
        <w:tc>
          <w:tcPr>
            <w:tcW w:w="755" w:type="dxa"/>
            <w:tcBorders>
              <w:tl2br w:val="nil"/>
              <w:tr2bl w:val="nil"/>
            </w:tcBorders>
            <w:shd w:val="clear" w:color="auto" w:fill="auto"/>
            <w:vAlign w:val="center"/>
          </w:tcPr>
          <w:p>
            <w:pPr>
              <w:jc w:val="center"/>
            </w:pPr>
            <w:r>
              <w:rPr>
                <w:rFonts w:ascii="宋体" w:hAnsi="宋体" w:eastAsia="宋体"/>
                <w:color w:val="000000"/>
                <w:sz w:val="16"/>
              </w:rPr>
              <w:t>620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木植街乡小计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13</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黄庄乡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92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77</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黄庄乡小计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14</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大章镇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79</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大章镇小计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530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车村镇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车村镇小计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16</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白河镇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白河镇小计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1805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98</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2801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13433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29</w:t>
            </w:r>
          </w:p>
        </w:tc>
        <w:tc>
          <w:tcPr>
            <w:tcW w:w="755" w:type="dxa"/>
            <w:tcBorders>
              <w:tl2br w:val="nil"/>
              <w:tr2bl w:val="nil"/>
            </w:tcBorders>
            <w:shd w:val="clear" w:color="auto" w:fill="auto"/>
            <w:vAlign w:val="center"/>
          </w:tcPr>
          <w:p>
            <w:pPr>
              <w:jc w:val="center"/>
            </w:pPr>
            <w:r>
              <w:rPr>
                <w:rFonts w:ascii="宋体" w:hAnsi="宋体" w:eastAsia="宋体"/>
                <w:color w:val="000000"/>
                <w:sz w:val="16"/>
              </w:rPr>
              <w:t>5348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17</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79</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4336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栾川乡小计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79</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4357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18</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石庙镇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993</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石庙镇小计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670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4884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19</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城关镇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1182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68</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城关镇小计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赤土店镇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138</w:t>
            </w:r>
          </w:p>
        </w:tc>
        <w:tc>
          <w:tcPr>
            <w:tcW w:w="755" w:type="dxa"/>
            <w:tcBorders>
              <w:tl2br w:val="nil"/>
              <w:tr2bl w:val="nil"/>
            </w:tcBorders>
            <w:shd w:val="clear" w:color="auto" w:fill="auto"/>
            <w:vAlign w:val="center"/>
          </w:tcPr>
          <w:p>
            <w:pPr>
              <w:jc w:val="center"/>
            </w:pPr>
            <w:r>
              <w:rPr>
                <w:rFonts w:ascii="宋体" w:hAnsi="宋体" w:eastAsia="宋体"/>
                <w:color w:val="000000"/>
                <w:sz w:val="16"/>
              </w:rPr>
              <w:t>560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407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159</w:t>
            </w:r>
          </w:p>
        </w:tc>
        <w:tc>
          <w:tcPr>
            <w:tcW w:w="755" w:type="dxa"/>
            <w:tcBorders>
              <w:tl2br w:val="nil"/>
              <w:tr2bl w:val="nil"/>
            </w:tcBorders>
            <w:shd w:val="clear" w:color="auto" w:fill="auto"/>
            <w:vAlign w:val="center"/>
          </w:tcPr>
          <w:p>
            <w:pPr>
              <w:jc w:val="center"/>
            </w:pPr>
            <w:r>
              <w:rPr>
                <w:rFonts w:ascii="宋体" w:hAnsi="宋体" w:eastAsia="宋体"/>
                <w:color w:val="000000"/>
                <w:sz w:val="16"/>
              </w:rPr>
              <w:t>930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赤土店镇小计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21</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潭头镇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203</w:t>
            </w:r>
          </w:p>
        </w:tc>
        <w:tc>
          <w:tcPr>
            <w:tcW w:w="755" w:type="dxa"/>
            <w:tcBorders>
              <w:tl2br w:val="nil"/>
              <w:tr2bl w:val="nil"/>
            </w:tcBorders>
            <w:shd w:val="clear" w:color="auto" w:fill="auto"/>
            <w:vAlign w:val="center"/>
          </w:tcPr>
          <w:p>
            <w:pPr>
              <w:jc w:val="center"/>
            </w:pPr>
            <w:r>
              <w:rPr>
                <w:rFonts w:ascii="宋体" w:hAnsi="宋体" w:eastAsia="宋体"/>
                <w:color w:val="000000"/>
                <w:sz w:val="16"/>
              </w:rPr>
              <w:t>645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1966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潭头镇小计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205</w:t>
            </w:r>
          </w:p>
        </w:tc>
        <w:tc>
          <w:tcPr>
            <w:tcW w:w="755" w:type="dxa"/>
            <w:tcBorders>
              <w:tl2br w:val="nil"/>
              <w:tr2bl w:val="nil"/>
            </w:tcBorders>
            <w:shd w:val="clear" w:color="auto" w:fill="auto"/>
            <w:vAlign w:val="center"/>
          </w:tcPr>
          <w:p>
            <w:pPr>
              <w:jc w:val="center"/>
            </w:pPr>
            <w:r>
              <w:rPr>
                <w:rFonts w:ascii="宋体" w:hAnsi="宋体" w:eastAsia="宋体"/>
                <w:color w:val="000000"/>
                <w:sz w:val="16"/>
              </w:rPr>
              <w:t>725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22</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陶湾镇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1703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53</w:t>
            </w:r>
          </w:p>
        </w:tc>
        <w:tc>
          <w:tcPr>
            <w:tcW w:w="755" w:type="dxa"/>
            <w:tcBorders>
              <w:tl2br w:val="nil"/>
              <w:tr2bl w:val="nil"/>
            </w:tcBorders>
            <w:shd w:val="clear" w:color="auto" w:fill="auto"/>
            <w:vAlign w:val="center"/>
          </w:tcPr>
          <w:p>
            <w:pPr>
              <w:jc w:val="center"/>
            </w:pPr>
            <w:r>
              <w:rPr>
                <w:rFonts w:ascii="宋体" w:hAnsi="宋体" w:eastAsia="宋体"/>
                <w:color w:val="000000"/>
                <w:sz w:val="16"/>
              </w:rPr>
              <w:t>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陶湾镇小计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348</w:t>
            </w:r>
          </w:p>
        </w:tc>
        <w:tc>
          <w:tcPr>
            <w:tcW w:w="755" w:type="dxa"/>
            <w:tcBorders>
              <w:tl2br w:val="nil"/>
              <w:tr2bl w:val="nil"/>
            </w:tcBorders>
            <w:shd w:val="clear" w:color="auto" w:fill="auto"/>
            <w:vAlign w:val="center"/>
          </w:tcPr>
          <w:p>
            <w:pPr>
              <w:jc w:val="center"/>
            </w:pPr>
            <w:r>
              <w:rPr>
                <w:rFonts w:ascii="宋体" w:hAnsi="宋体" w:eastAsia="宋体"/>
                <w:color w:val="000000"/>
                <w:sz w:val="16"/>
              </w:rPr>
              <w:t>663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3094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w:t>
            </w:r>
          </w:p>
        </w:tc>
        <w:tc>
          <w:tcPr>
            <w:tcW w:w="755"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叫河镇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叫河镇小计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24</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合峪镇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828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合峪镇小计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874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25</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庙子镇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75</w:t>
            </w:r>
          </w:p>
        </w:tc>
        <w:tc>
          <w:tcPr>
            <w:tcW w:w="755" w:type="dxa"/>
            <w:tcBorders>
              <w:tl2br w:val="nil"/>
              <w:tr2bl w:val="nil"/>
            </w:tcBorders>
            <w:shd w:val="clear" w:color="auto" w:fill="auto"/>
            <w:vAlign w:val="center"/>
          </w:tcPr>
          <w:p>
            <w:pPr>
              <w:jc w:val="center"/>
            </w:pPr>
            <w:r>
              <w:rPr>
                <w:rFonts w:ascii="宋体" w:hAnsi="宋体" w:eastAsia="宋体"/>
                <w:color w:val="000000"/>
                <w:sz w:val="16"/>
              </w:rPr>
              <w:t>93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1094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庙子镇小计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2404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26</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冷水镇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冷水镇小计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27</w:t>
            </w:r>
          </w:p>
        </w:tc>
        <w:tc>
          <w:tcPr>
            <w:tcW w:w="755"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三川镇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74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三川镇小计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74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28</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白土镇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644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白土镇小计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137</w:t>
            </w:r>
          </w:p>
        </w:tc>
        <w:tc>
          <w:tcPr>
            <w:tcW w:w="755" w:type="dxa"/>
            <w:tcBorders>
              <w:tl2br w:val="nil"/>
              <w:tr2bl w:val="nil"/>
            </w:tcBorders>
            <w:shd w:val="clear" w:color="auto" w:fill="auto"/>
            <w:vAlign w:val="center"/>
          </w:tcPr>
          <w:p>
            <w:pPr>
              <w:jc w:val="center"/>
            </w:pPr>
            <w:r>
              <w:rPr>
                <w:rFonts w:ascii="宋体" w:hAnsi="宋体" w:eastAsia="宋体"/>
                <w:color w:val="000000"/>
                <w:sz w:val="16"/>
              </w:rPr>
              <w:t>524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901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29</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重渡沟管委会</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w:t>
            </w:r>
          </w:p>
        </w:tc>
        <w:tc>
          <w:tcPr>
            <w:tcW w:w="755" w:type="dxa"/>
            <w:tcBorders>
              <w:tl2br w:val="nil"/>
              <w:tr2bl w:val="nil"/>
            </w:tcBorders>
            <w:shd w:val="clear" w:color="auto" w:fill="auto"/>
            <w:vAlign w:val="center"/>
          </w:tcPr>
          <w:p>
            <w:pPr>
              <w:jc w:val="center"/>
            </w:pPr>
            <w:r>
              <w:rPr>
                <w:rFonts w:ascii="宋体" w:hAnsi="宋体" w:eastAsia="宋体"/>
                <w:color w:val="000000"/>
                <w:sz w:val="16"/>
              </w:rPr>
              <w:t>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39</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left"/>
            </w:pPr>
            <w:r>
              <w:rPr>
                <w:rFonts w:ascii="宋体" w:hAnsi="宋体" w:eastAsia="宋体"/>
                <w:color w:val="000000"/>
                <w:sz w:val="16"/>
              </w:rPr>
              <w:t>重渡沟管委会小计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狮子庙镇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w:t>
            </w:r>
          </w:p>
        </w:tc>
        <w:tc>
          <w:tcPr>
            <w:tcW w:w="755" w:type="dxa"/>
            <w:tcBorders>
              <w:tl2br w:val="nil"/>
              <w:tr2bl w:val="nil"/>
            </w:tcBorders>
            <w:shd w:val="clear" w:color="auto" w:fill="auto"/>
            <w:vAlign w:val="center"/>
          </w:tcPr>
          <w:p>
            <w:pPr>
              <w:jc w:val="center"/>
            </w:pPr>
            <w:r>
              <w:rPr>
                <w:rFonts w:ascii="宋体" w:hAnsi="宋体" w:eastAsia="宋体"/>
                <w:color w:val="000000"/>
                <w:sz w:val="16"/>
              </w:rPr>
              <w:t>592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3278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狮子庙镇小计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w:t>
            </w:r>
          </w:p>
        </w:tc>
        <w:tc>
          <w:tcPr>
            <w:tcW w:w="755" w:type="dxa"/>
            <w:tcBorders>
              <w:tl2br w:val="nil"/>
              <w:tr2bl w:val="nil"/>
            </w:tcBorders>
            <w:shd w:val="clear" w:color="auto" w:fill="auto"/>
            <w:vAlign w:val="center"/>
          </w:tcPr>
          <w:p>
            <w:pPr>
              <w:jc w:val="center"/>
            </w:pPr>
            <w:r>
              <w:rPr>
                <w:rFonts w:ascii="宋体" w:hAnsi="宋体" w:eastAsia="宋体"/>
                <w:color w:val="000000"/>
                <w:sz w:val="16"/>
              </w:rPr>
              <w:t>592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3628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31</w:t>
            </w:r>
          </w:p>
        </w:tc>
        <w:tc>
          <w:tcPr>
            <w:tcW w:w="755"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秋扒乡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秋扒乡小计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77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2486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12830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208</w:t>
            </w:r>
          </w:p>
        </w:tc>
        <w:tc>
          <w:tcPr>
            <w:tcW w:w="755" w:type="dxa"/>
            <w:tcBorders>
              <w:tl2br w:val="nil"/>
              <w:tr2bl w:val="nil"/>
            </w:tcBorders>
            <w:shd w:val="clear" w:color="auto" w:fill="auto"/>
            <w:vAlign w:val="center"/>
          </w:tcPr>
          <w:p>
            <w:pPr>
              <w:jc w:val="center"/>
            </w:pPr>
            <w:r>
              <w:rPr>
                <w:rFonts w:ascii="宋体" w:hAnsi="宋体" w:eastAsia="宋体"/>
                <w:color w:val="000000"/>
                <w:sz w:val="16"/>
              </w:rPr>
              <w:t>29559</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永宁街道</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永宁街道小计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马店镇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马店镇小计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34</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故县镇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930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1454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3860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故县镇小计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69</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1799</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4790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35</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下峪镇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440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1150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2860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1010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下峪镇小计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5020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36</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兴华镇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兴华镇小计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37</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底张乡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底张乡小计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景阳镇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景阳镇小计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39</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赵村镇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875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赵村镇小计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875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陈吴乡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陈吴乡小计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41</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涧口乡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涧口乡小计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42</w:t>
            </w: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河底镇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河底镇小计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781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4279</w:t>
            </w:r>
          </w:p>
        </w:tc>
        <w:tc>
          <w:tcPr>
            <w:tcW w:w="755" w:type="dxa"/>
            <w:tcBorders>
              <w:tl2br w:val="nil"/>
              <w:tr2bl w:val="nil"/>
            </w:tcBorders>
            <w:shd w:val="clear" w:color="auto" w:fill="auto"/>
            <w:vAlign w:val="center"/>
          </w:tcPr>
          <w:p>
            <w:pPr>
              <w:jc w:val="center"/>
            </w:pPr>
            <w:r>
              <w:rPr>
                <w:rFonts w:ascii="宋体" w:hAnsi="宋体" w:eastAsia="宋体"/>
                <w:color w:val="000000"/>
                <w:sz w:val="16"/>
              </w:rPr>
              <w:t>9810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白杨镇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白杨镇小计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董王庄镇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董王庄镇小计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45</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樊村镇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29</w:t>
            </w:r>
          </w:p>
        </w:tc>
        <w:tc>
          <w:tcPr>
            <w:tcW w:w="755" w:type="dxa"/>
            <w:tcBorders>
              <w:tl2br w:val="nil"/>
              <w:tr2bl w:val="nil"/>
            </w:tcBorders>
            <w:shd w:val="clear" w:color="auto" w:fill="auto"/>
            <w:vAlign w:val="center"/>
          </w:tcPr>
          <w:p>
            <w:pPr>
              <w:jc w:val="center"/>
            </w:pPr>
            <w:r>
              <w:rPr>
                <w:rFonts w:ascii="宋体" w:hAnsi="宋体" w:eastAsia="宋体"/>
                <w:color w:val="000000"/>
                <w:sz w:val="16"/>
              </w:rPr>
              <w:t>73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820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樊村镇小计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384</w:t>
            </w:r>
          </w:p>
        </w:tc>
        <w:tc>
          <w:tcPr>
            <w:tcW w:w="755" w:type="dxa"/>
            <w:tcBorders>
              <w:tl2br w:val="nil"/>
              <w:tr2bl w:val="nil"/>
            </w:tcBorders>
            <w:shd w:val="clear" w:color="auto" w:fill="auto"/>
            <w:vAlign w:val="center"/>
          </w:tcPr>
          <w:p>
            <w:pPr>
              <w:jc w:val="center"/>
            </w:pPr>
            <w:r>
              <w:rPr>
                <w:rFonts w:ascii="宋体" w:hAnsi="宋体" w:eastAsia="宋体"/>
                <w:color w:val="000000"/>
                <w:sz w:val="16"/>
              </w:rPr>
              <w:t>893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46</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高村镇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59</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高村镇小计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59</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韩城镇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韩城镇小计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花果山乡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42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花果山乡小计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42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49</w:t>
            </w:r>
          </w:p>
          <w:p>
            <w:pPr>
              <w:jc w:val="center"/>
            </w:pP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宜阳县</w:t>
            </w:r>
          </w:p>
          <w:p>
            <w:pPr>
              <w:jc w:val="center"/>
            </w:pP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锦屏镇</w:t>
            </w:r>
          </w:p>
          <w:p>
            <w:pPr>
              <w:jc w:val="center"/>
            </w:pPr>
          </w:p>
          <w:p>
            <w:pPr>
              <w:jc w:val="center"/>
            </w:pP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锦屏镇小计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57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莲庄镇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58</w:t>
            </w:r>
          </w:p>
        </w:tc>
        <w:tc>
          <w:tcPr>
            <w:tcW w:w="755" w:type="dxa"/>
            <w:tcBorders>
              <w:tl2br w:val="nil"/>
              <w:tr2bl w:val="nil"/>
            </w:tcBorders>
            <w:shd w:val="clear" w:color="auto" w:fill="auto"/>
            <w:vAlign w:val="center"/>
          </w:tcPr>
          <w:p>
            <w:pPr>
              <w:jc w:val="center"/>
            </w:pPr>
            <w:r>
              <w:rPr>
                <w:rFonts w:ascii="宋体" w:hAnsi="宋体" w:eastAsia="宋体"/>
                <w:color w:val="000000"/>
                <w:sz w:val="16"/>
              </w:rPr>
              <w:t>78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莲庄镇小计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66</w:t>
            </w:r>
          </w:p>
        </w:tc>
        <w:tc>
          <w:tcPr>
            <w:tcW w:w="755" w:type="dxa"/>
            <w:tcBorders>
              <w:tl2br w:val="nil"/>
              <w:tr2bl w:val="nil"/>
            </w:tcBorders>
            <w:shd w:val="clear" w:color="auto" w:fill="auto"/>
            <w:vAlign w:val="center"/>
          </w:tcPr>
          <w:p>
            <w:pPr>
              <w:jc w:val="center"/>
            </w:pPr>
            <w:r>
              <w:rPr>
                <w:rFonts w:ascii="宋体" w:hAnsi="宋体" w:eastAsia="宋体"/>
                <w:color w:val="000000"/>
                <w:sz w:val="16"/>
              </w:rPr>
              <w:t>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51</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三乡镇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209</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三乡镇小计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52</w:t>
            </w: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上观乡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上观乡小计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53</w:t>
            </w:r>
          </w:p>
          <w:p>
            <w:pPr>
              <w:jc w:val="center"/>
            </w:pP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宜阳县</w:t>
            </w:r>
          </w:p>
          <w:p>
            <w:pPr>
              <w:jc w:val="center"/>
            </w:pP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香鹿山镇</w:t>
            </w:r>
          </w:p>
          <w:p>
            <w:pPr>
              <w:jc w:val="center"/>
            </w:pPr>
          </w:p>
          <w:p>
            <w:pPr>
              <w:jc w:val="center"/>
            </w:pP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w:t>
            </w:r>
          </w:p>
        </w:tc>
        <w:tc>
          <w:tcPr>
            <w:tcW w:w="755" w:type="dxa"/>
            <w:tcBorders>
              <w:tl2br w:val="nil"/>
              <w:tr2bl w:val="nil"/>
            </w:tcBorders>
            <w:shd w:val="clear" w:color="auto" w:fill="auto"/>
            <w:vAlign w:val="center"/>
          </w:tcPr>
          <w:p>
            <w:pPr>
              <w:jc w:val="center"/>
            </w:pPr>
            <w:r>
              <w:rPr>
                <w:rFonts w:ascii="宋体" w:hAnsi="宋体" w:eastAsia="宋体"/>
                <w:color w:val="000000"/>
                <w:sz w:val="16"/>
              </w:rPr>
              <w:t>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香鹿山镇小计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w:t>
            </w:r>
          </w:p>
        </w:tc>
        <w:tc>
          <w:tcPr>
            <w:tcW w:w="755" w:type="dxa"/>
            <w:tcBorders>
              <w:tl2br w:val="nil"/>
              <w:tr2bl w:val="nil"/>
            </w:tcBorders>
            <w:shd w:val="clear" w:color="auto" w:fill="auto"/>
            <w:vAlign w:val="center"/>
          </w:tcPr>
          <w:p>
            <w:pPr>
              <w:jc w:val="center"/>
            </w:pPr>
            <w:r>
              <w:rPr>
                <w:rFonts w:ascii="宋体" w:hAnsi="宋体" w:eastAsia="宋体"/>
                <w:color w:val="000000"/>
                <w:sz w:val="16"/>
              </w:rPr>
              <w:t>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54</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盐镇乡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97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盐镇乡小计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55</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张坞镇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张坞镇小计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58</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56</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赵堡镇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赵堡镇小计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1454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3297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w:t>
            </w:r>
          </w:p>
        </w:tc>
        <w:tc>
          <w:tcPr>
            <w:tcW w:w="755" w:type="dxa"/>
            <w:tcBorders>
              <w:tl2br w:val="nil"/>
              <w:tr2bl w:val="nil"/>
            </w:tcBorders>
            <w:shd w:val="clear" w:color="auto" w:fill="auto"/>
            <w:vAlign w:val="center"/>
          </w:tcPr>
          <w:p>
            <w:pPr>
              <w:jc w:val="center"/>
            </w:pPr>
            <w:r>
              <w:rPr>
                <w:rFonts w:ascii="宋体" w:hAnsi="宋体" w:eastAsia="宋体"/>
                <w:color w:val="000000"/>
                <w:sz w:val="16"/>
              </w:rPr>
              <w:t>620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57</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靳村乡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634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靳村乡小计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58</w:t>
            </w:r>
          </w:p>
        </w:tc>
        <w:tc>
          <w:tcPr>
            <w:tcW w:w="755"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小店镇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小店镇小计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59</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柏树乡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w:t>
            </w:r>
          </w:p>
        </w:tc>
        <w:tc>
          <w:tcPr>
            <w:tcW w:w="755" w:type="dxa"/>
            <w:tcBorders>
              <w:tl2br w:val="nil"/>
              <w:tr2bl w:val="nil"/>
            </w:tcBorders>
            <w:shd w:val="clear" w:color="auto" w:fill="auto"/>
            <w:vAlign w:val="center"/>
          </w:tcPr>
          <w:p>
            <w:pPr>
              <w:jc w:val="center"/>
            </w:pPr>
            <w:r>
              <w:rPr>
                <w:rFonts w:ascii="宋体" w:hAnsi="宋体" w:eastAsia="宋体"/>
                <w:color w:val="000000"/>
                <w:sz w:val="16"/>
              </w:rPr>
              <w:t>921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1393.6</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780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287</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柏树乡小计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731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1740.6</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王坪乡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王坪乡小计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61</w:t>
            </w: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汝阳县</w:t>
            </w: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十八盘乡</w:t>
            </w:r>
          </w:p>
          <w:p>
            <w:pPr>
              <w:jc w:val="center"/>
            </w:pP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十八盘乡小计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62</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三屯镇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三屯镇小计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63</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付店镇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555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4200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付店镇小计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266</w:t>
            </w:r>
          </w:p>
        </w:tc>
        <w:tc>
          <w:tcPr>
            <w:tcW w:w="755" w:type="dxa"/>
            <w:tcBorders>
              <w:tl2br w:val="nil"/>
              <w:tr2bl w:val="nil"/>
            </w:tcBorders>
            <w:shd w:val="clear" w:color="auto" w:fill="auto"/>
            <w:vAlign w:val="center"/>
          </w:tcPr>
          <w:p>
            <w:pPr>
              <w:jc w:val="center"/>
            </w:pPr>
            <w:r>
              <w:rPr>
                <w:rFonts w:ascii="宋体" w:hAnsi="宋体" w:eastAsia="宋体"/>
                <w:color w:val="000000"/>
                <w:sz w:val="16"/>
              </w:rPr>
              <w:t>855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4440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64</w:t>
            </w:r>
          </w:p>
        </w:tc>
        <w:tc>
          <w:tcPr>
            <w:tcW w:w="755"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刘店镇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刘店镇小计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城关镇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23027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城关镇小计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23027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2075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4256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24474</w:t>
            </w:r>
          </w:p>
        </w:tc>
        <w:tc>
          <w:tcPr>
            <w:tcW w:w="755" w:type="dxa"/>
            <w:tcBorders>
              <w:tl2br w:val="nil"/>
              <w:tr2bl w:val="nil"/>
            </w:tcBorders>
            <w:shd w:val="clear" w:color="auto" w:fill="auto"/>
            <w:vAlign w:val="center"/>
          </w:tcPr>
          <w:p>
            <w:pPr>
              <w:jc w:val="center"/>
            </w:pPr>
            <w:r>
              <w:rPr>
                <w:rFonts w:ascii="宋体" w:hAnsi="宋体" w:eastAsia="宋体"/>
                <w:color w:val="000000"/>
                <w:sz w:val="16"/>
              </w:rPr>
              <w:t>6180.6</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66</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北冶镇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179</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北冶镇小计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67</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仓头镇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仓头镇小计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595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68</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石井镇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w:t>
            </w:r>
          </w:p>
        </w:tc>
        <w:tc>
          <w:tcPr>
            <w:tcW w:w="755" w:type="dxa"/>
            <w:tcBorders>
              <w:tl2br w:val="nil"/>
              <w:tr2bl w:val="nil"/>
            </w:tcBorders>
            <w:shd w:val="clear" w:color="auto" w:fill="auto"/>
            <w:vAlign w:val="center"/>
          </w:tcPr>
          <w:p>
            <w:pPr>
              <w:jc w:val="center"/>
            </w:pPr>
            <w:r>
              <w:rPr>
                <w:rFonts w:ascii="宋体" w:hAnsi="宋体" w:eastAsia="宋体"/>
                <w:color w:val="000000"/>
                <w:sz w:val="16"/>
              </w:rPr>
              <w:t>91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石井镇小计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w:t>
            </w:r>
          </w:p>
        </w:tc>
        <w:tc>
          <w:tcPr>
            <w:tcW w:w="755" w:type="dxa"/>
            <w:tcBorders>
              <w:tl2br w:val="nil"/>
              <w:tr2bl w:val="nil"/>
            </w:tcBorders>
            <w:shd w:val="clear" w:color="auto" w:fill="auto"/>
            <w:vAlign w:val="center"/>
          </w:tcPr>
          <w:p>
            <w:pPr>
              <w:jc w:val="center"/>
            </w:pPr>
            <w:r>
              <w:rPr>
                <w:rFonts w:ascii="宋体" w:hAnsi="宋体" w:eastAsia="宋体"/>
                <w:color w:val="000000"/>
                <w:sz w:val="16"/>
              </w:rPr>
              <w:t>91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69</w:t>
            </w:r>
          </w:p>
        </w:tc>
        <w:tc>
          <w:tcPr>
            <w:tcW w:w="755"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铁门镇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铁门镇小计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70</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石寺镇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石寺镇小计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1066</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2459</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694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71</w:t>
            </w: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彭婆镇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彭婆镇小计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72</w:t>
            </w: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半坡镇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半坡镇小计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73</w:t>
            </w: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吕店镇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吕店镇小计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74</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伊川县</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酒后镇</w:t>
            </w: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473</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酒后镇小计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514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75</w:t>
            </w: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伊川县</w:t>
            </w: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高山镇</w:t>
            </w:r>
          </w:p>
          <w:p>
            <w:pPr>
              <w:jc w:val="center"/>
            </w:pP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347</w:t>
            </w:r>
          </w:p>
        </w:tc>
        <w:tc>
          <w:tcPr>
            <w:tcW w:w="755" w:type="dxa"/>
            <w:tcBorders>
              <w:tl2br w:val="nil"/>
              <w:tr2bl w:val="nil"/>
            </w:tcBorders>
            <w:shd w:val="clear" w:color="auto" w:fill="auto"/>
            <w:vAlign w:val="center"/>
          </w:tcPr>
          <w:p>
            <w:pPr>
              <w:jc w:val="center"/>
            </w:pPr>
            <w:r>
              <w:rPr>
                <w:rFonts w:ascii="宋体" w:hAnsi="宋体" w:eastAsia="宋体"/>
                <w:color w:val="000000"/>
                <w:sz w:val="16"/>
              </w:rPr>
              <w:t>898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高山镇小计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677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2198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76</w:t>
            </w: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鸣皋镇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鸣皋镇小计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77</w:t>
            </w: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葛寨镇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760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葛寨镇小计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760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78</w:t>
            </w: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伊川县</w:t>
            </w: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白沙镇</w:t>
            </w:r>
          </w:p>
          <w:p>
            <w:pPr>
              <w:jc w:val="center"/>
            </w:pP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白沙镇小计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79</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伊川县</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白元镇</w:t>
            </w: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白元镇小计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80</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伊川县</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城关街道办事处</w:t>
            </w: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城关街道办事处小计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66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81</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水寨镇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水寨镇小计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1834</w:t>
            </w:r>
          </w:p>
        </w:tc>
        <w:tc>
          <w:tcPr>
            <w:tcW w:w="755" w:type="dxa"/>
            <w:tcBorders>
              <w:tl2br w:val="nil"/>
              <w:tr2bl w:val="nil"/>
            </w:tcBorders>
            <w:shd w:val="clear" w:color="auto" w:fill="auto"/>
            <w:vAlign w:val="center"/>
          </w:tcPr>
          <w:p>
            <w:pPr>
              <w:jc w:val="center"/>
            </w:pPr>
            <w:r>
              <w:rPr>
                <w:rFonts w:ascii="宋体" w:hAnsi="宋体" w:eastAsia="宋体"/>
                <w:color w:val="000000"/>
                <w:sz w:val="16"/>
              </w:rPr>
              <w:t>7113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82</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小浪底镇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小浪底镇小计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83</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会盟镇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会盟镇小计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77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84</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白鹤镇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白鹤镇小计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2072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西霞院街道</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西霞院街道小计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86</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城关镇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8400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城关镇小计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9450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87</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常袋镇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常袋镇小计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88</w:t>
            </w: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朝阳镇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朝阳镇小计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89</w:t>
            </w: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送庄镇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送庄镇小计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47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河阳街道</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河阳街道小计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91</w:t>
            </w: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横水镇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横水镇小计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850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12935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92</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山化镇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952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11685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276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122</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8227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山化镇小计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1293</w:t>
            </w:r>
          </w:p>
        </w:tc>
        <w:tc>
          <w:tcPr>
            <w:tcW w:w="755" w:type="dxa"/>
            <w:tcBorders>
              <w:tl2br w:val="nil"/>
              <w:tr2bl w:val="nil"/>
            </w:tcBorders>
            <w:shd w:val="clear" w:color="auto" w:fill="auto"/>
            <w:vAlign w:val="center"/>
          </w:tcPr>
          <w:p>
            <w:pPr>
              <w:jc w:val="center"/>
            </w:pPr>
            <w:r>
              <w:rPr>
                <w:rFonts w:ascii="宋体" w:hAnsi="宋体" w:eastAsia="宋体"/>
                <w:color w:val="000000"/>
                <w:sz w:val="16"/>
              </w:rPr>
              <w:t>544</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19912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93</w:t>
            </w: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偃师区</w:t>
            </w:r>
          </w:p>
          <w:p>
            <w:pPr>
              <w:jc w:val="center"/>
            </w:pP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府店镇</w:t>
            </w:r>
          </w:p>
          <w:p>
            <w:pPr>
              <w:jc w:val="center"/>
            </w:pP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448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1056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府店镇小计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484</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1077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94</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大口镇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大口镇小计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顾县镇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顾县镇小计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96</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邙岭乡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w:t>
            </w:r>
          </w:p>
        </w:tc>
        <w:tc>
          <w:tcPr>
            <w:tcW w:w="755" w:type="dxa"/>
            <w:tcBorders>
              <w:tl2br w:val="nil"/>
              <w:tr2bl w:val="nil"/>
            </w:tcBorders>
            <w:shd w:val="clear" w:color="auto" w:fill="auto"/>
            <w:vAlign w:val="center"/>
          </w:tcPr>
          <w:p>
            <w:pPr>
              <w:jc w:val="center"/>
            </w:pPr>
            <w:r>
              <w:rPr>
                <w:rFonts w:ascii="宋体" w:hAnsi="宋体" w:eastAsia="宋体"/>
                <w:color w:val="000000"/>
                <w:sz w:val="16"/>
              </w:rPr>
              <w:t>8</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邙岭乡小计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97</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偃师区</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伊洛街道办事处</w:t>
            </w: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69</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left"/>
            </w:pPr>
            <w:r>
              <w:rPr>
                <w:rFonts w:ascii="宋体" w:hAnsi="宋体" w:eastAsia="宋体"/>
                <w:color w:val="000000"/>
                <w:sz w:val="16"/>
              </w:rPr>
              <w:t>伊洛街道办事处小计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72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98</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槐新街道办事处</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22321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536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1586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槐新街道办事处小计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24443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tcBorders>
              <w:tl2br w:val="nil"/>
              <w:tr2bl w:val="nil"/>
            </w:tcBorders>
            <w:shd w:val="clear" w:color="auto" w:fill="auto"/>
            <w:vAlign w:val="center"/>
          </w:tcPr>
          <w:p>
            <w:pPr>
              <w:jc w:val="center"/>
            </w:pPr>
            <w:r>
              <w:rPr>
                <w:rFonts w:ascii="宋体" w:hAnsi="宋体" w:eastAsia="宋体"/>
                <w:color w:val="000000"/>
                <w:sz w:val="16"/>
              </w:rPr>
              <w:t>99</w:t>
            </w:r>
          </w:p>
        </w:tc>
        <w:tc>
          <w:tcPr>
            <w:tcW w:w="755"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商城街道办事处</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23895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商城街道办事处小计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23895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w:t>
            </w:r>
          </w:p>
        </w:tc>
        <w:tc>
          <w:tcPr>
            <w:tcW w:w="755" w:type="dxa"/>
            <w:tcBorders>
              <w:tl2br w:val="nil"/>
              <w:tr2bl w:val="nil"/>
            </w:tcBorders>
            <w:shd w:val="clear" w:color="auto" w:fill="auto"/>
            <w:vAlign w:val="center"/>
          </w:tcPr>
          <w:p>
            <w:pPr>
              <w:jc w:val="center"/>
            </w:pPr>
            <w:r>
              <w:rPr>
                <w:rFonts w:ascii="宋体" w:hAnsi="宋体" w:eastAsia="宋体"/>
                <w:color w:val="000000"/>
                <w:sz w:val="16"/>
              </w:rPr>
              <w:t>1910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1847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w:t>
            </w:r>
          </w:p>
        </w:tc>
        <w:tc>
          <w:tcPr>
            <w:tcW w:w="755" w:type="dxa"/>
            <w:tcBorders>
              <w:tl2br w:val="nil"/>
              <w:tr2bl w:val="nil"/>
            </w:tcBorders>
            <w:shd w:val="clear" w:color="auto" w:fill="auto"/>
            <w:vAlign w:val="center"/>
          </w:tcPr>
          <w:p>
            <w:pPr>
              <w:jc w:val="center"/>
            </w:pPr>
            <w:r>
              <w:rPr>
                <w:rFonts w:ascii="宋体" w:hAnsi="宋体" w:eastAsia="宋体"/>
                <w:color w:val="000000"/>
                <w:sz w:val="16"/>
              </w:rPr>
              <w:t>68322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100</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寇店镇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89</w:t>
            </w:r>
          </w:p>
        </w:tc>
        <w:tc>
          <w:tcPr>
            <w:tcW w:w="755" w:type="dxa"/>
            <w:tcBorders>
              <w:tl2br w:val="nil"/>
              <w:tr2bl w:val="nil"/>
            </w:tcBorders>
            <w:shd w:val="clear" w:color="auto" w:fill="auto"/>
            <w:vAlign w:val="center"/>
          </w:tcPr>
          <w:p>
            <w:pPr>
              <w:jc w:val="center"/>
            </w:pPr>
            <w:r>
              <w:rPr>
                <w:rFonts w:ascii="宋体" w:hAnsi="宋体" w:eastAsia="宋体"/>
                <w:color w:val="000000"/>
                <w:sz w:val="16"/>
              </w:rPr>
              <w:t>345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w:t>
            </w:r>
          </w:p>
        </w:tc>
        <w:tc>
          <w:tcPr>
            <w:tcW w:w="755" w:type="dxa"/>
            <w:tcBorders>
              <w:tl2br w:val="nil"/>
              <w:tr2bl w:val="nil"/>
            </w:tcBorders>
            <w:shd w:val="clear" w:color="auto" w:fill="auto"/>
            <w:vAlign w:val="center"/>
          </w:tcPr>
          <w:p>
            <w:pPr>
              <w:jc w:val="center"/>
            </w:pPr>
            <w:r>
              <w:rPr>
                <w:rFonts w:ascii="宋体" w:hAnsi="宋体" w:eastAsia="宋体"/>
                <w:color w:val="000000"/>
                <w:sz w:val="16"/>
              </w:rPr>
              <w:t>90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寇店镇小计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中风险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101</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诸葛镇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23</w:t>
            </w:r>
          </w:p>
        </w:tc>
        <w:tc>
          <w:tcPr>
            <w:tcW w:w="755" w:type="dxa"/>
            <w:tcBorders>
              <w:tl2br w:val="nil"/>
              <w:tr2bl w:val="nil"/>
            </w:tcBorders>
            <w:shd w:val="clear" w:color="auto" w:fill="auto"/>
            <w:vAlign w:val="center"/>
          </w:tcPr>
          <w:p>
            <w:pPr>
              <w:jc w:val="center"/>
            </w:pPr>
            <w:r>
              <w:rPr>
                <w:rFonts w:ascii="宋体" w:hAnsi="宋体" w:eastAsia="宋体"/>
                <w:color w:val="000000"/>
                <w:sz w:val="16"/>
              </w:rPr>
              <w:t>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农村居民点、房屋、乡村道路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31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18</w:t>
            </w:r>
          </w:p>
        </w:tc>
        <w:tc>
          <w:tcPr>
            <w:tcW w:w="755" w:type="dxa"/>
            <w:tcBorders>
              <w:tl2br w:val="nil"/>
              <w:tr2bl w:val="nil"/>
            </w:tcBorders>
            <w:shd w:val="clear" w:color="auto" w:fill="auto"/>
            <w:vAlign w:val="center"/>
          </w:tcPr>
          <w:p>
            <w:pPr>
              <w:jc w:val="center"/>
            </w:pPr>
            <w:r>
              <w:rPr>
                <w:rFonts w:ascii="宋体" w:hAnsi="宋体" w:eastAsia="宋体"/>
                <w:color w:val="000000"/>
                <w:sz w:val="16"/>
              </w:rPr>
              <w:t>651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诸葛镇小计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54</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28</w:t>
            </w:r>
          </w:p>
        </w:tc>
        <w:tc>
          <w:tcPr>
            <w:tcW w:w="755" w:type="dxa"/>
            <w:tcBorders>
              <w:tl2br w:val="nil"/>
              <w:tr2bl w:val="nil"/>
            </w:tcBorders>
            <w:shd w:val="clear" w:color="auto" w:fill="auto"/>
            <w:vAlign w:val="center"/>
          </w:tcPr>
          <w:p>
            <w:pPr>
              <w:jc w:val="center"/>
            </w:pPr>
            <w:r>
              <w:rPr>
                <w:rFonts w:ascii="宋体" w:hAnsi="宋体" w:eastAsia="宋体"/>
                <w:color w:val="000000"/>
                <w:sz w:val="16"/>
              </w:rPr>
              <w:t>663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102</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辛店街道</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3540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26</w:t>
            </w:r>
          </w:p>
        </w:tc>
        <w:tc>
          <w:tcPr>
            <w:tcW w:w="755" w:type="dxa"/>
            <w:tcBorders>
              <w:tl2br w:val="nil"/>
              <w:tr2bl w:val="nil"/>
            </w:tcBorders>
            <w:shd w:val="clear" w:color="auto" w:fill="auto"/>
            <w:vAlign w:val="center"/>
          </w:tcPr>
          <w:p>
            <w:pPr>
              <w:jc w:val="center"/>
            </w:pPr>
            <w:r>
              <w:rPr>
                <w:rFonts w:ascii="宋体" w:hAnsi="宋体" w:eastAsia="宋体"/>
                <w:color w:val="000000"/>
                <w:sz w:val="16"/>
              </w:rPr>
              <w:t>1092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辛店街道小计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76</w:t>
            </w:r>
          </w:p>
        </w:tc>
        <w:tc>
          <w:tcPr>
            <w:tcW w:w="755" w:type="dxa"/>
            <w:tcBorders>
              <w:tl2br w:val="nil"/>
              <w:tr2bl w:val="nil"/>
            </w:tcBorders>
            <w:shd w:val="clear" w:color="auto" w:fill="auto"/>
            <w:vAlign w:val="center"/>
          </w:tcPr>
          <w:p>
            <w:pPr>
              <w:jc w:val="center"/>
            </w:pPr>
            <w:r>
              <w:rPr>
                <w:rFonts w:ascii="宋体" w:hAnsi="宋体" w:eastAsia="宋体"/>
                <w:color w:val="000000"/>
                <w:sz w:val="16"/>
              </w:rPr>
              <w:t>4632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低风险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103</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李村镇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农村居民点、耕地、乡村道路</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李村镇小计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104</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丰李镇</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1399</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3170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丰李镇小计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82</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4569</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105</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科技园街道</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科技园街道小计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106</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龙门街道直属</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龙门街道直属小计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107</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洛龙区</w:t>
            </w:r>
          </w:p>
          <w:p>
            <w:pPr>
              <w:jc w:val="center"/>
            </w:pP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龙门石窟世界文化遗产园区管理委员</w:t>
            </w:r>
          </w:p>
          <w:p>
            <w:pPr>
              <w:jc w:val="cente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46</w:t>
            </w:r>
          </w:p>
        </w:tc>
        <w:tc>
          <w:tcPr>
            <w:tcW w:w="755" w:type="dxa"/>
            <w:tcBorders>
              <w:tl2br w:val="nil"/>
              <w:tr2bl w:val="nil"/>
            </w:tcBorders>
            <w:shd w:val="clear" w:color="auto" w:fill="auto"/>
            <w:vAlign w:val="center"/>
          </w:tcPr>
          <w:p>
            <w:pPr>
              <w:jc w:val="center"/>
            </w:pPr>
            <w:r>
              <w:rPr>
                <w:rFonts w:ascii="宋体" w:hAnsi="宋体" w:eastAsia="宋体"/>
                <w:color w:val="000000"/>
                <w:sz w:val="16"/>
              </w:rPr>
              <w:t>4317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45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1533</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龙门石窟世界文化遗产园区管理委员小计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91</w:t>
            </w:r>
          </w:p>
        </w:tc>
        <w:tc>
          <w:tcPr>
            <w:tcW w:w="755" w:type="dxa"/>
            <w:tcBorders>
              <w:tl2br w:val="nil"/>
              <w:tr2bl w:val="nil"/>
            </w:tcBorders>
            <w:shd w:val="clear" w:color="auto" w:fill="auto"/>
            <w:vAlign w:val="center"/>
          </w:tcPr>
          <w:p>
            <w:pPr>
              <w:jc w:val="center"/>
            </w:pPr>
            <w:r>
              <w:rPr>
                <w:rFonts w:ascii="宋体" w:hAnsi="宋体" w:eastAsia="宋体"/>
                <w:color w:val="000000"/>
                <w:sz w:val="16"/>
              </w:rPr>
              <w:t>5850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高风险</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108</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vMerge w:val="restart"/>
            <w:tcBorders>
              <w:tl2br w:val="nil"/>
              <w:tr2bl w:val="nil"/>
            </w:tcBorders>
            <w:shd w:val="clear" w:color="auto" w:fill="auto"/>
            <w:vAlign w:val="center"/>
          </w:tcPr>
          <w:p>
            <w:pPr>
              <w:jc w:val="center"/>
            </w:pPr>
            <w:r>
              <w:rPr>
                <w:rFonts w:ascii="宋体" w:hAnsi="宋体" w:eastAsia="宋体"/>
                <w:color w:val="000000"/>
                <w:sz w:val="16"/>
              </w:rPr>
              <w:t>学府街道</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9</w:t>
            </w:r>
          </w:p>
        </w:tc>
        <w:tc>
          <w:tcPr>
            <w:tcW w:w="755" w:type="dxa"/>
            <w:tcBorders>
              <w:tl2br w:val="nil"/>
              <w:tr2bl w:val="nil"/>
            </w:tcBorders>
            <w:shd w:val="clear" w:color="auto" w:fill="auto"/>
            <w:vAlign w:val="center"/>
          </w:tcPr>
          <w:p>
            <w:pPr>
              <w:jc w:val="center"/>
            </w:pPr>
            <w:r>
              <w:rPr>
                <w:rFonts w:ascii="宋体" w:hAnsi="宋体" w:eastAsia="宋体"/>
                <w:color w:val="000000"/>
                <w:sz w:val="16"/>
              </w:rPr>
              <w:t>32</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集中居民点、切坡建房、交通干线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pPr>
            <w:r>
              <w:rPr>
                <w:rFonts w:ascii="宋体" w:hAnsi="宋体" w:eastAsia="宋体"/>
                <w:color w:val="000000"/>
                <w:sz w:val="16"/>
              </w:rPr>
              <w:t>极高风险</w:t>
            </w: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rPr>
                <w:color w:val="08090C"/>
              </w:rPr>
            </w:pPr>
          </w:p>
        </w:tc>
        <w:tc>
          <w:tcPr>
            <w:tcW w:w="755" w:type="dxa"/>
            <w:vMerge w:val="continue"/>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21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1134</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left"/>
            </w:pPr>
            <w:r>
              <w:rPr>
                <w:rFonts w:ascii="宋体" w:hAnsi="宋体" w:eastAsia="宋体"/>
                <w:color w:val="000000"/>
                <w:sz w:val="16"/>
              </w:rPr>
              <w:t>集中居民区、学校、重要基础设施</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学府街道小计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pPr>
            <w:r>
              <w:rPr>
                <w:rFonts w:ascii="宋体" w:hAnsi="宋体" w:eastAsia="宋体"/>
                <w:color w:val="000000"/>
                <w:sz w:val="16"/>
              </w:rPr>
              <w:t>30</w:t>
            </w:r>
          </w:p>
        </w:tc>
        <w:tc>
          <w:tcPr>
            <w:tcW w:w="755" w:type="dxa"/>
            <w:tcBorders>
              <w:tl2br w:val="nil"/>
              <w:tr2bl w:val="nil"/>
            </w:tcBorders>
            <w:shd w:val="clear" w:color="auto" w:fill="auto"/>
            <w:vAlign w:val="center"/>
          </w:tcPr>
          <w:p>
            <w:pPr>
              <w:jc w:val="center"/>
            </w:pPr>
            <w:r>
              <w:rPr>
                <w:rFonts w:ascii="宋体" w:hAnsi="宋体" w:eastAsia="宋体"/>
                <w:color w:val="000000"/>
                <w:sz w:val="16"/>
              </w:rPr>
              <w:t>1166</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755" w:type="dxa"/>
            <w:tcBorders>
              <w:tl2br w:val="nil"/>
              <w:tr2bl w:val="nil"/>
            </w:tcBorders>
            <w:shd w:val="clear" w:color="auto" w:fill="auto"/>
            <w:vAlign w:val="center"/>
          </w:tcPr>
          <w:p>
            <w:pPr>
              <w:jc w:val="center"/>
            </w:pPr>
            <w:r>
              <w:rPr>
                <w:rFonts w:ascii="宋体" w:hAnsi="宋体" w:eastAsia="宋体"/>
                <w:color w:val="000000"/>
                <w:sz w:val="16"/>
              </w:rPr>
              <w:t>小计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5</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166</w:t>
            </w:r>
          </w:p>
        </w:tc>
        <w:tc>
          <w:tcPr>
            <w:tcW w:w="755" w:type="dxa"/>
            <w:tcBorders>
              <w:tl2br w:val="nil"/>
              <w:tr2bl w:val="nil"/>
            </w:tcBorders>
            <w:shd w:val="clear" w:color="auto" w:fill="auto"/>
            <w:vAlign w:val="center"/>
          </w:tcPr>
          <w:p>
            <w:pPr>
              <w:jc w:val="center"/>
            </w:pPr>
            <w:r>
              <w:rPr>
                <w:rFonts w:ascii="宋体" w:hAnsi="宋体" w:eastAsia="宋体"/>
                <w:color w:val="000000"/>
                <w:sz w:val="16"/>
              </w:rPr>
              <w:t>635</w:t>
            </w:r>
          </w:p>
        </w:tc>
        <w:tc>
          <w:tcPr>
            <w:tcW w:w="755" w:type="dxa"/>
            <w:tcBorders>
              <w:tl2br w:val="nil"/>
              <w:tr2bl w:val="nil"/>
            </w:tcBorders>
            <w:shd w:val="clear" w:color="auto" w:fill="auto"/>
            <w:vAlign w:val="center"/>
          </w:tcPr>
          <w:p>
            <w:pPr>
              <w:jc w:val="center"/>
            </w:pPr>
            <w:r>
              <w:rPr>
                <w:rFonts w:ascii="宋体" w:hAnsi="宋体" w:eastAsia="宋体"/>
                <w:color w:val="000000"/>
                <w:sz w:val="16"/>
              </w:rPr>
              <w:t>377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16880</w:t>
            </w:r>
          </w:p>
        </w:tc>
        <w:tc>
          <w:tcPr>
            <w:tcW w:w="755" w:type="dxa"/>
            <w:tcBorders>
              <w:tl2br w:val="nil"/>
              <w:tr2bl w:val="nil"/>
            </w:tcBorders>
            <w:shd w:val="clear" w:color="auto" w:fill="auto"/>
            <w:vAlign w:val="center"/>
          </w:tcPr>
          <w:p>
            <w:pPr>
              <w:jc w:val="center"/>
            </w:pPr>
            <w:r>
              <w:rPr>
                <w:rFonts w:ascii="宋体" w:hAnsi="宋体" w:eastAsia="宋体"/>
                <w:color w:val="000000"/>
                <w:sz w:val="16"/>
              </w:rPr>
              <w:t>0</w:t>
            </w:r>
          </w:p>
        </w:tc>
        <w:tc>
          <w:tcPr>
            <w:tcW w:w="755" w:type="dxa"/>
            <w:tcBorders>
              <w:tl2br w:val="nil"/>
              <w:tr2bl w:val="nil"/>
            </w:tcBorders>
            <w:shd w:val="clear" w:color="auto" w:fill="auto"/>
            <w:vAlign w:val="center"/>
          </w:tcPr>
          <w:p>
            <w:pPr>
              <w:jc w:val="center"/>
              <w:rPr>
                <w:color w:val="08090C"/>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rPr>
                <w:color w:val="08090C"/>
              </w:rPr>
            </w:pPr>
          </w:p>
        </w:tc>
        <w:tc>
          <w:tcPr>
            <w:tcW w:w="755" w:type="dxa"/>
            <w:tcBorders>
              <w:tl2br w:val="nil"/>
              <w:tr2bl w:val="nil"/>
            </w:tcBorders>
            <w:shd w:val="clear" w:color="auto" w:fill="auto"/>
            <w:vAlign w:val="center"/>
          </w:tcPr>
          <w:p>
            <w:pPr>
              <w:jc w:val="center"/>
            </w:pPr>
            <w:r>
              <w:rPr>
                <w:rFonts w:ascii="宋体" w:hAnsi="宋体" w:eastAsia="宋体"/>
                <w:color w:val="000000"/>
                <w:sz w:val="16"/>
              </w:rPr>
              <w:t>全市合计</w:t>
            </w:r>
          </w:p>
        </w:tc>
        <w:tc>
          <w:tcPr>
            <w:tcW w:w="755" w:type="dxa"/>
            <w:tcBorders>
              <w:tl2br w:val="nil"/>
              <w:tr2bl w:val="nil"/>
            </w:tcBorders>
            <w:shd w:val="clear" w:color="auto" w:fill="auto"/>
            <w:vAlign w:val="center"/>
          </w:tcPr>
          <w:p>
            <w:pPr>
              <w:jc w:val="center"/>
            </w:pPr>
            <w:r>
              <w:rPr>
                <w:rFonts w:ascii="宋体" w:hAnsi="宋体" w:eastAsia="宋体"/>
                <w:color w:val="000000"/>
                <w:sz w:val="16"/>
              </w:rPr>
              <w:t>333</w:t>
            </w:r>
          </w:p>
        </w:tc>
        <w:tc>
          <w:tcPr>
            <w:tcW w:w="755" w:type="dxa"/>
            <w:tcBorders>
              <w:tl2br w:val="nil"/>
              <w:tr2bl w:val="nil"/>
            </w:tcBorders>
            <w:shd w:val="clear" w:color="auto" w:fill="auto"/>
            <w:vAlign w:val="center"/>
          </w:tcPr>
          <w:p>
            <w:pPr>
              <w:jc w:val="center"/>
            </w:pPr>
            <w:r>
              <w:rPr>
                <w:rFonts w:ascii="宋体" w:hAnsi="宋体" w:eastAsia="宋体"/>
                <w:color w:val="000000"/>
                <w:sz w:val="16"/>
              </w:rPr>
              <w:t>14717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49785</w:t>
            </w:r>
          </w:p>
        </w:tc>
        <w:tc>
          <w:tcPr>
            <w:tcW w:w="755" w:type="dxa"/>
            <w:tcBorders>
              <w:tl2br w:val="nil"/>
              <w:tr2bl w:val="nil"/>
            </w:tcBorders>
            <w:shd w:val="clear" w:color="auto" w:fill="auto"/>
            <w:vAlign w:val="center"/>
          </w:tcPr>
          <w:p>
            <w:pPr>
              <w:jc w:val="center"/>
            </w:pPr>
            <w:r>
              <w:rPr>
                <w:rFonts w:ascii="宋体" w:hAnsi="宋体" w:eastAsia="宋体"/>
                <w:color w:val="000000"/>
                <w:sz w:val="16"/>
              </w:rPr>
              <w:t>917</w:t>
            </w:r>
          </w:p>
        </w:tc>
        <w:tc>
          <w:tcPr>
            <w:tcW w:w="755" w:type="dxa"/>
            <w:tcBorders>
              <w:tl2br w:val="nil"/>
              <w:tr2bl w:val="nil"/>
            </w:tcBorders>
            <w:shd w:val="clear" w:color="auto" w:fill="auto"/>
            <w:vAlign w:val="center"/>
          </w:tcPr>
          <w:p>
            <w:pPr>
              <w:jc w:val="center"/>
            </w:pPr>
            <w:r>
              <w:rPr>
                <w:rFonts w:ascii="宋体" w:hAnsi="宋体" w:eastAsia="宋体"/>
                <w:color w:val="000000"/>
                <w:sz w:val="16"/>
              </w:rPr>
              <w:t>163111</w:t>
            </w:r>
          </w:p>
        </w:tc>
        <w:tc>
          <w:tcPr>
            <w:tcW w:w="755" w:type="dxa"/>
            <w:tcBorders>
              <w:tl2br w:val="nil"/>
              <w:tr2bl w:val="nil"/>
            </w:tcBorders>
            <w:shd w:val="clear" w:color="auto" w:fill="auto"/>
            <w:vAlign w:val="center"/>
          </w:tcPr>
          <w:p>
            <w:pPr>
              <w:jc w:val="center"/>
            </w:pPr>
            <w:r>
              <w:rPr>
                <w:rFonts w:ascii="宋体" w:hAnsi="宋体" w:eastAsia="宋体"/>
                <w:color w:val="000000"/>
                <w:sz w:val="16"/>
              </w:rPr>
              <w:t>15990.6</w:t>
            </w:r>
          </w:p>
        </w:tc>
        <w:tc>
          <w:tcPr>
            <w:tcW w:w="755" w:type="dxa"/>
            <w:tcBorders>
              <w:tl2br w:val="nil"/>
              <w:tr2bl w:val="nil"/>
            </w:tcBorders>
            <w:shd w:val="clear" w:color="auto" w:fill="auto"/>
            <w:vAlign w:val="center"/>
          </w:tcPr>
          <w:p>
            <w:pPr>
              <w:jc w:val="center"/>
              <w:rPr>
                <w:color w:val="08090C"/>
              </w:rPr>
            </w:pPr>
          </w:p>
        </w:tc>
      </w:tr>
    </w:tbl>
    <w:p>
      <w:pPr>
        <w:spacing w:before="20" w:after="20"/>
        <w:jc w:val="left"/>
      </w:pPr>
      <w:r>
        <w:rPr>
          <w:rFonts w:ascii="Times New Roman" w:hAnsi="Times New Roman" w:eastAsia="宋体" w:cs="Times New Roman"/>
          <w:color w:val="000000"/>
          <w:sz w:val="16"/>
        </w:rPr>
        <w:t>注：1.风险等级1级=低风险、2级=中风险、3级=高风险、4级=极高风险，采用省级下发洛阳市地质灾害风险区划成果；</w:t>
      </w:r>
    </w:p>
    <w:p>
      <w:pPr>
        <w:spacing w:before="20" w:after="20"/>
        <w:jc w:val="left"/>
      </w:pPr>
      <w:r>
        <w:rPr>
          <w:rFonts w:ascii="Times New Roman" w:hAnsi="Times New Roman" w:eastAsia="宋体" w:cs="Times New Roman"/>
          <w:color w:val="000000"/>
          <w:sz w:val="16"/>
        </w:rPr>
        <w:t>2.隐患点来源于333处调查成果；风险斜坡共917处＝609处普查＋85处精细化（洛宁55、汝阳30）＋栾川208处、新安15处（据省厅720处普查汇总表补入）；</w:t>
      </w:r>
    </w:p>
    <w:p>
      <w:pPr>
        <w:spacing w:before="20" w:after="20"/>
        <w:jc w:val="left"/>
      </w:pPr>
      <w:r>
        <w:rPr>
          <w:rFonts w:ascii="Times New Roman" w:hAnsi="Times New Roman" w:eastAsia="宋体" w:cs="Times New Roman"/>
          <w:color w:val="000000"/>
          <w:sz w:val="16"/>
        </w:rPr>
        <w:t>3.潜在威胁人数统一按“户籍人（户籍人口）”统计；风险斜坡威胁财产仅85处精细化调查斜坡有统计，普查类斜坡未调查财产；</w:t>
      </w:r>
    </w:p>
    <w:p>
      <w:pPr>
        <w:spacing w:before="20" w:after="20"/>
        <w:jc w:val="left"/>
      </w:pPr>
      <w:r>
        <w:rPr>
          <w:rFonts w:ascii="Times New Roman" w:hAnsi="Times New Roman" w:eastAsia="宋体" w:cs="Times New Roman"/>
          <w:color w:val="000000"/>
          <w:sz w:val="16"/>
        </w:rPr>
        <w:t>4.涧西区、伊滨区已并入洛龙区；栾川县“石庙乡”已按撤乡设镇归并为石庙镇、“耕莘街道办事处”按原城关镇辖区归并为城关镇；偃师1处归商城街道、孟津1处（孙沟、十里头交界）经确认归送庄镇。</w:t>
      </w:r>
    </w:p>
    <w:p>
      <w:pPr>
        <w:pStyle w:val="8"/>
        <w:widowControl/>
        <w:shd w:val="clear" w:color="auto"/>
        <w:spacing w:line="360" w:lineRule="auto"/>
        <w:jc w:val="both"/>
        <w:rPr>
          <w:rFonts w:ascii="宋体" w:hAnsi="宋体" w:eastAsia="宋体" w:cs="宋体"/>
          <w:b w:val="0"/>
          <w:bCs/>
          <w:sz w:val="20"/>
          <w:szCs w:val="20"/>
        </w:rPr>
      </w:pPr>
      <w:bookmarkStart w:id="247" w:name="_Toc3743"/>
      <w:bookmarkStart w:id="248" w:name="_Toc240793057"/>
      <w:bookmarkStart w:id="249" w:name="_Toc20862"/>
      <w:r>
        <w:rPr>
          <w:rFonts w:hint="eastAsia" w:ascii="黑体" w:hAnsi="黑体" w:cs="黑体"/>
          <w:b w:val="0"/>
          <w:bCs/>
          <w:sz w:val="28"/>
          <w:szCs w:val="20"/>
        </w:rPr>
        <w:t>附表五</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洛阳市地质灾害防治分区表（区县）</w:t>
      </w:r>
      <w:bookmarkEnd w:id="247"/>
      <w:r>
        <w:rPr>
          <w:rFonts w:hint="eastAsia" w:ascii="黑体" w:hAnsi="黑体" w:cs="黑体"/>
          <w:b w:val="0"/>
          <w:bCs/>
          <w:sz w:val="28"/>
          <w:szCs w:val="20"/>
        </w:rPr>
        <w:t>——（隐患点+风险斜坡双控）</w:t>
      </w:r>
      <w:bookmarkEnd w:id="248"/>
      <w:bookmarkEnd w:id="249"/>
    </w:p>
    <w:tbl>
      <w:tblPr>
        <w:tblStyle w:val="32"/>
        <w:tblW w:w="14174" w:type="dxa"/>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Layout w:type="fixed"/>
        <w:tblCellMar>
          <w:top w:w="0" w:type="dxa"/>
          <w:left w:w="108" w:type="dxa"/>
          <w:bottom w:w="0" w:type="dxa"/>
          <w:right w:w="108" w:type="dxa"/>
        </w:tblCellMar>
      </w:tblPr>
      <w:tblGrid>
        <w:gridCol w:w="833"/>
        <w:gridCol w:w="833"/>
        <w:gridCol w:w="833"/>
        <w:gridCol w:w="833"/>
        <w:gridCol w:w="834"/>
        <w:gridCol w:w="834"/>
        <w:gridCol w:w="834"/>
        <w:gridCol w:w="834"/>
        <w:gridCol w:w="834"/>
        <w:gridCol w:w="834"/>
        <w:gridCol w:w="834"/>
        <w:gridCol w:w="834"/>
        <w:gridCol w:w="834"/>
        <w:gridCol w:w="834"/>
        <w:gridCol w:w="834"/>
        <w:gridCol w:w="834"/>
        <w:gridCol w:w="834"/>
      </w:tblGrid>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blHeader/>
          <w:jc w:val="center"/>
        </w:trPr>
        <w:tc>
          <w:tcPr>
            <w:tcW w:w="489" w:type="dxa"/>
            <w:vMerge w:val="restart"/>
            <w:tcBorders>
              <w:tl2br w:val="nil"/>
              <w:tr2bl w:val="nil"/>
            </w:tcBorders>
            <w:shd w:val="clear" w:color="auto" w:fill="auto"/>
            <w:vAlign w:val="center"/>
          </w:tcPr>
          <w:p>
            <w:pPr>
              <w:jc w:val="center"/>
              <w:rPr>
                <w:rFonts w:hint="eastAsia" w:ascii="Times New Roman" w:hAnsi="Times New Roman" w:eastAsia="宋体" w:cs="Times New Roman"/>
                <w:b/>
                <w:color w:val="000000"/>
                <w:sz w:val="16"/>
              </w:rPr>
            </w:pPr>
            <w:r>
              <w:rPr>
                <w:rFonts w:hint="eastAsia" w:ascii="Times New Roman" w:hAnsi="Times New Roman" w:eastAsia="宋体" w:cs="Times New Roman"/>
                <w:b/>
                <w:color w:val="000000"/>
                <w:sz w:val="16"/>
              </w:rPr>
              <w:t>地理</w:t>
            </w:r>
          </w:p>
          <w:p>
            <w:pPr>
              <w:jc w:val="center"/>
              <w:rPr>
                <w:b/>
              </w:rPr>
            </w:pPr>
            <w:r>
              <w:rPr>
                <w:rFonts w:hint="eastAsia" w:ascii="Times New Roman" w:hAnsi="Times New Roman" w:eastAsia="宋体" w:cs="Times New Roman"/>
                <w:b/>
                <w:color w:val="000000"/>
                <w:sz w:val="16"/>
              </w:rPr>
              <w:t>亚区</w:t>
            </w:r>
          </w:p>
        </w:tc>
        <w:tc>
          <w:tcPr>
            <w:tcW w:w="489" w:type="dxa"/>
            <w:vMerge w:val="restart"/>
            <w:tcBorders>
              <w:tl2br w:val="nil"/>
              <w:tr2bl w:val="nil"/>
            </w:tcBorders>
            <w:shd w:val="clear" w:color="auto" w:fill="auto"/>
            <w:vAlign w:val="center"/>
          </w:tcPr>
          <w:p>
            <w:pPr>
              <w:jc w:val="center"/>
              <w:rPr>
                <w:b/>
              </w:rPr>
            </w:pPr>
            <w:r>
              <w:rPr>
                <w:rFonts w:hint="eastAsia" w:ascii="Times New Roman" w:hAnsi="Times New Roman" w:eastAsia="宋体" w:cs="Times New Roman"/>
                <w:b/>
                <w:color w:val="000000"/>
                <w:sz w:val="16"/>
              </w:rPr>
              <w:t>区县</w:t>
            </w:r>
          </w:p>
          <w:p>
            <w:pPr>
              <w:jc w:val="center"/>
              <w:rPr>
                <w:b/>
              </w:rPr>
            </w:pPr>
          </w:p>
        </w:tc>
        <w:tc>
          <w:tcPr>
            <w:tcW w:w="2445" w:type="dxa"/>
            <w:gridSpan w:val="5"/>
            <w:tcBorders>
              <w:tl2br w:val="nil"/>
              <w:tr2bl w:val="nil"/>
            </w:tcBorders>
            <w:shd w:val="clear" w:color="auto" w:fill="auto"/>
            <w:vAlign w:val="center"/>
          </w:tcPr>
          <w:p>
            <w:pPr>
              <w:jc w:val="center"/>
              <w:rPr>
                <w:b/>
              </w:rPr>
            </w:pPr>
            <w:r>
              <w:rPr>
                <w:rFonts w:hint="eastAsia" w:ascii="宋体" w:hAnsi="宋体" w:eastAsia="宋体"/>
                <w:b/>
                <w:color w:val="000000"/>
                <w:sz w:val="16"/>
              </w:rPr>
              <w:t>重点防治区（Z）</w:t>
            </w:r>
          </w:p>
        </w:tc>
        <w:tc>
          <w:tcPr>
            <w:tcW w:w="2445" w:type="dxa"/>
            <w:gridSpan w:val="5"/>
            <w:tcBorders>
              <w:tl2br w:val="nil"/>
              <w:tr2bl w:val="nil"/>
            </w:tcBorders>
            <w:shd w:val="clear" w:color="auto" w:fill="auto"/>
            <w:vAlign w:val="center"/>
          </w:tcPr>
          <w:p>
            <w:pPr>
              <w:jc w:val="center"/>
              <w:rPr>
                <w:b/>
              </w:rPr>
            </w:pPr>
            <w:r>
              <w:rPr>
                <w:rFonts w:hint="eastAsia" w:ascii="宋体" w:hAnsi="宋体" w:eastAsia="宋体"/>
                <w:b/>
                <w:color w:val="000000"/>
                <w:sz w:val="16"/>
              </w:rPr>
              <w:t>次重点防治区（C）</w:t>
            </w:r>
          </w:p>
        </w:tc>
        <w:tc>
          <w:tcPr>
            <w:tcW w:w="2445" w:type="dxa"/>
            <w:gridSpan w:val="5"/>
            <w:tcBorders>
              <w:tl2br w:val="nil"/>
              <w:tr2bl w:val="nil"/>
            </w:tcBorders>
            <w:shd w:val="clear" w:color="auto" w:fill="auto"/>
            <w:vAlign w:val="center"/>
          </w:tcPr>
          <w:p>
            <w:pPr>
              <w:jc w:val="center"/>
              <w:rPr>
                <w:b/>
              </w:rPr>
            </w:pPr>
            <w:r>
              <w:rPr>
                <w:rFonts w:hint="eastAsia" w:ascii="宋体" w:hAnsi="宋体" w:eastAsia="宋体"/>
                <w:b/>
                <w:color w:val="000000"/>
                <w:sz w:val="16"/>
              </w:rPr>
              <w:t>一般防治区（Y）</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blHeader/>
          <w:jc w:val="center"/>
        </w:trPr>
        <w:tc>
          <w:tcPr>
            <w:tcW w:w="489" w:type="dxa"/>
            <w:vMerge w:val="continue"/>
            <w:tcBorders>
              <w:tl2br w:val="nil"/>
              <w:tr2bl w:val="nil"/>
            </w:tcBorders>
            <w:shd w:val="clear" w:color="auto" w:fill="auto"/>
            <w:vAlign w:val="center"/>
          </w:tcPr>
          <w:p>
            <w:pPr>
              <w:rPr>
                <w:color w:val="08090C"/>
              </w:rPr>
            </w:pPr>
          </w:p>
        </w:tc>
        <w:tc>
          <w:tcPr>
            <w:tcW w:w="489" w:type="dxa"/>
            <w:vMerge w:val="continue"/>
            <w:tcBorders>
              <w:tl2br w:val="nil"/>
              <w:tr2bl w:val="nil"/>
            </w:tcBorders>
            <w:shd w:val="clear" w:color="auto" w:fill="auto"/>
            <w:vAlign w:val="center"/>
          </w:tcPr>
          <w:p>
            <w:pPr>
              <w:rPr>
                <w:color w:val="08090C"/>
              </w:rPr>
            </w:pP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乡镇数</w:t>
            </w:r>
          </w:p>
        </w:tc>
        <w:tc>
          <w:tcPr>
            <w:tcW w:w="489" w:type="dxa"/>
            <w:tcBorders>
              <w:tl2br w:val="nil"/>
              <w:tr2bl w:val="nil"/>
            </w:tcBorders>
            <w:shd w:val="clear" w:color="auto" w:fill="auto"/>
            <w:vAlign w:val="center"/>
          </w:tcPr>
          <w:p>
            <w:pPr>
              <w:jc w:val="center"/>
              <w:rPr>
                <w:rFonts w:hint="eastAsia" w:ascii="Times New Roman" w:hAnsi="Times New Roman" w:eastAsia="宋体" w:cs="Times New Roman"/>
                <w:b/>
                <w:color w:val="000000"/>
                <w:sz w:val="16"/>
              </w:rPr>
            </w:pPr>
            <w:r>
              <w:rPr>
                <w:rFonts w:hint="eastAsia" w:ascii="Times New Roman" w:hAnsi="Times New Roman" w:eastAsia="宋体" w:cs="Times New Roman"/>
                <w:b/>
                <w:color w:val="000000"/>
                <w:sz w:val="16"/>
              </w:rPr>
              <w:t>面积</w:t>
            </w:r>
          </w:p>
          <w:p>
            <w:pPr>
              <w:jc w:val="center"/>
            </w:pPr>
            <w:r>
              <w:rPr>
                <w:rFonts w:hint="eastAsia" w:ascii="Times New Roman" w:hAnsi="Times New Roman" w:eastAsia="宋体" w:cs="Times New Roman"/>
                <w:b/>
                <w:color w:val="000000"/>
                <w:sz w:val="16"/>
              </w:rPr>
              <w:t>(km²)</w:t>
            </w: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受威胁人数</w:t>
            </w:r>
            <w:r>
              <w:br w:type="textWrapping"/>
            </w:r>
            <w:r>
              <w:rPr>
                <w:rFonts w:hint="eastAsia" w:ascii="Times New Roman" w:hAnsi="Times New Roman" w:eastAsia="宋体" w:cs="Times New Roman"/>
                <w:b/>
                <w:color w:val="000000"/>
                <w:sz w:val="16"/>
              </w:rPr>
              <w:t>(隐患点)(人)</w:t>
            </w:r>
          </w:p>
        </w:tc>
        <w:tc>
          <w:tcPr>
            <w:tcW w:w="489" w:type="dxa"/>
            <w:tcBorders>
              <w:tl2br w:val="nil"/>
              <w:tr2bl w:val="nil"/>
            </w:tcBorders>
            <w:shd w:val="clear" w:color="auto" w:fill="auto"/>
            <w:vAlign w:val="center"/>
          </w:tcPr>
          <w:p>
            <w:pPr>
              <w:jc w:val="center"/>
              <w:rPr>
                <w:rFonts w:hint="eastAsia" w:ascii="Times New Roman" w:hAnsi="Times New Roman" w:eastAsia="宋体" w:cs="Times New Roman"/>
                <w:b/>
                <w:color w:val="000000"/>
                <w:sz w:val="16"/>
              </w:rPr>
            </w:pPr>
            <w:r>
              <w:rPr>
                <w:rFonts w:hint="eastAsia" w:ascii="Times New Roman" w:hAnsi="Times New Roman" w:eastAsia="宋体" w:cs="Times New Roman"/>
                <w:b/>
                <w:color w:val="000000"/>
                <w:sz w:val="16"/>
              </w:rPr>
              <w:t>风险斜坡数</w:t>
            </w:r>
          </w:p>
          <w:p>
            <w:pPr>
              <w:jc w:val="center"/>
            </w:pPr>
            <w:r>
              <w:rPr>
                <w:rFonts w:hint="eastAsia" w:ascii="Times New Roman" w:hAnsi="Times New Roman" w:eastAsia="宋体" w:cs="Times New Roman"/>
                <w:b/>
                <w:color w:val="000000"/>
                <w:sz w:val="16"/>
              </w:rPr>
              <w:t>(处)</w:t>
            </w: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风险斜坡潜在</w:t>
            </w:r>
            <w:r>
              <w:br w:type="textWrapping"/>
            </w:r>
            <w:r>
              <w:rPr>
                <w:rFonts w:hint="eastAsia" w:ascii="Times New Roman" w:hAnsi="Times New Roman" w:eastAsia="宋体" w:cs="Times New Roman"/>
                <w:b/>
                <w:color w:val="000000"/>
                <w:sz w:val="16"/>
              </w:rPr>
              <w:t>威胁人数(人)</w:t>
            </w: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乡镇数</w:t>
            </w:r>
          </w:p>
        </w:tc>
        <w:tc>
          <w:tcPr>
            <w:tcW w:w="489" w:type="dxa"/>
            <w:tcBorders>
              <w:tl2br w:val="nil"/>
              <w:tr2bl w:val="nil"/>
            </w:tcBorders>
            <w:shd w:val="clear" w:color="auto" w:fill="auto"/>
            <w:vAlign w:val="center"/>
          </w:tcPr>
          <w:p>
            <w:pPr>
              <w:jc w:val="center"/>
              <w:rPr>
                <w:rFonts w:hint="eastAsia" w:ascii="Times New Roman" w:hAnsi="Times New Roman" w:eastAsia="宋体" w:cs="Times New Roman"/>
                <w:b/>
                <w:color w:val="000000"/>
                <w:sz w:val="16"/>
              </w:rPr>
            </w:pPr>
            <w:r>
              <w:rPr>
                <w:rFonts w:hint="eastAsia" w:ascii="Times New Roman" w:hAnsi="Times New Roman" w:eastAsia="宋体" w:cs="Times New Roman"/>
                <w:b/>
                <w:color w:val="000000"/>
                <w:sz w:val="16"/>
              </w:rPr>
              <w:t>面积</w:t>
            </w:r>
          </w:p>
          <w:p>
            <w:pPr>
              <w:jc w:val="center"/>
            </w:pPr>
            <w:r>
              <w:rPr>
                <w:rFonts w:hint="eastAsia" w:ascii="Times New Roman" w:hAnsi="Times New Roman" w:eastAsia="宋体" w:cs="Times New Roman"/>
                <w:b/>
                <w:color w:val="000000"/>
                <w:sz w:val="16"/>
              </w:rPr>
              <w:t>(km²)</w:t>
            </w: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受威胁人数</w:t>
            </w:r>
            <w:r>
              <w:br w:type="textWrapping"/>
            </w:r>
            <w:r>
              <w:rPr>
                <w:rFonts w:hint="eastAsia" w:ascii="Times New Roman" w:hAnsi="Times New Roman" w:eastAsia="宋体" w:cs="Times New Roman"/>
                <w:b/>
                <w:color w:val="000000"/>
                <w:sz w:val="16"/>
              </w:rPr>
              <w:t>(隐患点)(人)</w:t>
            </w:r>
          </w:p>
        </w:tc>
        <w:tc>
          <w:tcPr>
            <w:tcW w:w="489" w:type="dxa"/>
            <w:tcBorders>
              <w:tl2br w:val="nil"/>
              <w:tr2bl w:val="nil"/>
            </w:tcBorders>
            <w:shd w:val="clear" w:color="auto" w:fill="auto"/>
            <w:vAlign w:val="center"/>
          </w:tcPr>
          <w:p>
            <w:pPr>
              <w:jc w:val="center"/>
              <w:rPr>
                <w:rFonts w:hint="eastAsia" w:ascii="Times New Roman" w:hAnsi="Times New Roman" w:eastAsia="宋体" w:cs="Times New Roman"/>
                <w:b/>
                <w:color w:val="000000"/>
                <w:sz w:val="16"/>
              </w:rPr>
            </w:pPr>
            <w:r>
              <w:rPr>
                <w:rFonts w:hint="eastAsia" w:ascii="Times New Roman" w:hAnsi="Times New Roman" w:eastAsia="宋体" w:cs="Times New Roman"/>
                <w:b/>
                <w:color w:val="000000"/>
                <w:sz w:val="16"/>
              </w:rPr>
              <w:t>风险斜坡数</w:t>
            </w:r>
          </w:p>
          <w:p>
            <w:pPr>
              <w:jc w:val="center"/>
            </w:pPr>
            <w:r>
              <w:rPr>
                <w:rFonts w:hint="eastAsia" w:ascii="Times New Roman" w:hAnsi="Times New Roman" w:eastAsia="宋体" w:cs="Times New Roman"/>
                <w:b/>
                <w:color w:val="000000"/>
                <w:sz w:val="16"/>
              </w:rPr>
              <w:t>(处)</w:t>
            </w: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风险斜坡潜在</w:t>
            </w:r>
            <w:r>
              <w:br w:type="textWrapping"/>
            </w:r>
            <w:r>
              <w:rPr>
                <w:rFonts w:hint="eastAsia" w:ascii="Times New Roman" w:hAnsi="Times New Roman" w:eastAsia="宋体" w:cs="Times New Roman"/>
                <w:b/>
                <w:color w:val="000000"/>
                <w:sz w:val="16"/>
              </w:rPr>
              <w:t>威胁人数(人)</w:t>
            </w: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乡镇数</w:t>
            </w:r>
          </w:p>
        </w:tc>
        <w:tc>
          <w:tcPr>
            <w:tcW w:w="489" w:type="dxa"/>
            <w:tcBorders>
              <w:tl2br w:val="nil"/>
              <w:tr2bl w:val="nil"/>
            </w:tcBorders>
            <w:shd w:val="clear" w:color="auto" w:fill="auto"/>
            <w:vAlign w:val="center"/>
          </w:tcPr>
          <w:p>
            <w:pPr>
              <w:jc w:val="center"/>
              <w:rPr>
                <w:rFonts w:hint="eastAsia" w:ascii="Times New Roman" w:hAnsi="Times New Roman" w:eastAsia="宋体" w:cs="Times New Roman"/>
                <w:b/>
                <w:color w:val="000000"/>
                <w:sz w:val="16"/>
              </w:rPr>
            </w:pPr>
            <w:r>
              <w:rPr>
                <w:rFonts w:hint="eastAsia" w:ascii="Times New Roman" w:hAnsi="Times New Roman" w:eastAsia="宋体" w:cs="Times New Roman"/>
                <w:b/>
                <w:color w:val="000000"/>
                <w:sz w:val="16"/>
              </w:rPr>
              <w:t>面积</w:t>
            </w:r>
          </w:p>
          <w:p>
            <w:pPr>
              <w:jc w:val="center"/>
            </w:pPr>
            <w:r>
              <w:rPr>
                <w:rFonts w:hint="eastAsia" w:ascii="Times New Roman" w:hAnsi="Times New Roman" w:eastAsia="宋体" w:cs="Times New Roman"/>
                <w:b/>
                <w:color w:val="000000"/>
                <w:sz w:val="16"/>
              </w:rPr>
              <w:t>(km²)</w:t>
            </w: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受威胁人数</w:t>
            </w:r>
            <w:r>
              <w:br w:type="textWrapping"/>
            </w:r>
            <w:r>
              <w:rPr>
                <w:rFonts w:hint="eastAsia" w:ascii="Times New Roman" w:hAnsi="Times New Roman" w:eastAsia="宋体" w:cs="Times New Roman"/>
                <w:b/>
                <w:color w:val="000000"/>
                <w:sz w:val="16"/>
              </w:rPr>
              <w:t>(隐患点)(人)</w:t>
            </w: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风险斜坡</w:t>
            </w:r>
            <w:r>
              <w:br w:type="textWrapping"/>
            </w:r>
            <w:r>
              <w:rPr>
                <w:rFonts w:hint="eastAsia" w:ascii="Times New Roman" w:hAnsi="Times New Roman" w:eastAsia="宋体" w:cs="Times New Roman"/>
                <w:b/>
                <w:color w:val="000000"/>
                <w:sz w:val="16"/>
              </w:rPr>
              <w:t>数(处)</w:t>
            </w:r>
          </w:p>
        </w:tc>
        <w:tc>
          <w:tcPr>
            <w:tcW w:w="489" w:type="dxa"/>
            <w:tcBorders>
              <w:tl2br w:val="nil"/>
              <w:tr2bl w:val="nil"/>
            </w:tcBorders>
            <w:shd w:val="clear" w:color="auto" w:fill="auto"/>
            <w:vAlign w:val="center"/>
          </w:tcPr>
          <w:p>
            <w:pPr>
              <w:jc w:val="center"/>
            </w:pPr>
            <w:r>
              <w:rPr>
                <w:rFonts w:hint="eastAsia" w:ascii="Times New Roman" w:hAnsi="Times New Roman" w:eastAsia="宋体" w:cs="Times New Roman"/>
                <w:b/>
                <w:color w:val="000000"/>
                <w:sz w:val="16"/>
              </w:rPr>
              <w:t>风险斜坡潜在</w:t>
            </w:r>
            <w:r>
              <w:br w:type="textWrapping"/>
            </w:r>
            <w:r>
              <w:rPr>
                <w:rFonts w:hint="eastAsia" w:ascii="Times New Roman" w:hAnsi="Times New Roman" w:eastAsia="宋体" w:cs="Times New Roman"/>
                <w:b/>
                <w:color w:val="000000"/>
                <w:sz w:val="16"/>
              </w:rPr>
              <w:t>威胁人数(人)</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489" w:type="dxa"/>
            <w:tcBorders>
              <w:tl2br w:val="nil"/>
              <w:tr2bl w:val="nil"/>
            </w:tcBorders>
            <w:shd w:val="clear" w:color="auto" w:fill="auto"/>
            <w:vAlign w:val="center"/>
          </w:tcPr>
          <w:p>
            <w:pPr>
              <w:jc w:val="left"/>
            </w:pPr>
            <w:r>
              <w:rPr>
                <w:rFonts w:ascii="宋体" w:hAnsi="宋体" w:eastAsia="宋体"/>
                <w:color w:val="000000"/>
                <w:sz w:val="16"/>
              </w:rPr>
              <w:t>黄河中游黄土丘陵、嵩山、豫西山区</w:t>
            </w:r>
          </w:p>
        </w:tc>
        <w:tc>
          <w:tcPr>
            <w:tcW w:w="489" w:type="dxa"/>
            <w:tcBorders>
              <w:tl2br w:val="nil"/>
              <w:tr2bl w:val="nil"/>
            </w:tcBorders>
            <w:shd w:val="clear" w:color="auto" w:fill="auto"/>
            <w:vAlign w:val="center"/>
          </w:tcPr>
          <w:p>
            <w:pPr>
              <w:jc w:val="center"/>
            </w:pPr>
            <w:r>
              <w:rPr>
                <w:rFonts w:ascii="宋体" w:hAnsi="宋体" w:eastAsia="宋体"/>
                <w:color w:val="000000"/>
                <w:sz w:val="16"/>
              </w:rPr>
              <w:t>伊川县</w:t>
            </w:r>
          </w:p>
        </w:tc>
        <w:tc>
          <w:tcPr>
            <w:tcW w:w="489" w:type="dxa"/>
            <w:tcBorders>
              <w:tl2br w:val="nil"/>
              <w:tr2bl w:val="nil"/>
            </w:tcBorders>
            <w:shd w:val="clear" w:color="auto" w:fill="auto"/>
            <w:vAlign w:val="center"/>
          </w:tcPr>
          <w:p>
            <w:pPr>
              <w:jc w:val="center"/>
            </w:pPr>
            <w:r>
              <w:rPr>
                <w:rFonts w:ascii="宋体" w:hAnsi="宋体" w:eastAsia="宋体"/>
                <w:color w:val="000000"/>
                <w:sz w:val="16"/>
              </w:rPr>
              <w:t>6</w:t>
            </w:r>
          </w:p>
        </w:tc>
        <w:tc>
          <w:tcPr>
            <w:tcW w:w="489" w:type="dxa"/>
            <w:tcBorders>
              <w:tl2br w:val="nil"/>
              <w:tr2bl w:val="nil"/>
            </w:tcBorders>
            <w:shd w:val="clear" w:color="auto" w:fill="auto"/>
            <w:vAlign w:val="center"/>
          </w:tcPr>
          <w:p>
            <w:pPr>
              <w:jc w:val="center"/>
            </w:pPr>
            <w:r>
              <w:rPr>
                <w:rFonts w:ascii="宋体" w:hAnsi="宋体" w:eastAsia="宋体"/>
                <w:color w:val="000000"/>
                <w:sz w:val="16"/>
              </w:rPr>
              <w:t>75.86</w:t>
            </w:r>
          </w:p>
        </w:tc>
        <w:tc>
          <w:tcPr>
            <w:tcW w:w="489" w:type="dxa"/>
            <w:tcBorders>
              <w:tl2br w:val="nil"/>
              <w:tr2bl w:val="nil"/>
            </w:tcBorders>
            <w:shd w:val="clear" w:color="auto" w:fill="auto"/>
            <w:vAlign w:val="center"/>
          </w:tcPr>
          <w:p>
            <w:pPr>
              <w:jc w:val="center"/>
            </w:pPr>
            <w:r>
              <w:rPr>
                <w:rFonts w:ascii="宋体" w:hAnsi="宋体" w:eastAsia="宋体"/>
                <w:color w:val="000000"/>
                <w:sz w:val="16"/>
              </w:rPr>
              <w:t>210</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9</w:t>
            </w:r>
          </w:p>
        </w:tc>
        <w:tc>
          <w:tcPr>
            <w:tcW w:w="489" w:type="dxa"/>
            <w:tcBorders>
              <w:tl2br w:val="nil"/>
              <w:tr2bl w:val="nil"/>
            </w:tcBorders>
            <w:shd w:val="clear" w:color="auto" w:fill="auto"/>
            <w:vAlign w:val="center"/>
          </w:tcPr>
          <w:p>
            <w:pPr>
              <w:jc w:val="center"/>
            </w:pPr>
            <w:r>
              <w:rPr>
                <w:rFonts w:ascii="宋体" w:hAnsi="宋体" w:eastAsia="宋体"/>
                <w:color w:val="000000"/>
                <w:sz w:val="16"/>
              </w:rPr>
              <w:t>392.25</w:t>
            </w:r>
          </w:p>
        </w:tc>
        <w:tc>
          <w:tcPr>
            <w:tcW w:w="489" w:type="dxa"/>
            <w:tcBorders>
              <w:tl2br w:val="nil"/>
              <w:tr2bl w:val="nil"/>
            </w:tcBorders>
            <w:shd w:val="clear" w:color="auto" w:fill="auto"/>
            <w:vAlign w:val="center"/>
          </w:tcPr>
          <w:p>
            <w:pPr>
              <w:jc w:val="center"/>
            </w:pPr>
            <w:r>
              <w:rPr>
                <w:rFonts w:ascii="宋体" w:hAnsi="宋体" w:eastAsia="宋体"/>
                <w:color w:val="000000"/>
                <w:sz w:val="16"/>
              </w:rPr>
              <w:t>1017</w:t>
            </w:r>
          </w:p>
        </w:tc>
        <w:tc>
          <w:tcPr>
            <w:tcW w:w="489" w:type="dxa"/>
            <w:tcBorders>
              <w:tl2br w:val="nil"/>
              <w:tr2bl w:val="nil"/>
            </w:tcBorders>
            <w:shd w:val="clear" w:color="auto" w:fill="auto"/>
            <w:vAlign w:val="center"/>
          </w:tcPr>
          <w:p>
            <w:pPr>
              <w:jc w:val="center"/>
            </w:pPr>
            <w:r>
              <w:rPr>
                <w:rFonts w:ascii="宋体" w:hAnsi="宋体" w:eastAsia="宋体"/>
                <w:color w:val="000000"/>
                <w:sz w:val="16"/>
              </w:rPr>
              <w:t>79</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591.82</w:t>
            </w:r>
          </w:p>
        </w:tc>
        <w:tc>
          <w:tcPr>
            <w:tcW w:w="489" w:type="dxa"/>
            <w:tcBorders>
              <w:tl2br w:val="nil"/>
              <w:tr2bl w:val="nil"/>
            </w:tcBorders>
            <w:shd w:val="clear" w:color="auto" w:fill="auto"/>
            <w:vAlign w:val="center"/>
          </w:tcPr>
          <w:p>
            <w:pPr>
              <w:jc w:val="center"/>
            </w:pPr>
            <w:r>
              <w:rPr>
                <w:rFonts w:ascii="宋体" w:hAnsi="宋体" w:eastAsia="宋体"/>
                <w:color w:val="000000"/>
                <w:sz w:val="16"/>
              </w:rPr>
              <w:t>607</w:t>
            </w:r>
          </w:p>
        </w:tc>
        <w:tc>
          <w:tcPr>
            <w:tcW w:w="489" w:type="dxa"/>
            <w:tcBorders>
              <w:tl2br w:val="nil"/>
              <w:tr2bl w:val="nil"/>
            </w:tcBorders>
            <w:shd w:val="clear" w:color="auto" w:fill="auto"/>
            <w:vAlign w:val="center"/>
          </w:tcPr>
          <w:p>
            <w:pPr>
              <w:jc w:val="center"/>
            </w:pPr>
            <w:r>
              <w:rPr>
                <w:rFonts w:ascii="宋体" w:hAnsi="宋体" w:eastAsia="宋体"/>
                <w:color w:val="000000"/>
                <w:sz w:val="16"/>
              </w:rPr>
              <w:t>45</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489" w:type="dxa"/>
            <w:tcBorders>
              <w:tl2br w:val="nil"/>
              <w:tr2bl w:val="nil"/>
            </w:tcBorders>
            <w:shd w:val="clear" w:color="auto" w:fill="auto"/>
            <w:vAlign w:val="center"/>
          </w:tcPr>
          <w:p>
            <w:pPr>
              <w:jc w:val="left"/>
            </w:pPr>
            <w:r>
              <w:rPr>
                <w:rFonts w:ascii="宋体" w:hAnsi="宋体" w:eastAsia="宋体"/>
                <w:color w:val="000000"/>
                <w:sz w:val="16"/>
              </w:rPr>
              <w:t>黄河中游黄土丘陵、嵩山</w:t>
            </w:r>
          </w:p>
        </w:tc>
        <w:tc>
          <w:tcPr>
            <w:tcW w:w="489" w:type="dxa"/>
            <w:tcBorders>
              <w:tl2br w:val="nil"/>
              <w:tr2bl w:val="nil"/>
            </w:tcBorders>
            <w:shd w:val="clear" w:color="auto" w:fill="auto"/>
            <w:vAlign w:val="center"/>
          </w:tcPr>
          <w:p>
            <w:pPr>
              <w:jc w:val="center"/>
            </w:pPr>
            <w:r>
              <w:rPr>
                <w:rFonts w:ascii="宋体" w:hAnsi="宋体" w:eastAsia="宋体"/>
                <w:color w:val="000000"/>
                <w:sz w:val="16"/>
              </w:rPr>
              <w:t>偃师区</w:t>
            </w:r>
          </w:p>
        </w:tc>
        <w:tc>
          <w:tcPr>
            <w:tcW w:w="489" w:type="dxa"/>
            <w:tcBorders>
              <w:tl2br w:val="nil"/>
              <w:tr2bl w:val="nil"/>
            </w:tcBorders>
            <w:shd w:val="clear" w:color="auto" w:fill="auto"/>
            <w:vAlign w:val="center"/>
          </w:tcPr>
          <w:p>
            <w:pPr>
              <w:jc w:val="center"/>
            </w:pPr>
            <w:r>
              <w:rPr>
                <w:rFonts w:ascii="宋体" w:hAnsi="宋体" w:eastAsia="宋体"/>
                <w:color w:val="000000"/>
                <w:sz w:val="16"/>
              </w:rPr>
              <w:t>4</w:t>
            </w:r>
          </w:p>
        </w:tc>
        <w:tc>
          <w:tcPr>
            <w:tcW w:w="489" w:type="dxa"/>
            <w:tcBorders>
              <w:tl2br w:val="nil"/>
              <w:tr2bl w:val="nil"/>
            </w:tcBorders>
            <w:shd w:val="clear" w:color="auto" w:fill="auto"/>
            <w:vAlign w:val="center"/>
          </w:tcPr>
          <w:p>
            <w:pPr>
              <w:jc w:val="center"/>
            </w:pPr>
            <w:r>
              <w:rPr>
                <w:rFonts w:ascii="宋体" w:hAnsi="宋体" w:eastAsia="宋体"/>
                <w:color w:val="000000"/>
                <w:sz w:val="16"/>
              </w:rPr>
              <w:t>129.28</w:t>
            </w:r>
          </w:p>
        </w:tc>
        <w:tc>
          <w:tcPr>
            <w:tcW w:w="489" w:type="dxa"/>
            <w:tcBorders>
              <w:tl2br w:val="nil"/>
              <w:tr2bl w:val="nil"/>
            </w:tcBorders>
            <w:shd w:val="clear" w:color="auto" w:fill="auto"/>
            <w:vAlign w:val="center"/>
          </w:tcPr>
          <w:p>
            <w:pPr>
              <w:jc w:val="center"/>
            </w:pPr>
            <w:r>
              <w:rPr>
                <w:rFonts w:ascii="宋体" w:hAnsi="宋体" w:eastAsia="宋体"/>
                <w:color w:val="000000"/>
                <w:sz w:val="16"/>
              </w:rPr>
              <w:t>591</w:t>
            </w:r>
          </w:p>
        </w:tc>
        <w:tc>
          <w:tcPr>
            <w:tcW w:w="489" w:type="dxa"/>
            <w:tcBorders>
              <w:tl2br w:val="nil"/>
              <w:tr2bl w:val="nil"/>
            </w:tcBorders>
            <w:shd w:val="clear" w:color="auto" w:fill="auto"/>
            <w:vAlign w:val="center"/>
          </w:tcPr>
          <w:p>
            <w:pPr>
              <w:jc w:val="center"/>
            </w:pPr>
            <w:r>
              <w:rPr>
                <w:rFonts w:ascii="宋体" w:hAnsi="宋体" w:eastAsia="宋体"/>
                <w:color w:val="000000"/>
                <w:sz w:val="16"/>
              </w:rPr>
              <w:t>1</w:t>
            </w:r>
          </w:p>
        </w:tc>
        <w:tc>
          <w:tcPr>
            <w:tcW w:w="489" w:type="dxa"/>
            <w:tcBorders>
              <w:tl2br w:val="nil"/>
              <w:tr2bl w:val="nil"/>
            </w:tcBorders>
            <w:shd w:val="clear" w:color="auto" w:fill="auto"/>
            <w:vAlign w:val="center"/>
          </w:tcPr>
          <w:p>
            <w:pPr>
              <w:jc w:val="center"/>
            </w:pPr>
            <w:r>
              <w:rPr>
                <w:rFonts w:ascii="宋体" w:hAnsi="宋体" w:eastAsia="宋体"/>
                <w:color w:val="000000"/>
                <w:sz w:val="16"/>
              </w:rPr>
              <w:t>6958</w:t>
            </w:r>
          </w:p>
        </w:tc>
        <w:tc>
          <w:tcPr>
            <w:tcW w:w="489" w:type="dxa"/>
            <w:tcBorders>
              <w:tl2br w:val="nil"/>
              <w:tr2bl w:val="nil"/>
            </w:tcBorders>
            <w:shd w:val="clear" w:color="auto" w:fill="auto"/>
            <w:vAlign w:val="center"/>
          </w:tcPr>
          <w:p>
            <w:pPr>
              <w:jc w:val="center"/>
            </w:pPr>
            <w:r>
              <w:rPr>
                <w:rFonts w:ascii="宋体" w:hAnsi="宋体" w:eastAsia="宋体"/>
                <w:color w:val="000000"/>
                <w:sz w:val="16"/>
              </w:rPr>
              <w:t>4</w:t>
            </w:r>
          </w:p>
        </w:tc>
        <w:tc>
          <w:tcPr>
            <w:tcW w:w="489" w:type="dxa"/>
            <w:tcBorders>
              <w:tl2br w:val="nil"/>
              <w:tr2bl w:val="nil"/>
            </w:tcBorders>
            <w:shd w:val="clear" w:color="auto" w:fill="auto"/>
            <w:vAlign w:val="center"/>
          </w:tcPr>
          <w:p>
            <w:pPr>
              <w:jc w:val="center"/>
            </w:pPr>
            <w:r>
              <w:rPr>
                <w:rFonts w:ascii="宋体" w:hAnsi="宋体" w:eastAsia="宋体"/>
                <w:color w:val="000000"/>
                <w:sz w:val="16"/>
              </w:rPr>
              <w:t>25.22</w:t>
            </w:r>
          </w:p>
        </w:tc>
        <w:tc>
          <w:tcPr>
            <w:tcW w:w="489" w:type="dxa"/>
            <w:tcBorders>
              <w:tl2br w:val="nil"/>
              <w:tr2bl w:val="nil"/>
            </w:tcBorders>
            <w:shd w:val="clear" w:color="auto" w:fill="auto"/>
            <w:vAlign w:val="center"/>
          </w:tcPr>
          <w:p>
            <w:pPr>
              <w:jc w:val="center"/>
            </w:pPr>
            <w:r>
              <w:rPr>
                <w:rFonts w:ascii="宋体" w:hAnsi="宋体" w:eastAsia="宋体"/>
                <w:color w:val="000000"/>
                <w:sz w:val="16"/>
              </w:rPr>
              <w:t>27</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5</w:t>
            </w:r>
          </w:p>
        </w:tc>
        <w:tc>
          <w:tcPr>
            <w:tcW w:w="489" w:type="dxa"/>
            <w:tcBorders>
              <w:tl2br w:val="nil"/>
              <w:tr2bl w:val="nil"/>
            </w:tcBorders>
            <w:shd w:val="clear" w:color="auto" w:fill="auto"/>
            <w:vAlign w:val="center"/>
          </w:tcPr>
          <w:p>
            <w:pPr>
              <w:jc w:val="center"/>
            </w:pPr>
            <w:r>
              <w:rPr>
                <w:rFonts w:ascii="宋体" w:hAnsi="宋体" w:eastAsia="宋体"/>
                <w:color w:val="000000"/>
                <w:sz w:val="16"/>
              </w:rPr>
              <w:t>511.39</w:t>
            </w:r>
          </w:p>
        </w:tc>
        <w:tc>
          <w:tcPr>
            <w:tcW w:w="489" w:type="dxa"/>
            <w:tcBorders>
              <w:tl2br w:val="nil"/>
              <w:tr2bl w:val="nil"/>
            </w:tcBorders>
            <w:shd w:val="clear" w:color="auto" w:fill="auto"/>
            <w:vAlign w:val="center"/>
          </w:tcPr>
          <w:p>
            <w:pPr>
              <w:jc w:val="center"/>
            </w:pPr>
            <w:r>
              <w:rPr>
                <w:rFonts w:ascii="宋体" w:hAnsi="宋体" w:eastAsia="宋体"/>
                <w:color w:val="000000"/>
                <w:sz w:val="16"/>
              </w:rPr>
              <w:t>1292</w:t>
            </w:r>
          </w:p>
        </w:tc>
        <w:tc>
          <w:tcPr>
            <w:tcW w:w="489" w:type="dxa"/>
            <w:tcBorders>
              <w:tl2br w:val="nil"/>
              <w:tr2bl w:val="nil"/>
            </w:tcBorders>
            <w:shd w:val="clear" w:color="auto" w:fill="auto"/>
            <w:vAlign w:val="center"/>
          </w:tcPr>
          <w:p>
            <w:pPr>
              <w:jc w:val="center"/>
            </w:pPr>
            <w:r>
              <w:rPr>
                <w:rFonts w:ascii="宋体" w:hAnsi="宋体" w:eastAsia="宋体"/>
                <w:color w:val="000000"/>
                <w:sz w:val="16"/>
              </w:rPr>
              <w:t>14</w:t>
            </w:r>
          </w:p>
        </w:tc>
        <w:tc>
          <w:tcPr>
            <w:tcW w:w="489" w:type="dxa"/>
            <w:tcBorders>
              <w:tl2br w:val="nil"/>
              <w:tr2bl w:val="nil"/>
            </w:tcBorders>
            <w:shd w:val="clear" w:color="auto" w:fill="auto"/>
            <w:vAlign w:val="center"/>
          </w:tcPr>
          <w:p>
            <w:pPr>
              <w:jc w:val="center"/>
            </w:pPr>
            <w:r>
              <w:rPr>
                <w:rFonts w:ascii="宋体" w:hAnsi="宋体" w:eastAsia="宋体"/>
                <w:color w:val="000000"/>
                <w:sz w:val="16"/>
              </w:rPr>
              <w:t>61364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489" w:type="dxa"/>
            <w:tcBorders>
              <w:tl2br w:val="nil"/>
              <w:tr2bl w:val="nil"/>
            </w:tcBorders>
            <w:shd w:val="clear" w:color="auto" w:fill="auto"/>
            <w:vAlign w:val="center"/>
          </w:tcPr>
          <w:p>
            <w:pPr>
              <w:jc w:val="center"/>
            </w:pPr>
            <w:r>
              <w:rPr>
                <w:rFonts w:ascii="宋体" w:hAnsi="宋体" w:eastAsia="宋体"/>
                <w:color w:val="000000"/>
                <w:sz w:val="16"/>
              </w:rPr>
              <w:t>黄河中游黄土丘陵</w:t>
            </w:r>
          </w:p>
        </w:tc>
        <w:tc>
          <w:tcPr>
            <w:tcW w:w="489" w:type="dxa"/>
            <w:tcBorders>
              <w:tl2br w:val="nil"/>
              <w:tr2bl w:val="nil"/>
            </w:tcBorders>
            <w:shd w:val="clear" w:color="auto" w:fill="auto"/>
            <w:vAlign w:val="center"/>
          </w:tcPr>
          <w:p>
            <w:pPr>
              <w:jc w:val="center"/>
            </w:pPr>
            <w:r>
              <w:rPr>
                <w:rFonts w:ascii="宋体" w:hAnsi="宋体" w:eastAsia="宋体"/>
                <w:color w:val="000000"/>
                <w:sz w:val="16"/>
              </w:rPr>
              <w:t>孟津区</w:t>
            </w:r>
          </w:p>
        </w:tc>
        <w:tc>
          <w:tcPr>
            <w:tcW w:w="489" w:type="dxa"/>
            <w:tcBorders>
              <w:tl2br w:val="nil"/>
              <w:tr2bl w:val="nil"/>
            </w:tcBorders>
            <w:shd w:val="clear" w:color="auto" w:fill="auto"/>
            <w:vAlign w:val="center"/>
          </w:tcPr>
          <w:p>
            <w:pPr>
              <w:jc w:val="center"/>
            </w:pPr>
            <w:r>
              <w:rPr>
                <w:rFonts w:ascii="宋体" w:hAnsi="宋体" w:eastAsia="宋体"/>
                <w:color w:val="000000"/>
                <w:sz w:val="16"/>
              </w:rPr>
              <w:t>4</w:t>
            </w:r>
          </w:p>
        </w:tc>
        <w:tc>
          <w:tcPr>
            <w:tcW w:w="489" w:type="dxa"/>
            <w:tcBorders>
              <w:tl2br w:val="nil"/>
              <w:tr2bl w:val="nil"/>
            </w:tcBorders>
            <w:shd w:val="clear" w:color="auto" w:fill="auto"/>
            <w:vAlign w:val="center"/>
          </w:tcPr>
          <w:p>
            <w:pPr>
              <w:jc w:val="center"/>
            </w:pPr>
            <w:r>
              <w:rPr>
                <w:rFonts w:ascii="宋体" w:hAnsi="宋体" w:eastAsia="宋体"/>
                <w:color w:val="000000"/>
                <w:sz w:val="16"/>
              </w:rPr>
              <w:t>77.76</w:t>
            </w:r>
          </w:p>
        </w:tc>
        <w:tc>
          <w:tcPr>
            <w:tcW w:w="489" w:type="dxa"/>
            <w:tcBorders>
              <w:tl2br w:val="nil"/>
              <w:tr2bl w:val="nil"/>
            </w:tcBorders>
            <w:shd w:val="clear" w:color="auto" w:fill="auto"/>
            <w:vAlign w:val="center"/>
          </w:tcPr>
          <w:p>
            <w:pPr>
              <w:jc w:val="center"/>
            </w:pPr>
            <w:r>
              <w:rPr>
                <w:rFonts w:ascii="宋体" w:hAnsi="宋体" w:eastAsia="宋体"/>
                <w:color w:val="000000"/>
                <w:sz w:val="16"/>
              </w:rPr>
              <w:t>37</w:t>
            </w:r>
          </w:p>
        </w:tc>
        <w:tc>
          <w:tcPr>
            <w:tcW w:w="489" w:type="dxa"/>
            <w:tcBorders>
              <w:tl2br w:val="nil"/>
              <w:tr2bl w:val="nil"/>
            </w:tcBorders>
            <w:shd w:val="clear" w:color="auto" w:fill="auto"/>
            <w:vAlign w:val="center"/>
          </w:tcPr>
          <w:p>
            <w:pPr>
              <w:jc w:val="center"/>
            </w:pPr>
            <w:r>
              <w:rPr>
                <w:rFonts w:ascii="宋体" w:hAnsi="宋体" w:eastAsia="宋体"/>
                <w:color w:val="000000"/>
                <w:sz w:val="16"/>
              </w:rPr>
              <w:t>18</w:t>
            </w:r>
          </w:p>
        </w:tc>
        <w:tc>
          <w:tcPr>
            <w:tcW w:w="489" w:type="dxa"/>
            <w:tcBorders>
              <w:tl2br w:val="nil"/>
              <w:tr2bl w:val="nil"/>
            </w:tcBorders>
            <w:shd w:val="clear" w:color="auto" w:fill="auto"/>
            <w:vAlign w:val="center"/>
          </w:tcPr>
          <w:p>
            <w:pPr>
              <w:jc w:val="center"/>
            </w:pPr>
            <w:r>
              <w:rPr>
                <w:rFonts w:ascii="宋体" w:hAnsi="宋体" w:eastAsia="宋体"/>
                <w:color w:val="000000"/>
                <w:sz w:val="16"/>
              </w:rPr>
              <w:t>2517</w:t>
            </w:r>
          </w:p>
        </w:tc>
        <w:tc>
          <w:tcPr>
            <w:tcW w:w="489" w:type="dxa"/>
            <w:tcBorders>
              <w:tl2br w:val="nil"/>
              <w:tr2bl w:val="nil"/>
            </w:tcBorders>
            <w:shd w:val="clear" w:color="auto" w:fill="auto"/>
            <w:vAlign w:val="center"/>
          </w:tcPr>
          <w:p>
            <w:pPr>
              <w:jc w:val="center"/>
            </w:pPr>
            <w:r>
              <w:rPr>
                <w:rFonts w:ascii="宋体" w:hAnsi="宋体" w:eastAsia="宋体"/>
                <w:color w:val="000000"/>
                <w:sz w:val="16"/>
              </w:rPr>
              <w:t>7</w:t>
            </w:r>
          </w:p>
        </w:tc>
        <w:tc>
          <w:tcPr>
            <w:tcW w:w="489" w:type="dxa"/>
            <w:tcBorders>
              <w:tl2br w:val="nil"/>
              <w:tr2bl w:val="nil"/>
            </w:tcBorders>
            <w:shd w:val="clear" w:color="auto" w:fill="auto"/>
            <w:vAlign w:val="center"/>
          </w:tcPr>
          <w:p>
            <w:pPr>
              <w:jc w:val="center"/>
            </w:pPr>
            <w:r>
              <w:rPr>
                <w:rFonts w:ascii="宋体" w:hAnsi="宋体" w:eastAsia="宋体"/>
                <w:color w:val="000000"/>
                <w:sz w:val="16"/>
              </w:rPr>
              <w:t>15.19</w:t>
            </w:r>
          </w:p>
        </w:tc>
        <w:tc>
          <w:tcPr>
            <w:tcW w:w="489" w:type="dxa"/>
            <w:tcBorders>
              <w:tl2br w:val="nil"/>
              <w:tr2bl w:val="nil"/>
            </w:tcBorders>
            <w:shd w:val="clear" w:color="auto" w:fill="auto"/>
            <w:vAlign w:val="center"/>
          </w:tcPr>
          <w:p>
            <w:pPr>
              <w:jc w:val="center"/>
            </w:pPr>
            <w:r>
              <w:rPr>
                <w:rFonts w:ascii="宋体" w:hAnsi="宋体" w:eastAsia="宋体"/>
                <w:color w:val="000000"/>
                <w:sz w:val="16"/>
              </w:rPr>
              <w:t>13</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3</w:t>
            </w:r>
          </w:p>
        </w:tc>
        <w:tc>
          <w:tcPr>
            <w:tcW w:w="489" w:type="dxa"/>
            <w:tcBorders>
              <w:tl2br w:val="nil"/>
              <w:tr2bl w:val="nil"/>
            </w:tcBorders>
            <w:shd w:val="clear" w:color="auto" w:fill="auto"/>
            <w:vAlign w:val="center"/>
          </w:tcPr>
          <w:p>
            <w:pPr>
              <w:jc w:val="center"/>
            </w:pPr>
            <w:r>
              <w:rPr>
                <w:rFonts w:ascii="宋体" w:hAnsi="宋体" w:eastAsia="宋体"/>
                <w:color w:val="000000"/>
                <w:sz w:val="16"/>
              </w:rPr>
              <w:t>719.03</w:t>
            </w:r>
          </w:p>
        </w:tc>
        <w:tc>
          <w:tcPr>
            <w:tcW w:w="489" w:type="dxa"/>
            <w:tcBorders>
              <w:tl2br w:val="nil"/>
              <w:tr2bl w:val="nil"/>
            </w:tcBorders>
            <w:shd w:val="clear" w:color="auto" w:fill="auto"/>
            <w:vAlign w:val="center"/>
          </w:tcPr>
          <w:p>
            <w:pPr>
              <w:jc w:val="center"/>
            </w:pPr>
            <w:r>
              <w:rPr>
                <w:rFonts w:ascii="宋体" w:hAnsi="宋体" w:eastAsia="宋体"/>
                <w:color w:val="000000"/>
                <w:sz w:val="16"/>
              </w:rPr>
              <w:t>94</w:t>
            </w:r>
          </w:p>
        </w:tc>
        <w:tc>
          <w:tcPr>
            <w:tcW w:w="489" w:type="dxa"/>
            <w:tcBorders>
              <w:tl2br w:val="nil"/>
              <w:tr2bl w:val="nil"/>
            </w:tcBorders>
            <w:shd w:val="clear" w:color="auto" w:fill="auto"/>
            <w:vAlign w:val="center"/>
          </w:tcPr>
          <w:p>
            <w:pPr>
              <w:jc w:val="center"/>
            </w:pPr>
            <w:r>
              <w:rPr>
                <w:rFonts w:ascii="宋体" w:hAnsi="宋体" w:eastAsia="宋体"/>
                <w:color w:val="000000"/>
                <w:sz w:val="16"/>
              </w:rPr>
              <w:t>20</w:t>
            </w:r>
          </w:p>
        </w:tc>
        <w:tc>
          <w:tcPr>
            <w:tcW w:w="489" w:type="dxa"/>
            <w:tcBorders>
              <w:tl2br w:val="nil"/>
              <w:tr2bl w:val="nil"/>
            </w:tcBorders>
            <w:shd w:val="clear" w:color="auto" w:fill="auto"/>
            <w:vAlign w:val="center"/>
          </w:tcPr>
          <w:p>
            <w:pPr>
              <w:jc w:val="center"/>
            </w:pPr>
            <w:r>
              <w:rPr>
                <w:rFonts w:ascii="宋体" w:hAnsi="宋体" w:eastAsia="宋体"/>
                <w:color w:val="000000"/>
                <w:sz w:val="16"/>
              </w:rPr>
              <w:t>10418</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489" w:type="dxa"/>
            <w:tcBorders>
              <w:tl2br w:val="nil"/>
              <w:tr2bl w:val="nil"/>
            </w:tcBorders>
            <w:shd w:val="clear" w:color="auto" w:fill="auto"/>
            <w:vAlign w:val="center"/>
          </w:tcPr>
          <w:p>
            <w:pPr>
              <w:jc w:val="left"/>
            </w:pPr>
            <w:r>
              <w:rPr>
                <w:rFonts w:ascii="宋体" w:hAnsi="宋体" w:eastAsia="宋体"/>
                <w:color w:val="000000"/>
                <w:sz w:val="16"/>
              </w:rPr>
              <w:t>黄河中游黄土丘陵、豫西山区</w:t>
            </w:r>
          </w:p>
        </w:tc>
        <w:tc>
          <w:tcPr>
            <w:tcW w:w="489" w:type="dxa"/>
            <w:tcBorders>
              <w:tl2br w:val="nil"/>
              <w:tr2bl w:val="nil"/>
            </w:tcBorders>
            <w:shd w:val="clear" w:color="auto" w:fill="auto"/>
            <w:vAlign w:val="center"/>
          </w:tcPr>
          <w:p>
            <w:pPr>
              <w:jc w:val="center"/>
            </w:pPr>
            <w:r>
              <w:rPr>
                <w:rFonts w:ascii="宋体" w:hAnsi="宋体" w:eastAsia="宋体"/>
                <w:color w:val="000000"/>
                <w:sz w:val="16"/>
              </w:rPr>
              <w:t>宜阳县</w:t>
            </w:r>
          </w:p>
        </w:tc>
        <w:tc>
          <w:tcPr>
            <w:tcW w:w="489" w:type="dxa"/>
            <w:tcBorders>
              <w:tl2br w:val="nil"/>
              <w:tr2bl w:val="nil"/>
            </w:tcBorders>
            <w:shd w:val="clear" w:color="auto" w:fill="auto"/>
            <w:vAlign w:val="center"/>
          </w:tcPr>
          <w:p>
            <w:pPr>
              <w:jc w:val="center"/>
            </w:pPr>
            <w:r>
              <w:rPr>
                <w:rFonts w:ascii="宋体" w:hAnsi="宋体" w:eastAsia="宋体"/>
                <w:color w:val="000000"/>
                <w:sz w:val="16"/>
              </w:rPr>
              <w:t>7</w:t>
            </w:r>
          </w:p>
        </w:tc>
        <w:tc>
          <w:tcPr>
            <w:tcW w:w="489" w:type="dxa"/>
            <w:tcBorders>
              <w:tl2br w:val="nil"/>
              <w:tr2bl w:val="nil"/>
            </w:tcBorders>
            <w:shd w:val="clear" w:color="auto" w:fill="auto"/>
            <w:vAlign w:val="center"/>
          </w:tcPr>
          <w:p>
            <w:pPr>
              <w:jc w:val="center"/>
            </w:pPr>
            <w:r>
              <w:rPr>
                <w:rFonts w:ascii="宋体" w:hAnsi="宋体" w:eastAsia="宋体"/>
                <w:color w:val="000000"/>
                <w:sz w:val="16"/>
              </w:rPr>
              <w:t>160.06</w:t>
            </w:r>
          </w:p>
        </w:tc>
        <w:tc>
          <w:tcPr>
            <w:tcW w:w="489" w:type="dxa"/>
            <w:tcBorders>
              <w:tl2br w:val="nil"/>
              <w:tr2bl w:val="nil"/>
            </w:tcBorders>
            <w:shd w:val="clear" w:color="auto" w:fill="auto"/>
            <w:vAlign w:val="center"/>
          </w:tcPr>
          <w:p>
            <w:pPr>
              <w:jc w:val="center"/>
            </w:pPr>
            <w:r>
              <w:rPr>
                <w:rFonts w:ascii="宋体" w:hAnsi="宋体" w:eastAsia="宋体"/>
                <w:color w:val="000000"/>
                <w:sz w:val="16"/>
              </w:rPr>
              <w:t>43</w:t>
            </w:r>
          </w:p>
        </w:tc>
        <w:tc>
          <w:tcPr>
            <w:tcW w:w="489" w:type="dxa"/>
            <w:tcBorders>
              <w:tl2br w:val="nil"/>
              <w:tr2bl w:val="nil"/>
            </w:tcBorders>
            <w:shd w:val="clear" w:color="auto" w:fill="auto"/>
            <w:vAlign w:val="center"/>
          </w:tcPr>
          <w:p>
            <w:pPr>
              <w:jc w:val="center"/>
            </w:pPr>
            <w:r>
              <w:rPr>
                <w:rFonts w:ascii="宋体" w:hAnsi="宋体" w:eastAsia="宋体"/>
                <w:color w:val="000000"/>
                <w:sz w:val="16"/>
              </w:rPr>
              <w:t>5</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9</w:t>
            </w:r>
          </w:p>
        </w:tc>
        <w:tc>
          <w:tcPr>
            <w:tcW w:w="489" w:type="dxa"/>
            <w:tcBorders>
              <w:tl2br w:val="nil"/>
              <w:tr2bl w:val="nil"/>
            </w:tcBorders>
            <w:shd w:val="clear" w:color="auto" w:fill="auto"/>
            <w:vAlign w:val="center"/>
          </w:tcPr>
          <w:p>
            <w:pPr>
              <w:jc w:val="center"/>
            </w:pPr>
            <w:r>
              <w:rPr>
                <w:rFonts w:ascii="宋体" w:hAnsi="宋体" w:eastAsia="宋体"/>
                <w:color w:val="000000"/>
                <w:sz w:val="16"/>
              </w:rPr>
              <w:t>415.77</w:t>
            </w:r>
          </w:p>
        </w:tc>
        <w:tc>
          <w:tcPr>
            <w:tcW w:w="489" w:type="dxa"/>
            <w:tcBorders>
              <w:tl2br w:val="nil"/>
              <w:tr2bl w:val="nil"/>
            </w:tcBorders>
            <w:shd w:val="clear" w:color="auto" w:fill="auto"/>
            <w:vAlign w:val="center"/>
          </w:tcPr>
          <w:p>
            <w:pPr>
              <w:jc w:val="center"/>
            </w:pPr>
            <w:r>
              <w:rPr>
                <w:rFonts w:ascii="宋体" w:hAnsi="宋体" w:eastAsia="宋体"/>
                <w:color w:val="000000"/>
                <w:sz w:val="16"/>
              </w:rPr>
              <w:t>935</w:t>
            </w:r>
          </w:p>
        </w:tc>
        <w:tc>
          <w:tcPr>
            <w:tcW w:w="489" w:type="dxa"/>
            <w:tcBorders>
              <w:tl2br w:val="nil"/>
              <w:tr2bl w:val="nil"/>
            </w:tcBorders>
            <w:shd w:val="clear" w:color="auto" w:fill="auto"/>
            <w:vAlign w:val="center"/>
          </w:tcPr>
          <w:p>
            <w:pPr>
              <w:jc w:val="center"/>
            </w:pPr>
            <w:r>
              <w:rPr>
                <w:rFonts w:ascii="宋体" w:hAnsi="宋体" w:eastAsia="宋体"/>
                <w:color w:val="000000"/>
                <w:sz w:val="16"/>
              </w:rPr>
              <w:t>5</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1041.41</w:t>
            </w:r>
          </w:p>
        </w:tc>
        <w:tc>
          <w:tcPr>
            <w:tcW w:w="489" w:type="dxa"/>
            <w:tcBorders>
              <w:tl2br w:val="nil"/>
              <w:tr2bl w:val="nil"/>
            </w:tcBorders>
            <w:shd w:val="clear" w:color="auto" w:fill="auto"/>
            <w:vAlign w:val="center"/>
          </w:tcPr>
          <w:p>
            <w:pPr>
              <w:jc w:val="center"/>
            </w:pPr>
            <w:r>
              <w:rPr>
                <w:rFonts w:ascii="宋体" w:hAnsi="宋体" w:eastAsia="宋体"/>
                <w:color w:val="000000"/>
                <w:sz w:val="16"/>
              </w:rPr>
              <w:t>476</w:t>
            </w:r>
          </w:p>
        </w:tc>
        <w:tc>
          <w:tcPr>
            <w:tcW w:w="489" w:type="dxa"/>
            <w:tcBorders>
              <w:tl2br w:val="nil"/>
              <w:tr2bl w:val="nil"/>
            </w:tcBorders>
            <w:shd w:val="clear" w:color="auto" w:fill="auto"/>
            <w:vAlign w:val="center"/>
          </w:tcPr>
          <w:p>
            <w:pPr>
              <w:jc w:val="center"/>
            </w:pPr>
            <w:r>
              <w:rPr>
                <w:rFonts w:ascii="宋体" w:hAnsi="宋体" w:eastAsia="宋体"/>
                <w:color w:val="000000"/>
                <w:sz w:val="16"/>
              </w:rPr>
              <w:t>14</w:t>
            </w:r>
          </w:p>
        </w:tc>
        <w:tc>
          <w:tcPr>
            <w:tcW w:w="489" w:type="dxa"/>
            <w:tcBorders>
              <w:tl2br w:val="nil"/>
              <w:tr2bl w:val="nil"/>
            </w:tcBorders>
            <w:shd w:val="clear" w:color="auto" w:fill="auto"/>
            <w:vAlign w:val="center"/>
          </w:tcPr>
          <w:p>
            <w:pPr>
              <w:jc w:val="center"/>
            </w:pPr>
            <w:r>
              <w:rPr>
                <w:rFonts w:ascii="宋体" w:hAnsi="宋体" w:eastAsia="宋体"/>
                <w:color w:val="000000"/>
                <w:sz w:val="16"/>
              </w:rPr>
              <w:t>620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489" w:type="dxa"/>
            <w:tcBorders>
              <w:tl2br w:val="nil"/>
              <w:tr2bl w:val="nil"/>
            </w:tcBorders>
            <w:shd w:val="clear" w:color="auto" w:fill="auto"/>
            <w:vAlign w:val="center"/>
          </w:tcPr>
          <w:p>
            <w:pPr>
              <w:jc w:val="center"/>
            </w:pPr>
            <w:r>
              <w:rPr>
                <w:rFonts w:ascii="宋体" w:hAnsi="宋体" w:eastAsia="宋体"/>
                <w:color w:val="000000"/>
                <w:sz w:val="16"/>
              </w:rPr>
              <w:t>豫西山区</w:t>
            </w:r>
          </w:p>
        </w:tc>
        <w:tc>
          <w:tcPr>
            <w:tcW w:w="489" w:type="dxa"/>
            <w:tcBorders>
              <w:tl2br w:val="nil"/>
              <w:tr2bl w:val="nil"/>
            </w:tcBorders>
            <w:shd w:val="clear" w:color="auto" w:fill="auto"/>
            <w:vAlign w:val="center"/>
          </w:tcPr>
          <w:p>
            <w:pPr>
              <w:jc w:val="center"/>
            </w:pPr>
            <w:r>
              <w:rPr>
                <w:rFonts w:ascii="宋体" w:hAnsi="宋体" w:eastAsia="宋体"/>
                <w:color w:val="000000"/>
                <w:sz w:val="16"/>
              </w:rPr>
              <w:t>嵩县</w:t>
            </w:r>
          </w:p>
        </w:tc>
        <w:tc>
          <w:tcPr>
            <w:tcW w:w="489" w:type="dxa"/>
            <w:tcBorders>
              <w:tl2br w:val="nil"/>
              <w:tr2bl w:val="nil"/>
            </w:tcBorders>
            <w:shd w:val="clear" w:color="auto" w:fill="auto"/>
            <w:vAlign w:val="center"/>
          </w:tcPr>
          <w:p>
            <w:pPr>
              <w:jc w:val="center"/>
            </w:pPr>
            <w:r>
              <w:rPr>
                <w:rFonts w:ascii="宋体" w:hAnsi="宋体" w:eastAsia="宋体"/>
                <w:color w:val="000000"/>
                <w:sz w:val="16"/>
              </w:rPr>
              <w:t>14</w:t>
            </w:r>
          </w:p>
        </w:tc>
        <w:tc>
          <w:tcPr>
            <w:tcW w:w="489" w:type="dxa"/>
            <w:tcBorders>
              <w:tl2br w:val="nil"/>
              <w:tr2bl w:val="nil"/>
            </w:tcBorders>
            <w:shd w:val="clear" w:color="auto" w:fill="auto"/>
            <w:vAlign w:val="center"/>
          </w:tcPr>
          <w:p>
            <w:pPr>
              <w:jc w:val="center"/>
            </w:pPr>
            <w:r>
              <w:rPr>
                <w:rFonts w:ascii="宋体" w:hAnsi="宋体" w:eastAsia="宋体"/>
                <w:color w:val="000000"/>
                <w:sz w:val="16"/>
              </w:rPr>
              <w:t>695.31</w:t>
            </w:r>
          </w:p>
        </w:tc>
        <w:tc>
          <w:tcPr>
            <w:tcW w:w="489" w:type="dxa"/>
            <w:tcBorders>
              <w:tl2br w:val="nil"/>
              <w:tr2bl w:val="nil"/>
            </w:tcBorders>
            <w:shd w:val="clear" w:color="auto" w:fill="auto"/>
            <w:vAlign w:val="center"/>
          </w:tcPr>
          <w:p>
            <w:pPr>
              <w:jc w:val="center"/>
            </w:pPr>
            <w:r>
              <w:rPr>
                <w:rFonts w:ascii="宋体" w:hAnsi="宋体" w:eastAsia="宋体"/>
                <w:color w:val="000000"/>
                <w:sz w:val="16"/>
              </w:rPr>
              <w:t>817</w:t>
            </w:r>
          </w:p>
        </w:tc>
        <w:tc>
          <w:tcPr>
            <w:tcW w:w="489" w:type="dxa"/>
            <w:tcBorders>
              <w:tl2br w:val="nil"/>
              <w:tr2bl w:val="nil"/>
            </w:tcBorders>
            <w:shd w:val="clear" w:color="auto" w:fill="auto"/>
            <w:vAlign w:val="center"/>
          </w:tcPr>
          <w:p>
            <w:pPr>
              <w:jc w:val="center"/>
            </w:pPr>
            <w:r>
              <w:rPr>
                <w:rFonts w:ascii="宋体" w:hAnsi="宋体" w:eastAsia="宋体"/>
                <w:color w:val="000000"/>
                <w:sz w:val="16"/>
              </w:rPr>
              <w:t>3</w:t>
            </w:r>
          </w:p>
        </w:tc>
        <w:tc>
          <w:tcPr>
            <w:tcW w:w="489" w:type="dxa"/>
            <w:tcBorders>
              <w:tl2br w:val="nil"/>
              <w:tr2bl w:val="nil"/>
            </w:tcBorders>
            <w:shd w:val="clear" w:color="auto" w:fill="auto"/>
            <w:vAlign w:val="center"/>
          </w:tcPr>
          <w:p>
            <w:pPr>
              <w:jc w:val="center"/>
            </w:pPr>
            <w:r>
              <w:rPr>
                <w:rFonts w:ascii="宋体" w:hAnsi="宋体" w:eastAsia="宋体"/>
                <w:color w:val="000000"/>
                <w:sz w:val="16"/>
              </w:rPr>
              <w:t>820</w:t>
            </w:r>
          </w:p>
        </w:tc>
        <w:tc>
          <w:tcPr>
            <w:tcW w:w="489" w:type="dxa"/>
            <w:tcBorders>
              <w:tl2br w:val="nil"/>
              <w:tr2bl w:val="nil"/>
            </w:tcBorders>
            <w:shd w:val="clear" w:color="auto" w:fill="auto"/>
            <w:vAlign w:val="center"/>
          </w:tcPr>
          <w:p>
            <w:pPr>
              <w:jc w:val="center"/>
            </w:pPr>
            <w:r>
              <w:rPr>
                <w:rFonts w:ascii="宋体" w:hAnsi="宋体" w:eastAsia="宋体"/>
                <w:color w:val="000000"/>
                <w:sz w:val="16"/>
              </w:rPr>
              <w:t>2</w:t>
            </w:r>
          </w:p>
        </w:tc>
        <w:tc>
          <w:tcPr>
            <w:tcW w:w="489" w:type="dxa"/>
            <w:tcBorders>
              <w:tl2br w:val="nil"/>
              <w:tr2bl w:val="nil"/>
            </w:tcBorders>
            <w:shd w:val="clear" w:color="auto" w:fill="auto"/>
            <w:vAlign w:val="center"/>
          </w:tcPr>
          <w:p>
            <w:pPr>
              <w:jc w:val="center"/>
            </w:pPr>
            <w:r>
              <w:rPr>
                <w:rFonts w:ascii="宋体" w:hAnsi="宋体" w:eastAsia="宋体"/>
                <w:color w:val="000000"/>
                <w:sz w:val="16"/>
              </w:rPr>
              <w:t>972.18</w:t>
            </w:r>
          </w:p>
        </w:tc>
        <w:tc>
          <w:tcPr>
            <w:tcW w:w="489" w:type="dxa"/>
            <w:tcBorders>
              <w:tl2br w:val="nil"/>
              <w:tr2bl w:val="nil"/>
            </w:tcBorders>
            <w:shd w:val="clear" w:color="auto" w:fill="auto"/>
            <w:vAlign w:val="center"/>
          </w:tcPr>
          <w:p>
            <w:pPr>
              <w:jc w:val="center"/>
            </w:pPr>
            <w:r>
              <w:rPr>
                <w:rFonts w:ascii="宋体" w:hAnsi="宋体" w:eastAsia="宋体"/>
                <w:color w:val="000000"/>
                <w:sz w:val="16"/>
              </w:rPr>
              <w:t>716</w:t>
            </w:r>
          </w:p>
        </w:tc>
        <w:tc>
          <w:tcPr>
            <w:tcW w:w="489" w:type="dxa"/>
            <w:tcBorders>
              <w:tl2br w:val="nil"/>
              <w:tr2bl w:val="nil"/>
            </w:tcBorders>
            <w:shd w:val="clear" w:color="auto" w:fill="auto"/>
            <w:vAlign w:val="center"/>
          </w:tcPr>
          <w:p>
            <w:pPr>
              <w:jc w:val="center"/>
            </w:pPr>
            <w:r>
              <w:rPr>
                <w:rFonts w:ascii="宋体" w:hAnsi="宋体" w:eastAsia="宋体"/>
                <w:color w:val="000000"/>
                <w:sz w:val="16"/>
              </w:rPr>
              <w:t>19</w:t>
            </w:r>
          </w:p>
        </w:tc>
        <w:tc>
          <w:tcPr>
            <w:tcW w:w="489" w:type="dxa"/>
            <w:tcBorders>
              <w:tl2br w:val="nil"/>
              <w:tr2bl w:val="nil"/>
            </w:tcBorders>
            <w:shd w:val="clear" w:color="auto" w:fill="auto"/>
            <w:vAlign w:val="center"/>
          </w:tcPr>
          <w:p>
            <w:pPr>
              <w:jc w:val="center"/>
            </w:pPr>
            <w:r>
              <w:rPr>
                <w:rFonts w:ascii="宋体" w:hAnsi="宋体" w:eastAsia="宋体"/>
                <w:color w:val="000000"/>
                <w:sz w:val="16"/>
              </w:rPr>
              <w:t>3846</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1340.44</w:t>
            </w:r>
          </w:p>
        </w:tc>
        <w:tc>
          <w:tcPr>
            <w:tcW w:w="489" w:type="dxa"/>
            <w:tcBorders>
              <w:tl2br w:val="nil"/>
              <w:tr2bl w:val="nil"/>
            </w:tcBorders>
            <w:shd w:val="clear" w:color="auto" w:fill="auto"/>
            <w:vAlign w:val="center"/>
          </w:tcPr>
          <w:p>
            <w:pPr>
              <w:jc w:val="center"/>
            </w:pPr>
            <w:r>
              <w:rPr>
                <w:rFonts w:ascii="宋体" w:hAnsi="宋体" w:eastAsia="宋体"/>
                <w:color w:val="000000"/>
                <w:sz w:val="16"/>
              </w:rPr>
              <w:t>1268</w:t>
            </w:r>
          </w:p>
        </w:tc>
        <w:tc>
          <w:tcPr>
            <w:tcW w:w="489" w:type="dxa"/>
            <w:tcBorders>
              <w:tl2br w:val="nil"/>
              <w:tr2bl w:val="nil"/>
            </w:tcBorders>
            <w:shd w:val="clear" w:color="auto" w:fill="auto"/>
            <w:vAlign w:val="center"/>
          </w:tcPr>
          <w:p>
            <w:pPr>
              <w:jc w:val="center"/>
            </w:pPr>
            <w:r>
              <w:rPr>
                <w:rFonts w:ascii="宋体" w:hAnsi="宋体" w:eastAsia="宋体"/>
                <w:color w:val="000000"/>
                <w:sz w:val="16"/>
              </w:rPr>
              <w:t>7</w:t>
            </w:r>
          </w:p>
        </w:tc>
        <w:tc>
          <w:tcPr>
            <w:tcW w:w="489" w:type="dxa"/>
            <w:tcBorders>
              <w:tl2br w:val="nil"/>
              <w:tr2bl w:val="nil"/>
            </w:tcBorders>
            <w:shd w:val="clear" w:color="auto" w:fill="auto"/>
            <w:vAlign w:val="center"/>
          </w:tcPr>
          <w:p>
            <w:pPr>
              <w:jc w:val="center"/>
            </w:pPr>
            <w:r>
              <w:rPr>
                <w:rFonts w:ascii="宋体" w:hAnsi="宋体" w:eastAsia="宋体"/>
                <w:color w:val="000000"/>
                <w:sz w:val="16"/>
              </w:rPr>
              <w:t>682</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489" w:type="dxa"/>
            <w:tcBorders>
              <w:tl2br w:val="nil"/>
              <w:tr2bl w:val="nil"/>
            </w:tcBorders>
            <w:shd w:val="clear" w:color="auto" w:fill="auto"/>
            <w:vAlign w:val="center"/>
          </w:tcPr>
          <w:p>
            <w:pPr>
              <w:jc w:val="center"/>
            </w:pPr>
            <w:r>
              <w:rPr>
                <w:rFonts w:ascii="宋体" w:hAnsi="宋体" w:eastAsia="宋体"/>
                <w:color w:val="000000"/>
                <w:sz w:val="16"/>
              </w:rPr>
              <w:t>黄河中游黄土丘陵</w:t>
            </w:r>
          </w:p>
        </w:tc>
        <w:tc>
          <w:tcPr>
            <w:tcW w:w="489" w:type="dxa"/>
            <w:tcBorders>
              <w:tl2br w:val="nil"/>
              <w:tr2bl w:val="nil"/>
            </w:tcBorders>
            <w:shd w:val="clear" w:color="auto" w:fill="auto"/>
            <w:vAlign w:val="center"/>
          </w:tcPr>
          <w:p>
            <w:pPr>
              <w:jc w:val="center"/>
            </w:pPr>
            <w:r>
              <w:rPr>
                <w:rFonts w:ascii="宋体" w:hAnsi="宋体" w:eastAsia="宋体"/>
                <w:color w:val="000000"/>
                <w:sz w:val="16"/>
              </w:rPr>
              <w:t>新安县</w:t>
            </w:r>
          </w:p>
        </w:tc>
        <w:tc>
          <w:tcPr>
            <w:tcW w:w="489" w:type="dxa"/>
            <w:tcBorders>
              <w:tl2br w:val="nil"/>
              <w:tr2bl w:val="nil"/>
            </w:tcBorders>
            <w:shd w:val="clear" w:color="auto" w:fill="auto"/>
            <w:vAlign w:val="center"/>
          </w:tcPr>
          <w:p>
            <w:pPr>
              <w:jc w:val="center"/>
            </w:pPr>
            <w:r>
              <w:rPr>
                <w:rFonts w:ascii="宋体" w:hAnsi="宋体" w:eastAsia="宋体"/>
                <w:color w:val="000000"/>
                <w:sz w:val="16"/>
              </w:rPr>
              <w:t>2</w:t>
            </w:r>
          </w:p>
        </w:tc>
        <w:tc>
          <w:tcPr>
            <w:tcW w:w="489" w:type="dxa"/>
            <w:tcBorders>
              <w:tl2br w:val="nil"/>
              <w:tr2bl w:val="nil"/>
            </w:tcBorders>
            <w:shd w:val="clear" w:color="auto" w:fill="auto"/>
            <w:vAlign w:val="center"/>
          </w:tcPr>
          <w:p>
            <w:pPr>
              <w:jc w:val="center"/>
            </w:pPr>
            <w:r>
              <w:rPr>
                <w:rFonts w:ascii="宋体" w:hAnsi="宋体" w:eastAsia="宋体"/>
                <w:color w:val="000000"/>
                <w:sz w:val="16"/>
              </w:rPr>
              <w:t>206.94</w:t>
            </w:r>
          </w:p>
        </w:tc>
        <w:tc>
          <w:tcPr>
            <w:tcW w:w="489" w:type="dxa"/>
            <w:tcBorders>
              <w:tl2br w:val="nil"/>
              <w:tr2bl w:val="nil"/>
            </w:tcBorders>
            <w:shd w:val="clear" w:color="auto" w:fill="auto"/>
            <w:vAlign w:val="center"/>
          </w:tcPr>
          <w:p>
            <w:pPr>
              <w:jc w:val="center"/>
            </w:pPr>
            <w:r>
              <w:rPr>
                <w:rFonts w:ascii="宋体" w:hAnsi="宋体" w:eastAsia="宋体"/>
                <w:color w:val="000000"/>
                <w:sz w:val="16"/>
              </w:rPr>
              <w:t>563</w:t>
            </w:r>
          </w:p>
        </w:tc>
        <w:tc>
          <w:tcPr>
            <w:tcW w:w="489" w:type="dxa"/>
            <w:tcBorders>
              <w:tl2br w:val="nil"/>
              <w:tr2bl w:val="nil"/>
            </w:tcBorders>
            <w:shd w:val="clear" w:color="auto" w:fill="auto"/>
            <w:vAlign w:val="center"/>
          </w:tcPr>
          <w:p>
            <w:pPr>
              <w:jc w:val="center"/>
            </w:pPr>
            <w:r>
              <w:rPr>
                <w:rFonts w:ascii="宋体" w:hAnsi="宋体" w:eastAsia="宋体"/>
                <w:color w:val="000000"/>
                <w:sz w:val="16"/>
              </w:rPr>
              <w:t>10</w:t>
            </w:r>
          </w:p>
        </w:tc>
        <w:tc>
          <w:tcPr>
            <w:tcW w:w="489" w:type="dxa"/>
            <w:tcBorders>
              <w:tl2br w:val="nil"/>
              <w:tr2bl w:val="nil"/>
            </w:tcBorders>
            <w:shd w:val="clear" w:color="auto" w:fill="auto"/>
            <w:vAlign w:val="center"/>
          </w:tcPr>
          <w:p>
            <w:pPr>
              <w:jc w:val="center"/>
            </w:pPr>
            <w:r>
              <w:rPr>
                <w:rFonts w:ascii="宋体" w:hAnsi="宋体" w:eastAsia="宋体"/>
                <w:color w:val="000000"/>
                <w:sz w:val="16"/>
              </w:rPr>
              <w:t>451</w:t>
            </w:r>
          </w:p>
        </w:tc>
        <w:tc>
          <w:tcPr>
            <w:tcW w:w="489" w:type="dxa"/>
            <w:tcBorders>
              <w:tl2br w:val="nil"/>
              <w:tr2bl w:val="nil"/>
            </w:tcBorders>
            <w:shd w:val="clear" w:color="auto" w:fill="auto"/>
            <w:vAlign w:val="center"/>
          </w:tcPr>
          <w:p>
            <w:pPr>
              <w:jc w:val="center"/>
            </w:pPr>
            <w:r>
              <w:rPr>
                <w:rFonts w:ascii="宋体" w:hAnsi="宋体" w:eastAsia="宋体"/>
                <w:color w:val="000000"/>
                <w:sz w:val="16"/>
              </w:rPr>
              <w:t>9</w:t>
            </w:r>
          </w:p>
        </w:tc>
        <w:tc>
          <w:tcPr>
            <w:tcW w:w="489" w:type="dxa"/>
            <w:tcBorders>
              <w:tl2br w:val="nil"/>
              <w:tr2bl w:val="nil"/>
            </w:tcBorders>
            <w:shd w:val="clear" w:color="auto" w:fill="auto"/>
            <w:vAlign w:val="center"/>
          </w:tcPr>
          <w:p>
            <w:pPr>
              <w:jc w:val="center"/>
            </w:pPr>
            <w:r>
              <w:rPr>
                <w:rFonts w:ascii="宋体" w:hAnsi="宋体" w:eastAsia="宋体"/>
                <w:color w:val="000000"/>
                <w:sz w:val="16"/>
              </w:rPr>
              <w:t>296.82</w:t>
            </w:r>
          </w:p>
        </w:tc>
        <w:tc>
          <w:tcPr>
            <w:tcW w:w="489" w:type="dxa"/>
            <w:tcBorders>
              <w:tl2br w:val="nil"/>
              <w:tr2bl w:val="nil"/>
            </w:tcBorders>
            <w:shd w:val="clear" w:color="auto" w:fill="auto"/>
            <w:vAlign w:val="center"/>
          </w:tcPr>
          <w:p>
            <w:pPr>
              <w:jc w:val="center"/>
            </w:pPr>
            <w:r>
              <w:rPr>
                <w:rFonts w:ascii="宋体" w:hAnsi="宋体" w:eastAsia="宋体"/>
                <w:color w:val="000000"/>
                <w:sz w:val="16"/>
              </w:rPr>
              <w:t>442</w:t>
            </w:r>
          </w:p>
        </w:tc>
        <w:tc>
          <w:tcPr>
            <w:tcW w:w="489" w:type="dxa"/>
            <w:tcBorders>
              <w:tl2br w:val="nil"/>
              <w:tr2bl w:val="nil"/>
            </w:tcBorders>
            <w:shd w:val="clear" w:color="auto" w:fill="auto"/>
            <w:vAlign w:val="center"/>
          </w:tcPr>
          <w:p>
            <w:pPr>
              <w:jc w:val="center"/>
            </w:pPr>
            <w:r>
              <w:rPr>
                <w:rFonts w:ascii="宋体" w:hAnsi="宋体" w:eastAsia="宋体"/>
                <w:color w:val="000000"/>
                <w:sz w:val="16"/>
              </w:rPr>
              <w:t>5</w:t>
            </w:r>
          </w:p>
        </w:tc>
        <w:tc>
          <w:tcPr>
            <w:tcW w:w="489" w:type="dxa"/>
            <w:tcBorders>
              <w:tl2br w:val="nil"/>
              <w:tr2bl w:val="nil"/>
            </w:tcBorders>
            <w:shd w:val="clear" w:color="auto" w:fill="auto"/>
            <w:vAlign w:val="center"/>
          </w:tcPr>
          <w:p>
            <w:pPr>
              <w:jc w:val="center"/>
            </w:pPr>
            <w:r>
              <w:rPr>
                <w:rFonts w:ascii="宋体" w:hAnsi="宋体" w:eastAsia="宋体"/>
                <w:color w:val="000000"/>
                <w:sz w:val="16"/>
              </w:rPr>
              <w:t>243</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660.79</w:t>
            </w:r>
          </w:p>
        </w:tc>
        <w:tc>
          <w:tcPr>
            <w:tcW w:w="489" w:type="dxa"/>
            <w:tcBorders>
              <w:tl2br w:val="nil"/>
              <w:tr2bl w:val="nil"/>
            </w:tcBorders>
            <w:shd w:val="clear" w:color="auto" w:fill="auto"/>
            <w:vAlign w:val="center"/>
          </w:tcPr>
          <w:p>
            <w:pPr>
              <w:jc w:val="center"/>
            </w:pPr>
            <w:r>
              <w:rPr>
                <w:rFonts w:ascii="宋体" w:hAnsi="宋体" w:eastAsia="宋体"/>
                <w:color w:val="000000"/>
                <w:sz w:val="16"/>
              </w:rPr>
              <w:t>61</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489" w:type="dxa"/>
            <w:tcBorders>
              <w:tl2br w:val="nil"/>
              <w:tr2bl w:val="nil"/>
            </w:tcBorders>
            <w:shd w:val="clear" w:color="auto" w:fill="auto"/>
            <w:vAlign w:val="center"/>
          </w:tcPr>
          <w:p>
            <w:pPr>
              <w:jc w:val="center"/>
            </w:pPr>
            <w:r>
              <w:rPr>
                <w:rFonts w:ascii="宋体" w:hAnsi="宋体" w:eastAsia="宋体"/>
                <w:color w:val="000000"/>
                <w:sz w:val="16"/>
              </w:rPr>
              <w:t>豫西山区</w:t>
            </w:r>
          </w:p>
        </w:tc>
        <w:tc>
          <w:tcPr>
            <w:tcW w:w="489" w:type="dxa"/>
            <w:tcBorders>
              <w:tl2br w:val="nil"/>
              <w:tr2bl w:val="nil"/>
            </w:tcBorders>
            <w:shd w:val="clear" w:color="auto" w:fill="auto"/>
            <w:vAlign w:val="center"/>
          </w:tcPr>
          <w:p>
            <w:pPr>
              <w:jc w:val="center"/>
            </w:pPr>
            <w:r>
              <w:rPr>
                <w:rFonts w:ascii="宋体" w:hAnsi="宋体" w:eastAsia="宋体"/>
                <w:color w:val="000000"/>
                <w:sz w:val="16"/>
              </w:rPr>
              <w:t>栾川县</w:t>
            </w:r>
          </w:p>
        </w:tc>
        <w:tc>
          <w:tcPr>
            <w:tcW w:w="489" w:type="dxa"/>
            <w:tcBorders>
              <w:tl2br w:val="nil"/>
              <w:tr2bl w:val="nil"/>
            </w:tcBorders>
            <w:shd w:val="clear" w:color="auto" w:fill="auto"/>
            <w:vAlign w:val="center"/>
          </w:tcPr>
          <w:p>
            <w:pPr>
              <w:jc w:val="center"/>
            </w:pPr>
            <w:r>
              <w:rPr>
                <w:rFonts w:ascii="宋体" w:hAnsi="宋体" w:eastAsia="宋体"/>
                <w:color w:val="000000"/>
                <w:sz w:val="16"/>
              </w:rPr>
              <w:t>13</w:t>
            </w:r>
          </w:p>
        </w:tc>
        <w:tc>
          <w:tcPr>
            <w:tcW w:w="489" w:type="dxa"/>
            <w:tcBorders>
              <w:tl2br w:val="nil"/>
              <w:tr2bl w:val="nil"/>
            </w:tcBorders>
            <w:shd w:val="clear" w:color="auto" w:fill="auto"/>
            <w:vAlign w:val="center"/>
          </w:tcPr>
          <w:p>
            <w:pPr>
              <w:jc w:val="center"/>
            </w:pPr>
            <w:r>
              <w:rPr>
                <w:rFonts w:ascii="宋体" w:hAnsi="宋体" w:eastAsia="宋体"/>
                <w:color w:val="000000"/>
                <w:sz w:val="16"/>
              </w:rPr>
              <w:t>369.74</w:t>
            </w:r>
          </w:p>
        </w:tc>
        <w:tc>
          <w:tcPr>
            <w:tcW w:w="489" w:type="dxa"/>
            <w:tcBorders>
              <w:tl2br w:val="nil"/>
              <w:tr2bl w:val="nil"/>
            </w:tcBorders>
            <w:shd w:val="clear" w:color="auto" w:fill="auto"/>
            <w:vAlign w:val="center"/>
          </w:tcPr>
          <w:p>
            <w:pPr>
              <w:jc w:val="center"/>
            </w:pPr>
            <w:r>
              <w:rPr>
                <w:rFonts w:ascii="宋体" w:hAnsi="宋体" w:eastAsia="宋体"/>
                <w:color w:val="000000"/>
                <w:sz w:val="16"/>
              </w:rPr>
              <w:t>1089</w:t>
            </w:r>
          </w:p>
        </w:tc>
        <w:tc>
          <w:tcPr>
            <w:tcW w:w="489" w:type="dxa"/>
            <w:tcBorders>
              <w:tl2br w:val="nil"/>
              <w:tr2bl w:val="nil"/>
            </w:tcBorders>
            <w:shd w:val="clear" w:color="auto" w:fill="auto"/>
            <w:vAlign w:val="center"/>
          </w:tcPr>
          <w:p>
            <w:pPr>
              <w:jc w:val="center"/>
            </w:pPr>
            <w:r>
              <w:rPr>
                <w:rFonts w:ascii="宋体" w:hAnsi="宋体" w:eastAsia="宋体"/>
                <w:color w:val="000000"/>
                <w:sz w:val="16"/>
              </w:rPr>
              <w:t>2</w:t>
            </w:r>
          </w:p>
        </w:tc>
        <w:tc>
          <w:tcPr>
            <w:tcW w:w="489" w:type="dxa"/>
            <w:tcBorders>
              <w:tl2br w:val="nil"/>
              <w:tr2bl w:val="nil"/>
            </w:tcBorders>
            <w:shd w:val="clear" w:color="auto" w:fill="auto"/>
            <w:vAlign w:val="center"/>
          </w:tcPr>
          <w:p>
            <w:pPr>
              <w:jc w:val="center"/>
            </w:pPr>
            <w:r>
              <w:rPr>
                <w:rFonts w:ascii="宋体" w:hAnsi="宋体" w:eastAsia="宋体"/>
                <w:color w:val="000000"/>
                <w:sz w:val="16"/>
              </w:rPr>
              <w:t>1460</w:t>
            </w:r>
          </w:p>
        </w:tc>
        <w:tc>
          <w:tcPr>
            <w:tcW w:w="489" w:type="dxa"/>
            <w:tcBorders>
              <w:tl2br w:val="nil"/>
              <w:tr2bl w:val="nil"/>
            </w:tcBorders>
            <w:shd w:val="clear" w:color="auto" w:fill="auto"/>
            <w:vAlign w:val="center"/>
          </w:tcPr>
          <w:p>
            <w:pPr>
              <w:jc w:val="center"/>
            </w:pPr>
            <w:r>
              <w:rPr>
                <w:rFonts w:ascii="宋体" w:hAnsi="宋体" w:eastAsia="宋体"/>
                <w:color w:val="000000"/>
                <w:sz w:val="16"/>
              </w:rPr>
              <w:t>1</w:t>
            </w:r>
          </w:p>
        </w:tc>
        <w:tc>
          <w:tcPr>
            <w:tcW w:w="489" w:type="dxa"/>
            <w:tcBorders>
              <w:tl2br w:val="nil"/>
              <w:tr2bl w:val="nil"/>
            </w:tcBorders>
            <w:shd w:val="clear" w:color="auto" w:fill="auto"/>
            <w:vAlign w:val="center"/>
          </w:tcPr>
          <w:p>
            <w:pPr>
              <w:jc w:val="center"/>
            </w:pPr>
            <w:r>
              <w:rPr>
                <w:rFonts w:ascii="宋体" w:hAnsi="宋体" w:eastAsia="宋体"/>
                <w:color w:val="000000"/>
                <w:sz w:val="16"/>
              </w:rPr>
              <w:t>780.29</w:t>
            </w:r>
          </w:p>
        </w:tc>
        <w:tc>
          <w:tcPr>
            <w:tcW w:w="489" w:type="dxa"/>
            <w:tcBorders>
              <w:tl2br w:val="nil"/>
              <w:tr2bl w:val="nil"/>
            </w:tcBorders>
            <w:shd w:val="clear" w:color="auto" w:fill="auto"/>
            <w:vAlign w:val="center"/>
          </w:tcPr>
          <w:p>
            <w:pPr>
              <w:jc w:val="center"/>
            </w:pPr>
            <w:r>
              <w:rPr>
                <w:rFonts w:ascii="宋体" w:hAnsi="宋体" w:eastAsia="宋体"/>
                <w:color w:val="000000"/>
                <w:sz w:val="16"/>
              </w:rPr>
              <w:t>555</w:t>
            </w:r>
          </w:p>
        </w:tc>
        <w:tc>
          <w:tcPr>
            <w:tcW w:w="489" w:type="dxa"/>
            <w:tcBorders>
              <w:tl2br w:val="nil"/>
              <w:tr2bl w:val="nil"/>
            </w:tcBorders>
            <w:shd w:val="clear" w:color="auto" w:fill="auto"/>
            <w:vAlign w:val="center"/>
          </w:tcPr>
          <w:p>
            <w:pPr>
              <w:jc w:val="center"/>
            </w:pPr>
            <w:r>
              <w:rPr>
                <w:rFonts w:ascii="宋体" w:hAnsi="宋体" w:eastAsia="宋体"/>
                <w:color w:val="000000"/>
                <w:sz w:val="16"/>
              </w:rPr>
              <w:t>28</w:t>
            </w:r>
          </w:p>
        </w:tc>
        <w:tc>
          <w:tcPr>
            <w:tcW w:w="489" w:type="dxa"/>
            <w:tcBorders>
              <w:tl2br w:val="nil"/>
              <w:tr2bl w:val="nil"/>
            </w:tcBorders>
            <w:shd w:val="clear" w:color="auto" w:fill="auto"/>
            <w:vAlign w:val="center"/>
          </w:tcPr>
          <w:p>
            <w:pPr>
              <w:jc w:val="center"/>
            </w:pPr>
            <w:r>
              <w:rPr>
                <w:rFonts w:ascii="宋体" w:hAnsi="宋体" w:eastAsia="宋体"/>
                <w:color w:val="000000"/>
                <w:sz w:val="16"/>
              </w:rPr>
              <w:t>3593</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1327.18</w:t>
            </w:r>
          </w:p>
        </w:tc>
        <w:tc>
          <w:tcPr>
            <w:tcW w:w="489" w:type="dxa"/>
            <w:tcBorders>
              <w:tl2br w:val="nil"/>
              <w:tr2bl w:val="nil"/>
            </w:tcBorders>
            <w:shd w:val="clear" w:color="auto" w:fill="auto"/>
            <w:vAlign w:val="center"/>
          </w:tcPr>
          <w:p>
            <w:pPr>
              <w:jc w:val="center"/>
            </w:pPr>
            <w:r>
              <w:rPr>
                <w:rFonts w:ascii="宋体" w:hAnsi="宋体" w:eastAsia="宋体"/>
                <w:color w:val="000000"/>
                <w:sz w:val="16"/>
              </w:rPr>
              <w:t>842</w:t>
            </w:r>
          </w:p>
        </w:tc>
        <w:tc>
          <w:tcPr>
            <w:tcW w:w="489" w:type="dxa"/>
            <w:tcBorders>
              <w:tl2br w:val="nil"/>
              <w:tr2bl w:val="nil"/>
            </w:tcBorders>
            <w:shd w:val="clear" w:color="auto" w:fill="auto"/>
            <w:vAlign w:val="center"/>
          </w:tcPr>
          <w:p>
            <w:pPr>
              <w:jc w:val="center"/>
            </w:pPr>
            <w:r>
              <w:rPr>
                <w:rFonts w:ascii="宋体" w:hAnsi="宋体" w:eastAsia="宋体"/>
                <w:color w:val="000000"/>
                <w:sz w:val="16"/>
              </w:rPr>
              <w:t>178</w:t>
            </w:r>
          </w:p>
        </w:tc>
        <w:tc>
          <w:tcPr>
            <w:tcW w:w="489" w:type="dxa"/>
            <w:tcBorders>
              <w:tl2br w:val="nil"/>
              <w:tr2bl w:val="nil"/>
            </w:tcBorders>
            <w:shd w:val="clear" w:color="auto" w:fill="auto"/>
            <w:vAlign w:val="center"/>
          </w:tcPr>
          <w:p>
            <w:pPr>
              <w:jc w:val="center"/>
            </w:pPr>
            <w:r>
              <w:rPr>
                <w:rFonts w:ascii="宋体" w:hAnsi="宋体" w:eastAsia="宋体"/>
                <w:color w:val="000000"/>
                <w:sz w:val="16"/>
              </w:rPr>
              <w:t>24506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489" w:type="dxa"/>
            <w:tcBorders>
              <w:tl2br w:val="nil"/>
              <w:tr2bl w:val="nil"/>
            </w:tcBorders>
            <w:shd w:val="clear" w:color="auto" w:fill="auto"/>
            <w:vAlign w:val="center"/>
          </w:tcPr>
          <w:p>
            <w:pPr>
              <w:jc w:val="center"/>
            </w:pPr>
            <w:r>
              <w:rPr>
                <w:rFonts w:ascii="宋体" w:hAnsi="宋体" w:eastAsia="宋体"/>
                <w:color w:val="000000"/>
                <w:sz w:val="16"/>
              </w:rPr>
              <w:t>豫西山区</w:t>
            </w:r>
          </w:p>
        </w:tc>
        <w:tc>
          <w:tcPr>
            <w:tcW w:w="489" w:type="dxa"/>
            <w:tcBorders>
              <w:tl2br w:val="nil"/>
              <w:tr2bl w:val="nil"/>
            </w:tcBorders>
            <w:shd w:val="clear" w:color="auto" w:fill="auto"/>
            <w:vAlign w:val="center"/>
          </w:tcPr>
          <w:p>
            <w:pPr>
              <w:jc w:val="center"/>
            </w:pPr>
            <w:r>
              <w:rPr>
                <w:rFonts w:ascii="宋体" w:hAnsi="宋体" w:eastAsia="宋体"/>
                <w:color w:val="000000"/>
                <w:sz w:val="16"/>
              </w:rPr>
              <w:t>汝阳县</w:t>
            </w:r>
          </w:p>
        </w:tc>
        <w:tc>
          <w:tcPr>
            <w:tcW w:w="489" w:type="dxa"/>
            <w:tcBorders>
              <w:tl2br w:val="nil"/>
              <w:tr2bl w:val="nil"/>
            </w:tcBorders>
            <w:shd w:val="clear" w:color="auto" w:fill="auto"/>
            <w:vAlign w:val="center"/>
          </w:tcPr>
          <w:p>
            <w:pPr>
              <w:jc w:val="center"/>
            </w:pPr>
            <w:r>
              <w:rPr>
                <w:rFonts w:ascii="宋体" w:hAnsi="宋体" w:eastAsia="宋体"/>
                <w:color w:val="000000"/>
                <w:sz w:val="16"/>
              </w:rPr>
              <w:t>5</w:t>
            </w:r>
          </w:p>
        </w:tc>
        <w:tc>
          <w:tcPr>
            <w:tcW w:w="489" w:type="dxa"/>
            <w:tcBorders>
              <w:tl2br w:val="nil"/>
              <w:tr2bl w:val="nil"/>
            </w:tcBorders>
            <w:shd w:val="clear" w:color="auto" w:fill="auto"/>
            <w:vAlign w:val="center"/>
          </w:tcPr>
          <w:p>
            <w:pPr>
              <w:jc w:val="center"/>
            </w:pPr>
            <w:r>
              <w:rPr>
                <w:rFonts w:ascii="宋体" w:hAnsi="宋体" w:eastAsia="宋体"/>
                <w:color w:val="000000"/>
                <w:sz w:val="16"/>
              </w:rPr>
              <w:t>93.07</w:t>
            </w:r>
          </w:p>
        </w:tc>
        <w:tc>
          <w:tcPr>
            <w:tcW w:w="489" w:type="dxa"/>
            <w:tcBorders>
              <w:tl2br w:val="nil"/>
              <w:tr2bl w:val="nil"/>
            </w:tcBorders>
            <w:shd w:val="clear" w:color="auto" w:fill="auto"/>
            <w:vAlign w:val="center"/>
          </w:tcPr>
          <w:p>
            <w:pPr>
              <w:jc w:val="center"/>
            </w:pPr>
            <w:r>
              <w:rPr>
                <w:rFonts w:ascii="宋体" w:hAnsi="宋体" w:eastAsia="宋体"/>
                <w:color w:val="000000"/>
                <w:sz w:val="16"/>
              </w:rPr>
              <w:t>26</w:t>
            </w:r>
          </w:p>
        </w:tc>
        <w:tc>
          <w:tcPr>
            <w:tcW w:w="489" w:type="dxa"/>
            <w:tcBorders>
              <w:tl2br w:val="nil"/>
              <w:tr2bl w:val="nil"/>
            </w:tcBorders>
            <w:shd w:val="clear" w:color="auto" w:fill="auto"/>
            <w:vAlign w:val="center"/>
          </w:tcPr>
          <w:p>
            <w:pPr>
              <w:jc w:val="center"/>
            </w:pPr>
            <w:r>
              <w:rPr>
                <w:rFonts w:ascii="宋体" w:hAnsi="宋体" w:eastAsia="宋体"/>
                <w:color w:val="000000"/>
                <w:sz w:val="16"/>
              </w:rPr>
              <w:t>6</w:t>
            </w:r>
          </w:p>
        </w:tc>
        <w:tc>
          <w:tcPr>
            <w:tcW w:w="489" w:type="dxa"/>
            <w:tcBorders>
              <w:tl2br w:val="nil"/>
              <w:tr2bl w:val="nil"/>
            </w:tcBorders>
            <w:shd w:val="clear" w:color="auto" w:fill="auto"/>
            <w:vAlign w:val="center"/>
          </w:tcPr>
          <w:p>
            <w:pPr>
              <w:jc w:val="center"/>
            </w:pPr>
            <w:r>
              <w:rPr>
                <w:rFonts w:ascii="宋体" w:hAnsi="宋体" w:eastAsia="宋体"/>
                <w:color w:val="000000"/>
                <w:sz w:val="16"/>
              </w:rPr>
              <w:t>89</w:t>
            </w:r>
          </w:p>
        </w:tc>
        <w:tc>
          <w:tcPr>
            <w:tcW w:w="489" w:type="dxa"/>
            <w:tcBorders>
              <w:tl2br w:val="nil"/>
              <w:tr2bl w:val="nil"/>
            </w:tcBorders>
            <w:shd w:val="clear" w:color="auto" w:fill="auto"/>
            <w:vAlign w:val="center"/>
          </w:tcPr>
          <w:p>
            <w:pPr>
              <w:jc w:val="center"/>
            </w:pPr>
            <w:r>
              <w:rPr>
                <w:rFonts w:ascii="宋体" w:hAnsi="宋体" w:eastAsia="宋体"/>
                <w:color w:val="000000"/>
                <w:sz w:val="16"/>
              </w:rPr>
              <w:t>8</w:t>
            </w:r>
          </w:p>
        </w:tc>
        <w:tc>
          <w:tcPr>
            <w:tcW w:w="489" w:type="dxa"/>
            <w:tcBorders>
              <w:tl2br w:val="nil"/>
              <w:tr2bl w:val="nil"/>
            </w:tcBorders>
            <w:shd w:val="clear" w:color="auto" w:fill="auto"/>
            <w:vAlign w:val="center"/>
          </w:tcPr>
          <w:p>
            <w:pPr>
              <w:jc w:val="center"/>
            </w:pPr>
            <w:r>
              <w:rPr>
                <w:rFonts w:ascii="宋体" w:hAnsi="宋体" w:eastAsia="宋体"/>
                <w:color w:val="000000"/>
                <w:sz w:val="16"/>
              </w:rPr>
              <w:t>651.34</w:t>
            </w:r>
          </w:p>
        </w:tc>
        <w:tc>
          <w:tcPr>
            <w:tcW w:w="489" w:type="dxa"/>
            <w:tcBorders>
              <w:tl2br w:val="nil"/>
              <w:tr2bl w:val="nil"/>
            </w:tcBorders>
            <w:shd w:val="clear" w:color="auto" w:fill="auto"/>
            <w:vAlign w:val="center"/>
          </w:tcPr>
          <w:p>
            <w:pPr>
              <w:jc w:val="center"/>
            </w:pPr>
            <w:r>
              <w:rPr>
                <w:rFonts w:ascii="宋体" w:hAnsi="宋体" w:eastAsia="宋体"/>
                <w:color w:val="000000"/>
                <w:sz w:val="16"/>
              </w:rPr>
              <w:t>1478</w:t>
            </w:r>
          </w:p>
        </w:tc>
        <w:tc>
          <w:tcPr>
            <w:tcW w:w="489" w:type="dxa"/>
            <w:tcBorders>
              <w:tl2br w:val="nil"/>
              <w:tr2bl w:val="nil"/>
            </w:tcBorders>
            <w:shd w:val="clear" w:color="auto" w:fill="auto"/>
            <w:vAlign w:val="center"/>
          </w:tcPr>
          <w:p>
            <w:pPr>
              <w:jc w:val="center"/>
            </w:pPr>
            <w:r>
              <w:rPr>
                <w:rFonts w:ascii="宋体" w:hAnsi="宋体" w:eastAsia="宋体"/>
                <w:color w:val="000000"/>
                <w:sz w:val="16"/>
              </w:rPr>
              <w:t>15</w:t>
            </w:r>
          </w:p>
        </w:tc>
        <w:tc>
          <w:tcPr>
            <w:tcW w:w="489" w:type="dxa"/>
            <w:tcBorders>
              <w:tl2br w:val="nil"/>
              <w:tr2bl w:val="nil"/>
            </w:tcBorders>
            <w:shd w:val="clear" w:color="auto" w:fill="auto"/>
            <w:vAlign w:val="center"/>
          </w:tcPr>
          <w:p>
            <w:pPr>
              <w:jc w:val="center"/>
            </w:pPr>
            <w:r>
              <w:rPr>
                <w:rFonts w:ascii="宋体" w:hAnsi="宋体" w:eastAsia="宋体"/>
                <w:color w:val="000000"/>
                <w:sz w:val="16"/>
              </w:rPr>
              <w:t>630</w:t>
            </w:r>
          </w:p>
        </w:tc>
        <w:tc>
          <w:tcPr>
            <w:tcW w:w="489" w:type="dxa"/>
            <w:tcBorders>
              <w:tl2br w:val="nil"/>
              <w:tr2bl w:val="nil"/>
            </w:tcBorders>
            <w:shd w:val="clear" w:color="auto" w:fill="auto"/>
            <w:vAlign w:val="center"/>
          </w:tcPr>
          <w:p>
            <w:pPr>
              <w:jc w:val="center"/>
            </w:pPr>
            <w:r>
              <w:rPr>
                <w:rFonts w:ascii="宋体" w:hAnsi="宋体" w:eastAsia="宋体"/>
                <w:color w:val="000000"/>
                <w:sz w:val="16"/>
              </w:rPr>
              <w:t>1</w:t>
            </w:r>
          </w:p>
        </w:tc>
        <w:tc>
          <w:tcPr>
            <w:tcW w:w="489" w:type="dxa"/>
            <w:tcBorders>
              <w:tl2br w:val="nil"/>
              <w:tr2bl w:val="nil"/>
            </w:tcBorders>
            <w:shd w:val="clear" w:color="auto" w:fill="auto"/>
            <w:vAlign w:val="center"/>
          </w:tcPr>
          <w:p>
            <w:pPr>
              <w:jc w:val="center"/>
            </w:pPr>
            <w:r>
              <w:rPr>
                <w:rFonts w:ascii="宋体" w:hAnsi="宋体" w:eastAsia="宋体"/>
                <w:color w:val="000000"/>
                <w:sz w:val="16"/>
              </w:rPr>
              <w:t>584.24</w:t>
            </w:r>
          </w:p>
        </w:tc>
        <w:tc>
          <w:tcPr>
            <w:tcW w:w="489" w:type="dxa"/>
            <w:tcBorders>
              <w:tl2br w:val="nil"/>
              <w:tr2bl w:val="nil"/>
            </w:tcBorders>
            <w:shd w:val="clear" w:color="auto" w:fill="auto"/>
            <w:vAlign w:val="center"/>
          </w:tcPr>
          <w:p>
            <w:pPr>
              <w:jc w:val="center"/>
            </w:pPr>
            <w:r>
              <w:rPr>
                <w:rFonts w:ascii="宋体" w:hAnsi="宋体" w:eastAsia="宋体"/>
                <w:color w:val="000000"/>
                <w:sz w:val="16"/>
              </w:rPr>
              <w:t>571</w:t>
            </w:r>
          </w:p>
        </w:tc>
        <w:tc>
          <w:tcPr>
            <w:tcW w:w="489" w:type="dxa"/>
            <w:tcBorders>
              <w:tl2br w:val="nil"/>
              <w:tr2bl w:val="nil"/>
            </w:tcBorders>
            <w:shd w:val="clear" w:color="auto" w:fill="auto"/>
            <w:vAlign w:val="center"/>
          </w:tcPr>
          <w:p>
            <w:pPr>
              <w:jc w:val="center"/>
            </w:pPr>
            <w:r>
              <w:rPr>
                <w:rFonts w:ascii="宋体" w:hAnsi="宋体" w:eastAsia="宋体"/>
                <w:color w:val="000000"/>
                <w:sz w:val="16"/>
              </w:rPr>
              <w:t>11</w:t>
            </w:r>
          </w:p>
        </w:tc>
        <w:tc>
          <w:tcPr>
            <w:tcW w:w="489" w:type="dxa"/>
            <w:tcBorders>
              <w:tl2br w:val="nil"/>
              <w:tr2bl w:val="nil"/>
            </w:tcBorders>
            <w:shd w:val="clear" w:color="auto" w:fill="auto"/>
            <w:vAlign w:val="center"/>
          </w:tcPr>
          <w:p>
            <w:pPr>
              <w:jc w:val="center"/>
            </w:pPr>
            <w:r>
              <w:rPr>
                <w:rFonts w:ascii="宋体" w:hAnsi="宋体" w:eastAsia="宋体"/>
                <w:color w:val="000000"/>
                <w:sz w:val="16"/>
              </w:rPr>
              <w:t>23755</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489" w:type="dxa"/>
            <w:tcBorders>
              <w:tl2br w:val="nil"/>
              <w:tr2bl w:val="nil"/>
            </w:tcBorders>
            <w:shd w:val="clear" w:color="auto" w:fill="auto"/>
            <w:vAlign w:val="center"/>
          </w:tcPr>
          <w:p>
            <w:pPr>
              <w:jc w:val="center"/>
            </w:pPr>
            <w:r>
              <w:rPr>
                <w:rFonts w:ascii="宋体" w:hAnsi="宋体" w:eastAsia="宋体"/>
                <w:color w:val="000000"/>
                <w:sz w:val="16"/>
              </w:rPr>
              <w:t>豫西山区</w:t>
            </w:r>
          </w:p>
        </w:tc>
        <w:tc>
          <w:tcPr>
            <w:tcW w:w="489" w:type="dxa"/>
            <w:tcBorders>
              <w:tl2br w:val="nil"/>
              <w:tr2bl w:val="nil"/>
            </w:tcBorders>
            <w:shd w:val="clear" w:color="auto" w:fill="auto"/>
            <w:vAlign w:val="center"/>
          </w:tcPr>
          <w:p>
            <w:pPr>
              <w:jc w:val="center"/>
            </w:pPr>
            <w:r>
              <w:rPr>
                <w:rFonts w:ascii="宋体" w:hAnsi="宋体" w:eastAsia="宋体"/>
                <w:color w:val="000000"/>
                <w:sz w:val="16"/>
              </w:rPr>
              <w:t>洛宁县</w:t>
            </w:r>
          </w:p>
        </w:tc>
        <w:tc>
          <w:tcPr>
            <w:tcW w:w="489" w:type="dxa"/>
            <w:tcBorders>
              <w:tl2br w:val="nil"/>
              <w:tr2bl w:val="nil"/>
            </w:tcBorders>
            <w:shd w:val="clear" w:color="auto" w:fill="auto"/>
            <w:vAlign w:val="center"/>
          </w:tcPr>
          <w:p>
            <w:pPr>
              <w:jc w:val="center"/>
            </w:pPr>
            <w:r>
              <w:rPr>
                <w:rFonts w:ascii="宋体" w:hAnsi="宋体" w:eastAsia="宋体"/>
                <w:color w:val="000000"/>
                <w:sz w:val="16"/>
              </w:rPr>
              <w:t>2</w:t>
            </w:r>
          </w:p>
        </w:tc>
        <w:tc>
          <w:tcPr>
            <w:tcW w:w="489" w:type="dxa"/>
            <w:tcBorders>
              <w:tl2br w:val="nil"/>
              <w:tr2bl w:val="nil"/>
            </w:tcBorders>
            <w:shd w:val="clear" w:color="auto" w:fill="auto"/>
            <w:vAlign w:val="center"/>
          </w:tcPr>
          <w:p>
            <w:pPr>
              <w:jc w:val="center"/>
            </w:pPr>
            <w:r>
              <w:rPr>
                <w:rFonts w:ascii="宋体" w:hAnsi="宋体" w:eastAsia="宋体"/>
                <w:color w:val="000000"/>
                <w:sz w:val="16"/>
              </w:rPr>
              <w:t>82.38</w:t>
            </w:r>
          </w:p>
        </w:tc>
        <w:tc>
          <w:tcPr>
            <w:tcW w:w="489" w:type="dxa"/>
            <w:tcBorders>
              <w:tl2br w:val="nil"/>
              <w:tr2bl w:val="nil"/>
            </w:tcBorders>
            <w:shd w:val="clear" w:color="auto" w:fill="auto"/>
            <w:vAlign w:val="center"/>
          </w:tcPr>
          <w:p>
            <w:pPr>
              <w:jc w:val="center"/>
            </w:pPr>
            <w:r>
              <w:rPr>
                <w:rFonts w:ascii="宋体" w:hAnsi="宋体" w:eastAsia="宋体"/>
                <w:color w:val="000000"/>
                <w:sz w:val="16"/>
              </w:rPr>
              <w:t>43</w:t>
            </w:r>
          </w:p>
        </w:tc>
        <w:tc>
          <w:tcPr>
            <w:tcW w:w="489" w:type="dxa"/>
            <w:tcBorders>
              <w:tl2br w:val="nil"/>
              <w:tr2bl w:val="nil"/>
            </w:tcBorders>
            <w:shd w:val="clear" w:color="auto" w:fill="auto"/>
            <w:vAlign w:val="center"/>
          </w:tcPr>
          <w:p>
            <w:pPr>
              <w:jc w:val="center"/>
            </w:pPr>
            <w:r>
              <w:rPr>
                <w:rFonts w:ascii="宋体" w:hAnsi="宋体" w:eastAsia="宋体"/>
                <w:color w:val="000000"/>
                <w:sz w:val="16"/>
              </w:rPr>
              <w:t>12</w:t>
            </w:r>
          </w:p>
        </w:tc>
        <w:tc>
          <w:tcPr>
            <w:tcW w:w="489" w:type="dxa"/>
            <w:tcBorders>
              <w:tl2br w:val="nil"/>
              <w:tr2bl w:val="nil"/>
            </w:tcBorders>
            <w:shd w:val="clear" w:color="auto" w:fill="auto"/>
            <w:vAlign w:val="center"/>
          </w:tcPr>
          <w:p>
            <w:pPr>
              <w:jc w:val="center"/>
            </w:pPr>
            <w:r>
              <w:rPr>
                <w:rFonts w:ascii="宋体" w:hAnsi="宋体" w:eastAsia="宋体"/>
                <w:color w:val="000000"/>
                <w:sz w:val="16"/>
              </w:rPr>
              <w:t>1172</w:t>
            </w:r>
          </w:p>
        </w:tc>
        <w:tc>
          <w:tcPr>
            <w:tcW w:w="489" w:type="dxa"/>
            <w:tcBorders>
              <w:tl2br w:val="nil"/>
              <w:tr2bl w:val="nil"/>
            </w:tcBorders>
            <w:shd w:val="clear" w:color="auto" w:fill="auto"/>
            <w:vAlign w:val="center"/>
          </w:tcPr>
          <w:p>
            <w:pPr>
              <w:jc w:val="center"/>
            </w:pPr>
            <w:r>
              <w:rPr>
                <w:rFonts w:ascii="宋体" w:hAnsi="宋体" w:eastAsia="宋体"/>
                <w:color w:val="000000"/>
                <w:sz w:val="16"/>
              </w:rPr>
              <w:t>16</w:t>
            </w:r>
          </w:p>
        </w:tc>
        <w:tc>
          <w:tcPr>
            <w:tcW w:w="489" w:type="dxa"/>
            <w:tcBorders>
              <w:tl2br w:val="nil"/>
              <w:tr2bl w:val="nil"/>
            </w:tcBorders>
            <w:shd w:val="clear" w:color="auto" w:fill="auto"/>
            <w:vAlign w:val="center"/>
          </w:tcPr>
          <w:p>
            <w:pPr>
              <w:jc w:val="center"/>
            </w:pPr>
            <w:r>
              <w:rPr>
                <w:rFonts w:ascii="宋体" w:hAnsi="宋体" w:eastAsia="宋体"/>
                <w:color w:val="000000"/>
                <w:sz w:val="16"/>
              </w:rPr>
              <w:t>657.23</w:t>
            </w:r>
          </w:p>
        </w:tc>
        <w:tc>
          <w:tcPr>
            <w:tcW w:w="489" w:type="dxa"/>
            <w:tcBorders>
              <w:tl2br w:val="nil"/>
              <w:tr2bl w:val="nil"/>
            </w:tcBorders>
            <w:shd w:val="clear" w:color="auto" w:fill="auto"/>
            <w:vAlign w:val="center"/>
          </w:tcPr>
          <w:p>
            <w:pPr>
              <w:jc w:val="center"/>
            </w:pPr>
            <w:r>
              <w:rPr>
                <w:rFonts w:ascii="宋体" w:hAnsi="宋体" w:eastAsia="宋体"/>
                <w:color w:val="000000"/>
                <w:sz w:val="16"/>
              </w:rPr>
              <w:t>83</w:t>
            </w:r>
          </w:p>
        </w:tc>
        <w:tc>
          <w:tcPr>
            <w:tcW w:w="489" w:type="dxa"/>
            <w:tcBorders>
              <w:tl2br w:val="nil"/>
              <w:tr2bl w:val="nil"/>
            </w:tcBorders>
            <w:shd w:val="clear" w:color="auto" w:fill="auto"/>
            <w:vAlign w:val="center"/>
          </w:tcPr>
          <w:p>
            <w:pPr>
              <w:jc w:val="center"/>
            </w:pPr>
            <w:r>
              <w:rPr>
                <w:rFonts w:ascii="宋体" w:hAnsi="宋体" w:eastAsia="宋体"/>
                <w:color w:val="000000"/>
                <w:sz w:val="16"/>
              </w:rPr>
              <w:t>21</w:t>
            </w:r>
          </w:p>
        </w:tc>
        <w:tc>
          <w:tcPr>
            <w:tcW w:w="489" w:type="dxa"/>
            <w:tcBorders>
              <w:tl2br w:val="nil"/>
              <w:tr2bl w:val="nil"/>
            </w:tcBorders>
            <w:shd w:val="clear" w:color="auto" w:fill="auto"/>
            <w:vAlign w:val="center"/>
          </w:tcPr>
          <w:p>
            <w:pPr>
              <w:jc w:val="center"/>
            </w:pPr>
            <w:r>
              <w:rPr>
                <w:rFonts w:ascii="宋体" w:hAnsi="宋体" w:eastAsia="宋体"/>
                <w:color w:val="000000"/>
                <w:sz w:val="16"/>
              </w:rPr>
              <w:t>1246</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1564.24</w:t>
            </w:r>
          </w:p>
        </w:tc>
        <w:tc>
          <w:tcPr>
            <w:tcW w:w="489" w:type="dxa"/>
            <w:tcBorders>
              <w:tl2br w:val="nil"/>
              <w:tr2bl w:val="nil"/>
            </w:tcBorders>
            <w:shd w:val="clear" w:color="auto" w:fill="auto"/>
            <w:vAlign w:val="center"/>
          </w:tcPr>
          <w:p>
            <w:pPr>
              <w:jc w:val="center"/>
            </w:pPr>
            <w:r>
              <w:rPr>
                <w:rFonts w:ascii="宋体" w:hAnsi="宋体" w:eastAsia="宋体"/>
                <w:color w:val="000000"/>
                <w:sz w:val="16"/>
              </w:rPr>
              <w:t>655</w:t>
            </w:r>
          </w:p>
        </w:tc>
        <w:tc>
          <w:tcPr>
            <w:tcW w:w="489" w:type="dxa"/>
            <w:tcBorders>
              <w:tl2br w:val="nil"/>
              <w:tr2bl w:val="nil"/>
            </w:tcBorders>
            <w:shd w:val="clear" w:color="auto" w:fill="auto"/>
            <w:vAlign w:val="center"/>
          </w:tcPr>
          <w:p>
            <w:pPr>
              <w:jc w:val="center"/>
            </w:pPr>
            <w:r>
              <w:rPr>
                <w:rFonts w:ascii="宋体" w:hAnsi="宋体" w:eastAsia="宋体"/>
                <w:color w:val="000000"/>
                <w:sz w:val="16"/>
              </w:rPr>
              <w:t>22</w:t>
            </w:r>
          </w:p>
        </w:tc>
        <w:tc>
          <w:tcPr>
            <w:tcW w:w="489" w:type="dxa"/>
            <w:tcBorders>
              <w:tl2br w:val="nil"/>
              <w:tr2bl w:val="nil"/>
            </w:tcBorders>
            <w:shd w:val="clear" w:color="auto" w:fill="auto"/>
            <w:vAlign w:val="center"/>
          </w:tcPr>
          <w:p>
            <w:pPr>
              <w:jc w:val="center"/>
            </w:pPr>
            <w:r>
              <w:rPr>
                <w:rFonts w:ascii="宋体" w:hAnsi="宋体" w:eastAsia="宋体"/>
                <w:color w:val="000000"/>
                <w:sz w:val="16"/>
              </w:rPr>
              <w:t>1861</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PrEx>
        <w:trPr>
          <w:jc w:val="center"/>
        </w:trPr>
        <w:tc>
          <w:tcPr>
            <w:tcW w:w="489" w:type="dxa"/>
            <w:tcBorders>
              <w:tl2br w:val="nil"/>
              <w:tr2bl w:val="nil"/>
            </w:tcBorders>
            <w:shd w:val="clear" w:color="auto" w:fill="auto"/>
            <w:vAlign w:val="center"/>
          </w:tcPr>
          <w:p>
            <w:pPr>
              <w:jc w:val="center"/>
            </w:pPr>
            <w:r>
              <w:rPr>
                <w:rFonts w:ascii="宋体" w:hAnsi="宋体" w:eastAsia="宋体"/>
                <w:color w:val="000000"/>
                <w:sz w:val="16"/>
              </w:rPr>
              <w:t>黄河中游黄土丘陵</w:t>
            </w:r>
          </w:p>
        </w:tc>
        <w:tc>
          <w:tcPr>
            <w:tcW w:w="489" w:type="dxa"/>
            <w:tcBorders>
              <w:tl2br w:val="nil"/>
              <w:tr2bl w:val="nil"/>
            </w:tcBorders>
            <w:shd w:val="clear" w:color="auto" w:fill="auto"/>
            <w:vAlign w:val="center"/>
          </w:tcPr>
          <w:p>
            <w:pPr>
              <w:jc w:val="center"/>
            </w:pPr>
            <w:r>
              <w:rPr>
                <w:rFonts w:ascii="宋体" w:hAnsi="宋体" w:eastAsia="宋体"/>
                <w:color w:val="000000"/>
                <w:sz w:val="16"/>
              </w:rPr>
              <w:t>洛龙区</w:t>
            </w:r>
          </w:p>
        </w:tc>
        <w:tc>
          <w:tcPr>
            <w:tcW w:w="489" w:type="dxa"/>
            <w:tcBorders>
              <w:tl2br w:val="nil"/>
              <w:tr2bl w:val="nil"/>
            </w:tcBorders>
            <w:shd w:val="clear" w:color="auto" w:fill="auto"/>
            <w:vAlign w:val="center"/>
          </w:tcPr>
          <w:p>
            <w:pPr>
              <w:jc w:val="center"/>
            </w:pPr>
            <w:r>
              <w:rPr>
                <w:rFonts w:ascii="宋体" w:hAnsi="宋体" w:eastAsia="宋体"/>
                <w:color w:val="000000"/>
                <w:sz w:val="16"/>
              </w:rPr>
              <w:t>8</w:t>
            </w:r>
          </w:p>
        </w:tc>
        <w:tc>
          <w:tcPr>
            <w:tcW w:w="489" w:type="dxa"/>
            <w:tcBorders>
              <w:tl2br w:val="nil"/>
              <w:tr2bl w:val="nil"/>
            </w:tcBorders>
            <w:shd w:val="clear" w:color="auto" w:fill="auto"/>
            <w:vAlign w:val="center"/>
          </w:tcPr>
          <w:p>
            <w:pPr>
              <w:jc w:val="center"/>
            </w:pPr>
            <w:r>
              <w:rPr>
                <w:rFonts w:ascii="宋体" w:hAnsi="宋体" w:eastAsia="宋体"/>
                <w:color w:val="000000"/>
                <w:sz w:val="16"/>
              </w:rPr>
              <w:t>14.14</w:t>
            </w:r>
          </w:p>
        </w:tc>
        <w:tc>
          <w:tcPr>
            <w:tcW w:w="489" w:type="dxa"/>
            <w:tcBorders>
              <w:tl2br w:val="nil"/>
              <w:tr2bl w:val="nil"/>
            </w:tcBorders>
            <w:shd w:val="clear" w:color="auto" w:fill="auto"/>
            <w:vAlign w:val="center"/>
          </w:tcPr>
          <w:p>
            <w:pPr>
              <w:jc w:val="center"/>
            </w:pPr>
            <w:r>
              <w:rPr>
                <w:rFonts w:ascii="宋体" w:hAnsi="宋体" w:eastAsia="宋体"/>
                <w:color w:val="000000"/>
                <w:sz w:val="16"/>
              </w:rPr>
              <w:t>0</w:t>
            </w:r>
          </w:p>
        </w:tc>
        <w:tc>
          <w:tcPr>
            <w:tcW w:w="489" w:type="dxa"/>
            <w:tcBorders>
              <w:tl2br w:val="nil"/>
              <w:tr2bl w:val="nil"/>
            </w:tcBorders>
            <w:shd w:val="clear" w:color="auto" w:fill="auto"/>
            <w:vAlign w:val="center"/>
          </w:tcPr>
          <w:p>
            <w:pPr>
              <w:jc w:val="center"/>
            </w:pPr>
            <w:r>
              <w:rPr>
                <w:rFonts w:ascii="宋体" w:hAnsi="宋体" w:eastAsia="宋体"/>
                <w:color w:val="000000"/>
                <w:sz w:val="16"/>
              </w:rPr>
              <w:t>46</w:t>
            </w:r>
          </w:p>
        </w:tc>
        <w:tc>
          <w:tcPr>
            <w:tcW w:w="489" w:type="dxa"/>
            <w:tcBorders>
              <w:tl2br w:val="nil"/>
              <w:tr2bl w:val="nil"/>
            </w:tcBorders>
            <w:shd w:val="clear" w:color="auto" w:fill="auto"/>
            <w:vAlign w:val="center"/>
          </w:tcPr>
          <w:p>
            <w:pPr>
              <w:jc w:val="center"/>
            </w:pPr>
            <w:r>
              <w:rPr>
                <w:rFonts w:ascii="宋体" w:hAnsi="宋体" w:eastAsia="宋体"/>
                <w:color w:val="000000"/>
                <w:sz w:val="16"/>
              </w:rPr>
              <w:t>991</w:t>
            </w:r>
          </w:p>
        </w:tc>
        <w:tc>
          <w:tcPr>
            <w:tcW w:w="489" w:type="dxa"/>
            <w:tcBorders>
              <w:tl2br w:val="nil"/>
              <w:tr2bl w:val="nil"/>
            </w:tcBorders>
            <w:shd w:val="clear" w:color="auto" w:fill="auto"/>
            <w:vAlign w:val="center"/>
          </w:tcPr>
          <w:p>
            <w:pPr>
              <w:jc w:val="center"/>
            </w:pPr>
            <w:r>
              <w:rPr>
                <w:rFonts w:ascii="宋体" w:hAnsi="宋体" w:eastAsia="宋体"/>
                <w:color w:val="000000"/>
                <w:sz w:val="16"/>
              </w:rPr>
              <w:t>1</w:t>
            </w:r>
          </w:p>
        </w:tc>
        <w:tc>
          <w:tcPr>
            <w:tcW w:w="489" w:type="dxa"/>
            <w:tcBorders>
              <w:tl2br w:val="nil"/>
              <w:tr2bl w:val="nil"/>
            </w:tcBorders>
            <w:shd w:val="clear" w:color="auto" w:fill="auto"/>
            <w:vAlign w:val="center"/>
          </w:tcPr>
          <w:p>
            <w:pPr>
              <w:jc w:val="center"/>
            </w:pPr>
            <w:r>
              <w:rPr>
                <w:rFonts w:ascii="宋体" w:hAnsi="宋体" w:eastAsia="宋体"/>
                <w:color w:val="000000"/>
                <w:sz w:val="16"/>
              </w:rPr>
              <w:t>68.52</w:t>
            </w:r>
          </w:p>
        </w:tc>
        <w:tc>
          <w:tcPr>
            <w:tcW w:w="489" w:type="dxa"/>
            <w:tcBorders>
              <w:tl2br w:val="nil"/>
              <w:tr2bl w:val="nil"/>
            </w:tcBorders>
            <w:shd w:val="clear" w:color="auto" w:fill="auto"/>
            <w:vAlign w:val="center"/>
          </w:tcPr>
          <w:p>
            <w:pPr>
              <w:jc w:val="center"/>
            </w:pPr>
            <w:r>
              <w:rPr>
                <w:rFonts w:ascii="宋体" w:hAnsi="宋体" w:eastAsia="宋体"/>
                <w:color w:val="000000"/>
                <w:sz w:val="16"/>
              </w:rPr>
              <w:t>89</w:t>
            </w:r>
          </w:p>
        </w:tc>
        <w:tc>
          <w:tcPr>
            <w:tcW w:w="489" w:type="dxa"/>
            <w:tcBorders>
              <w:tl2br w:val="nil"/>
              <w:tr2bl w:val="nil"/>
            </w:tcBorders>
            <w:shd w:val="clear" w:color="auto" w:fill="auto"/>
            <w:vAlign w:val="center"/>
          </w:tcPr>
          <w:p>
            <w:pPr>
              <w:jc w:val="center"/>
            </w:pPr>
            <w:r>
              <w:rPr>
                <w:rFonts w:ascii="宋体" w:hAnsi="宋体" w:eastAsia="宋体"/>
                <w:color w:val="000000"/>
                <w:sz w:val="16"/>
              </w:rPr>
              <w:t>233</w:t>
            </w:r>
          </w:p>
        </w:tc>
        <w:tc>
          <w:tcPr>
            <w:tcW w:w="489" w:type="dxa"/>
            <w:tcBorders>
              <w:tl2br w:val="nil"/>
              <w:tr2bl w:val="nil"/>
            </w:tcBorders>
            <w:shd w:val="clear" w:color="auto" w:fill="auto"/>
            <w:vAlign w:val="center"/>
          </w:tcPr>
          <w:p>
            <w:pPr>
              <w:jc w:val="center"/>
            </w:pPr>
            <w:r>
              <w:rPr>
                <w:rFonts w:ascii="宋体" w:hAnsi="宋体" w:eastAsia="宋体"/>
                <w:color w:val="000000"/>
                <w:sz w:val="16"/>
              </w:rPr>
              <w:t>11335</w:t>
            </w:r>
          </w:p>
        </w:tc>
        <w:tc>
          <w:tcPr>
            <w:tcW w:w="489" w:type="dxa"/>
            <w:tcBorders>
              <w:tl2br w:val="nil"/>
              <w:tr2bl w:val="nil"/>
            </w:tcBorders>
            <w:shd w:val="clear" w:color="auto" w:fill="auto"/>
            <w:vAlign w:val="center"/>
          </w:tcPr>
          <w:p>
            <w:pPr>
              <w:jc w:val="center"/>
            </w:pPr>
            <w:r>
              <w:rPr>
                <w:rFonts w:ascii="宋体" w:hAnsi="宋体" w:eastAsia="宋体"/>
                <w:color w:val="000000"/>
                <w:sz w:val="16"/>
              </w:rPr>
              <w:t>11</w:t>
            </w:r>
          </w:p>
        </w:tc>
        <w:tc>
          <w:tcPr>
            <w:tcW w:w="489" w:type="dxa"/>
            <w:tcBorders>
              <w:tl2br w:val="nil"/>
              <w:tr2bl w:val="nil"/>
            </w:tcBorders>
            <w:shd w:val="clear" w:color="auto" w:fill="auto"/>
            <w:vAlign w:val="center"/>
          </w:tcPr>
          <w:p>
            <w:pPr>
              <w:jc w:val="center"/>
            </w:pPr>
            <w:r>
              <w:rPr>
                <w:rFonts w:ascii="宋体" w:hAnsi="宋体" w:eastAsia="宋体"/>
                <w:color w:val="000000"/>
                <w:sz w:val="16"/>
              </w:rPr>
              <w:t>507.28</w:t>
            </w:r>
          </w:p>
        </w:tc>
        <w:tc>
          <w:tcPr>
            <w:tcW w:w="489" w:type="dxa"/>
            <w:tcBorders>
              <w:tl2br w:val="nil"/>
              <w:tr2bl w:val="nil"/>
            </w:tcBorders>
            <w:shd w:val="clear" w:color="auto" w:fill="auto"/>
            <w:vAlign w:val="center"/>
          </w:tcPr>
          <w:p>
            <w:pPr>
              <w:jc w:val="center"/>
            </w:pPr>
            <w:r>
              <w:rPr>
                <w:rFonts w:ascii="宋体" w:hAnsi="宋体" w:eastAsia="宋体"/>
                <w:color w:val="000000"/>
                <w:sz w:val="16"/>
              </w:rPr>
              <w:t>77</w:t>
            </w:r>
          </w:p>
        </w:tc>
        <w:tc>
          <w:tcPr>
            <w:tcW w:w="489" w:type="dxa"/>
            <w:tcBorders>
              <w:tl2br w:val="nil"/>
              <w:tr2bl w:val="nil"/>
            </w:tcBorders>
            <w:shd w:val="clear" w:color="auto" w:fill="auto"/>
            <w:vAlign w:val="center"/>
          </w:tcPr>
          <w:p>
            <w:pPr>
              <w:jc w:val="center"/>
            </w:pPr>
            <w:r>
              <w:rPr>
                <w:rFonts w:ascii="宋体" w:hAnsi="宋体" w:eastAsia="宋体"/>
                <w:color w:val="000000"/>
                <w:sz w:val="16"/>
              </w:rPr>
              <w:t>98</w:t>
            </w:r>
          </w:p>
        </w:tc>
        <w:tc>
          <w:tcPr>
            <w:tcW w:w="489" w:type="dxa"/>
            <w:tcBorders>
              <w:tl2br w:val="nil"/>
              <w:tr2bl w:val="nil"/>
            </w:tcBorders>
            <w:shd w:val="clear" w:color="auto" w:fill="auto"/>
            <w:vAlign w:val="center"/>
          </w:tcPr>
          <w:p>
            <w:pPr>
              <w:jc w:val="center"/>
            </w:pPr>
            <w:r>
              <w:rPr>
                <w:rFonts w:ascii="宋体" w:hAnsi="宋体" w:eastAsia="宋体"/>
                <w:color w:val="000000"/>
                <w:sz w:val="16"/>
              </w:rPr>
              <w:t>4554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jc w:val="center"/>
        </w:trPr>
        <w:tc>
          <w:tcPr>
            <w:tcW w:w="489" w:type="dxa"/>
            <w:tcBorders>
              <w:tl2br w:val="nil"/>
              <w:tr2bl w:val="nil"/>
            </w:tcBorders>
            <w:shd w:val="clear" w:color="auto" w:fill="auto"/>
            <w:vAlign w:val="center"/>
          </w:tcPr>
          <w:p>
            <w:pPr>
              <w:jc w:val="center"/>
            </w:pPr>
            <w:r>
              <w:rPr>
                <w:rFonts w:ascii="宋体" w:hAnsi="宋体" w:eastAsia="宋体"/>
                <w:color w:val="000000"/>
                <w:sz w:val="16"/>
              </w:rPr>
              <w:t>—</w:t>
            </w:r>
          </w:p>
        </w:tc>
        <w:tc>
          <w:tcPr>
            <w:tcW w:w="489" w:type="dxa"/>
            <w:tcBorders>
              <w:tl2br w:val="nil"/>
              <w:tr2bl w:val="nil"/>
            </w:tcBorders>
            <w:shd w:val="clear" w:color="auto" w:fill="auto"/>
            <w:vAlign w:val="center"/>
          </w:tcPr>
          <w:p>
            <w:pPr>
              <w:jc w:val="center"/>
            </w:pPr>
            <w:r>
              <w:rPr>
                <w:rFonts w:ascii="宋体" w:hAnsi="宋体" w:eastAsia="宋体"/>
                <w:color w:val="000000"/>
                <w:sz w:val="16"/>
              </w:rPr>
              <w:t>洛阳市合计</w:t>
            </w:r>
          </w:p>
        </w:tc>
        <w:tc>
          <w:tcPr>
            <w:tcW w:w="489" w:type="dxa"/>
            <w:tcBorders>
              <w:tl2br w:val="nil"/>
              <w:tr2bl w:val="nil"/>
            </w:tcBorders>
            <w:shd w:val="clear" w:color="auto" w:fill="auto"/>
            <w:vAlign w:val="center"/>
          </w:tcPr>
          <w:p>
            <w:pPr>
              <w:jc w:val="center"/>
            </w:pPr>
            <w:r>
              <w:rPr>
                <w:rFonts w:ascii="宋体" w:hAnsi="宋体" w:eastAsia="宋体"/>
                <w:color w:val="000000"/>
                <w:sz w:val="16"/>
              </w:rPr>
              <w:t>65</w:t>
            </w:r>
          </w:p>
        </w:tc>
        <w:tc>
          <w:tcPr>
            <w:tcW w:w="489" w:type="dxa"/>
            <w:tcBorders>
              <w:tl2br w:val="nil"/>
              <w:tr2bl w:val="nil"/>
            </w:tcBorders>
            <w:shd w:val="clear" w:color="auto" w:fill="auto"/>
            <w:vAlign w:val="center"/>
          </w:tcPr>
          <w:p>
            <w:pPr>
              <w:jc w:val="center"/>
            </w:pPr>
            <w:r>
              <w:rPr>
                <w:rFonts w:ascii="宋体" w:hAnsi="宋体" w:eastAsia="宋体"/>
                <w:color w:val="000000"/>
                <w:sz w:val="16"/>
              </w:rPr>
              <w:t>1904.54</w:t>
            </w:r>
          </w:p>
        </w:tc>
        <w:tc>
          <w:tcPr>
            <w:tcW w:w="489" w:type="dxa"/>
            <w:tcBorders>
              <w:tl2br w:val="nil"/>
              <w:tr2bl w:val="nil"/>
            </w:tcBorders>
            <w:shd w:val="clear" w:color="auto" w:fill="auto"/>
            <w:vAlign w:val="center"/>
          </w:tcPr>
          <w:p>
            <w:pPr>
              <w:jc w:val="center"/>
            </w:pPr>
            <w:r>
              <w:rPr>
                <w:rFonts w:ascii="宋体" w:hAnsi="宋体" w:eastAsia="宋体"/>
                <w:color w:val="000000"/>
                <w:sz w:val="16"/>
              </w:rPr>
              <w:t>3419</w:t>
            </w:r>
          </w:p>
        </w:tc>
        <w:tc>
          <w:tcPr>
            <w:tcW w:w="489" w:type="dxa"/>
            <w:tcBorders>
              <w:tl2br w:val="nil"/>
              <w:tr2bl w:val="nil"/>
            </w:tcBorders>
            <w:shd w:val="clear" w:color="auto" w:fill="auto"/>
            <w:vAlign w:val="center"/>
          </w:tcPr>
          <w:p>
            <w:pPr>
              <w:jc w:val="center"/>
            </w:pPr>
            <w:r>
              <w:rPr>
                <w:rFonts w:ascii="宋体" w:hAnsi="宋体" w:eastAsia="宋体"/>
                <w:color w:val="000000"/>
                <w:sz w:val="16"/>
              </w:rPr>
              <w:t>103</w:t>
            </w:r>
          </w:p>
        </w:tc>
        <w:tc>
          <w:tcPr>
            <w:tcW w:w="489" w:type="dxa"/>
            <w:tcBorders>
              <w:tl2br w:val="nil"/>
              <w:tr2bl w:val="nil"/>
            </w:tcBorders>
            <w:shd w:val="clear" w:color="auto" w:fill="auto"/>
            <w:vAlign w:val="center"/>
          </w:tcPr>
          <w:p>
            <w:pPr>
              <w:jc w:val="center"/>
            </w:pPr>
            <w:r>
              <w:rPr>
                <w:rFonts w:ascii="宋体" w:hAnsi="宋体" w:eastAsia="宋体"/>
                <w:color w:val="000000"/>
                <w:sz w:val="16"/>
              </w:rPr>
              <w:t>14458</w:t>
            </w:r>
          </w:p>
        </w:tc>
        <w:tc>
          <w:tcPr>
            <w:tcW w:w="489" w:type="dxa"/>
            <w:tcBorders>
              <w:tl2br w:val="nil"/>
              <w:tr2bl w:val="nil"/>
            </w:tcBorders>
            <w:shd w:val="clear" w:color="auto" w:fill="auto"/>
            <w:vAlign w:val="center"/>
          </w:tcPr>
          <w:p>
            <w:pPr>
              <w:jc w:val="center"/>
            </w:pPr>
            <w:r>
              <w:rPr>
                <w:rFonts w:ascii="宋体" w:hAnsi="宋体" w:eastAsia="宋体"/>
                <w:color w:val="000000"/>
                <w:sz w:val="16"/>
              </w:rPr>
              <w:t>66</w:t>
            </w:r>
          </w:p>
        </w:tc>
        <w:tc>
          <w:tcPr>
            <w:tcW w:w="489" w:type="dxa"/>
            <w:tcBorders>
              <w:tl2br w:val="nil"/>
              <w:tr2bl w:val="nil"/>
            </w:tcBorders>
            <w:shd w:val="clear" w:color="auto" w:fill="auto"/>
            <w:vAlign w:val="center"/>
          </w:tcPr>
          <w:p>
            <w:pPr>
              <w:jc w:val="center"/>
            </w:pPr>
            <w:r>
              <w:rPr>
                <w:rFonts w:ascii="宋体" w:hAnsi="宋体" w:eastAsia="宋体"/>
                <w:color w:val="000000"/>
                <w:sz w:val="16"/>
              </w:rPr>
              <w:t>4274.81</w:t>
            </w:r>
          </w:p>
        </w:tc>
        <w:tc>
          <w:tcPr>
            <w:tcW w:w="489" w:type="dxa"/>
            <w:tcBorders>
              <w:tl2br w:val="nil"/>
              <w:tr2bl w:val="nil"/>
            </w:tcBorders>
            <w:shd w:val="clear" w:color="auto" w:fill="auto"/>
            <w:vAlign w:val="center"/>
          </w:tcPr>
          <w:p>
            <w:pPr>
              <w:jc w:val="center"/>
            </w:pPr>
            <w:r>
              <w:rPr>
                <w:rFonts w:ascii="宋体" w:hAnsi="宋体" w:eastAsia="宋体"/>
                <w:color w:val="000000"/>
                <w:sz w:val="16"/>
              </w:rPr>
              <w:t>5355</w:t>
            </w:r>
          </w:p>
        </w:tc>
        <w:tc>
          <w:tcPr>
            <w:tcW w:w="489" w:type="dxa"/>
            <w:tcBorders>
              <w:tl2br w:val="nil"/>
              <w:tr2bl w:val="nil"/>
            </w:tcBorders>
            <w:shd w:val="clear" w:color="auto" w:fill="auto"/>
            <w:vAlign w:val="center"/>
          </w:tcPr>
          <w:p>
            <w:pPr>
              <w:jc w:val="center"/>
            </w:pPr>
            <w:r>
              <w:rPr>
                <w:rFonts w:ascii="宋体" w:hAnsi="宋体" w:eastAsia="宋体"/>
                <w:color w:val="000000"/>
                <w:sz w:val="16"/>
              </w:rPr>
              <w:t>405</w:t>
            </w:r>
          </w:p>
        </w:tc>
        <w:tc>
          <w:tcPr>
            <w:tcW w:w="489" w:type="dxa"/>
            <w:tcBorders>
              <w:tl2br w:val="nil"/>
              <w:tr2bl w:val="nil"/>
            </w:tcBorders>
            <w:shd w:val="clear" w:color="auto" w:fill="auto"/>
            <w:vAlign w:val="center"/>
          </w:tcPr>
          <w:p>
            <w:pPr>
              <w:jc w:val="center"/>
            </w:pPr>
            <w:r>
              <w:rPr>
                <w:rFonts w:ascii="宋体" w:hAnsi="宋体" w:eastAsia="宋体"/>
                <w:color w:val="000000"/>
                <w:sz w:val="16"/>
              </w:rPr>
              <w:t>20893</w:t>
            </w:r>
          </w:p>
        </w:tc>
        <w:tc>
          <w:tcPr>
            <w:tcW w:w="489" w:type="dxa"/>
            <w:tcBorders>
              <w:tl2br w:val="nil"/>
              <w:tr2bl w:val="nil"/>
            </w:tcBorders>
            <w:shd w:val="clear" w:color="auto" w:fill="auto"/>
            <w:vAlign w:val="center"/>
          </w:tcPr>
          <w:p>
            <w:pPr>
              <w:jc w:val="center"/>
            </w:pPr>
            <w:r>
              <w:rPr>
                <w:rFonts w:ascii="宋体" w:hAnsi="宋体" w:eastAsia="宋体"/>
                <w:color w:val="000000"/>
                <w:sz w:val="16"/>
              </w:rPr>
              <w:t>20</w:t>
            </w:r>
          </w:p>
        </w:tc>
        <w:tc>
          <w:tcPr>
            <w:tcW w:w="489" w:type="dxa"/>
            <w:tcBorders>
              <w:tl2br w:val="nil"/>
              <w:tr2bl w:val="nil"/>
            </w:tcBorders>
            <w:shd w:val="clear" w:color="auto" w:fill="auto"/>
            <w:vAlign w:val="center"/>
          </w:tcPr>
          <w:p>
            <w:pPr>
              <w:jc w:val="center"/>
            </w:pPr>
            <w:r>
              <w:rPr>
                <w:rFonts w:ascii="宋体" w:hAnsi="宋体" w:eastAsia="宋体"/>
                <w:color w:val="000000"/>
                <w:sz w:val="16"/>
              </w:rPr>
              <w:t>8847.82</w:t>
            </w:r>
          </w:p>
        </w:tc>
        <w:tc>
          <w:tcPr>
            <w:tcW w:w="489" w:type="dxa"/>
            <w:tcBorders>
              <w:tl2br w:val="nil"/>
              <w:tr2bl w:val="nil"/>
            </w:tcBorders>
            <w:shd w:val="clear" w:color="auto" w:fill="auto"/>
            <w:vAlign w:val="center"/>
          </w:tcPr>
          <w:p>
            <w:pPr>
              <w:jc w:val="center"/>
            </w:pPr>
            <w:r>
              <w:rPr>
                <w:rFonts w:ascii="宋体" w:hAnsi="宋体" w:eastAsia="宋体"/>
                <w:color w:val="000000"/>
                <w:sz w:val="16"/>
              </w:rPr>
              <w:t>5943</w:t>
            </w:r>
          </w:p>
        </w:tc>
        <w:tc>
          <w:tcPr>
            <w:tcW w:w="489" w:type="dxa"/>
            <w:tcBorders>
              <w:tl2br w:val="nil"/>
              <w:tr2bl w:val="nil"/>
            </w:tcBorders>
            <w:shd w:val="clear" w:color="auto" w:fill="auto"/>
            <w:vAlign w:val="center"/>
          </w:tcPr>
          <w:p>
            <w:pPr>
              <w:jc w:val="center"/>
            </w:pPr>
            <w:r>
              <w:rPr>
                <w:rFonts w:ascii="宋体" w:hAnsi="宋体" w:eastAsia="宋体"/>
                <w:color w:val="000000"/>
                <w:sz w:val="16"/>
              </w:rPr>
              <w:t>409</w:t>
            </w:r>
          </w:p>
        </w:tc>
        <w:tc>
          <w:tcPr>
            <w:tcW w:w="489" w:type="dxa"/>
            <w:tcBorders>
              <w:tl2br w:val="nil"/>
              <w:tr2bl w:val="nil"/>
            </w:tcBorders>
            <w:shd w:val="clear" w:color="auto" w:fill="auto"/>
            <w:vAlign w:val="center"/>
          </w:tcPr>
          <w:p>
            <w:pPr>
              <w:jc w:val="center"/>
            </w:pPr>
            <w:r>
              <w:rPr>
                <w:rFonts w:ascii="宋体" w:hAnsi="宋体" w:eastAsia="宋体"/>
                <w:color w:val="000000"/>
                <w:sz w:val="16"/>
              </w:rPr>
              <w:t>127760</w:t>
            </w:r>
          </w:p>
        </w:tc>
      </w:tr>
    </w:tbl>
    <w:p>
      <w:pPr>
        <w:spacing w:before="20" w:after="20"/>
        <w:jc w:val="left"/>
      </w:pPr>
      <w:r>
        <w:rPr>
          <w:rFonts w:ascii="Times New Roman" w:hAnsi="Times New Roman" w:eastAsia="宋体" w:cs="Times New Roman"/>
          <w:color w:val="000000"/>
          <w:sz w:val="16"/>
        </w:rPr>
        <w:t>注：1. 本表为洛阳市地质灾害防治分区表（区县），实行“隐患点+风险斜坡”双控。以乡镇行政单元为评价单元，综合乡镇最高易发等级与隐患点、风险斜坡数量、受威胁人口规模划定：高易发乡镇且（隐患点≥3处或风险斜坡≥8处或受威胁人数≥500人）划为重点防治区（Z）；其余高易发乡镇及中易发乡镇划为次重点防治区（C）；低易发及非易发乡镇划为一般防治区（Y），最终以省级地质灾害防治分区图校核为准。</w:t>
      </w:r>
    </w:p>
    <w:p>
      <w:pPr>
        <w:spacing w:before="20" w:after="20"/>
        <w:jc w:val="left"/>
      </w:pPr>
      <w:r>
        <w:rPr>
          <w:rFonts w:ascii="Times New Roman" w:hAnsi="Times New Roman" w:eastAsia="宋体" w:cs="Times New Roman"/>
          <w:color w:val="000000"/>
          <w:sz w:val="16"/>
        </w:rPr>
        <w:t>2.各防治区面积、隐患点受威胁人数、风险斜坡数及潜在威胁人数，按乡镇与易发分区面相交图斑落界汇总（Z＝高易发图斑、C＝中易发图斑、Y＝低易发与非易发图斑），与附表一完全一致；“乡镇数”按乡镇行政单元单一归属计数——高易发乡镇且（隐患点≥3处或风险斜坡≥8处或受威胁人数≥500人）计为重点防治乡镇，其余高易发乡镇及中易发乡镇计为次重点防治乡镇，低易发、非易发乡镇计为一般防治乡镇，Z、C、Y乡镇数之和＝全市涉灾乡镇151个。</w:t>
      </w:r>
    </w:p>
    <w:p>
      <w:pPr>
        <w:spacing w:before="20" w:after="20"/>
        <w:jc w:val="left"/>
      </w:pPr>
      <w:r>
        <w:rPr>
          <w:rFonts w:ascii="Times New Roman" w:hAnsi="Times New Roman" w:eastAsia="宋体" w:cs="Times New Roman"/>
          <w:color w:val="000000"/>
          <w:sz w:val="16"/>
        </w:rPr>
        <w:t>3.因面积与点位按图斑落界、乡镇数按就高归属，两类口径不同：一个重点防治乡镇内部的中、低、非易发图斑面积及落在其上的点位计入C、Y，故重点防治乡镇数量较多而重点防治区面积为高易发图斑实际面积，二者不矛盾。</w:t>
      </w:r>
    </w:p>
    <w:p>
      <w:pPr>
        <w:spacing w:before="20" w:after="20"/>
        <w:jc w:val="left"/>
      </w:pPr>
      <w:r>
        <w:rPr>
          <w:rFonts w:ascii="Times New Roman" w:hAnsi="Times New Roman" w:eastAsia="宋体" w:cs="Times New Roman"/>
          <w:color w:val="000000"/>
          <w:sz w:val="16"/>
        </w:rPr>
        <w:t>4.数据底数与附表一至四一致：隐患点333处、受威胁14717人；风险斜坡917处（609处普查＋85处精细化＋栾川208处＋新安15处）、潜在威胁163111人（户籍人口）。涧西区、伊滨区已并入洛龙区统计。</w:t>
      </w:r>
    </w:p>
    <w:p>
      <w:pPr>
        <w:spacing w:before="20" w:after="20"/>
        <w:jc w:val="left"/>
      </w:pPr>
      <w:r>
        <w:rPr>
          <w:rFonts w:ascii="Times New Roman" w:hAnsi="Times New Roman" w:eastAsia="宋体" w:cs="Times New Roman"/>
          <w:color w:val="000000"/>
          <w:sz w:val="16"/>
        </w:rPr>
        <w:t>5.“地理亚区”沿用附表一易发亚区名称；防治方向采用省级标准措辞：重点防治区为调查、监测、综合治理，次重点防治区为调查、监测，一般防治区为调查。</w:t>
      </w:r>
    </w:p>
    <w:p>
      <w:pPr>
        <w:rPr>
          <w:rFonts w:ascii="宋体" w:hAnsi="宋体" w:eastAsia="宋体" w:cs="宋体"/>
          <w:b/>
          <w:sz w:val="20"/>
          <w:szCs w:val="20"/>
        </w:rPr>
      </w:pPr>
      <w:r>
        <w:rPr>
          <w:rFonts w:hint="eastAsia" w:ascii="宋体" w:hAnsi="宋体" w:eastAsia="宋体" w:cs="宋体"/>
          <w:b/>
          <w:sz w:val="20"/>
          <w:szCs w:val="20"/>
        </w:rPr>
        <w:br w:type="page"/>
      </w:r>
    </w:p>
    <w:p>
      <w:pPr>
        <w:pStyle w:val="8"/>
        <w:widowControl/>
        <w:shd w:val="clear" w:color="auto"/>
        <w:spacing w:line="360" w:lineRule="auto"/>
        <w:jc w:val="both"/>
        <w:rPr>
          <w:rFonts w:hint="eastAsia" w:ascii="黑体" w:hAnsi="黑体" w:cs="黑体"/>
          <w:b w:val="0"/>
          <w:bCs/>
          <w:sz w:val="28"/>
          <w:szCs w:val="20"/>
        </w:rPr>
      </w:pPr>
      <w:bookmarkStart w:id="250" w:name="_Toc24844"/>
      <w:bookmarkStart w:id="251" w:name="_Toc240793058"/>
      <w:r>
        <w:rPr>
          <w:rFonts w:hint="eastAsia" w:ascii="黑体" w:hAnsi="黑体" w:cs="黑体"/>
          <w:b w:val="0"/>
          <w:bCs/>
          <w:sz w:val="28"/>
          <w:szCs w:val="20"/>
        </w:rPr>
        <w:t>附表六</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洛阳市地质灾害防治分区表（乡镇）——（隐患点+风险斜坡双控）</w:t>
      </w:r>
      <w:bookmarkEnd w:id="250"/>
      <w:bookmarkEnd w:id="251"/>
    </w:p>
    <w:tbl>
      <w:tblPr>
        <w:tblStyle w:val="33"/>
        <w:tblW w:w="150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688"/>
        <w:gridCol w:w="743"/>
        <w:gridCol w:w="2546"/>
        <w:gridCol w:w="836"/>
        <w:gridCol w:w="905"/>
        <w:gridCol w:w="667"/>
        <w:gridCol w:w="667"/>
        <w:gridCol w:w="1084"/>
        <w:gridCol w:w="1313"/>
        <w:gridCol w:w="874"/>
        <w:gridCol w:w="1415"/>
        <w:gridCol w:w="16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序号</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地理亚区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区县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乡镇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b/>
                <w:color w:val="auto"/>
                <w:sz w:val="16"/>
              </w:rPr>
            </w:pPr>
            <w:r>
              <w:rPr>
                <w:rFonts w:hint="eastAsia" w:ascii="宋体" w:hAnsi="宋体" w:eastAsia="宋体"/>
                <w:b/>
                <w:color w:val="auto"/>
                <w:sz w:val="16"/>
              </w:rPr>
              <w:t>易发</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等级</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b/>
                <w:color w:val="auto"/>
                <w:sz w:val="16"/>
              </w:rPr>
            </w:pPr>
            <w:r>
              <w:rPr>
                <w:rFonts w:hint="eastAsia" w:ascii="宋体" w:hAnsi="宋体" w:eastAsia="宋体"/>
                <w:b/>
                <w:color w:val="auto"/>
                <w:sz w:val="16"/>
              </w:rPr>
              <w:t>面积</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(km²)</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隐患点(处)</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风险斜坡(处)</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受威胁人数</w:t>
            </w:r>
            <w:r>
              <w:rPr>
                <w:b/>
                <w:color w:val="auto"/>
              </w:rPr>
              <w:br w:type="textWrapping"/>
            </w:r>
            <w:r>
              <w:rPr>
                <w:rFonts w:hint="eastAsia" w:ascii="宋体" w:hAnsi="宋体" w:eastAsia="宋体"/>
                <w:b/>
                <w:color w:val="auto"/>
                <w:sz w:val="16"/>
              </w:rPr>
              <w:t>(隐患点)(人)</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风险斜坡潜在</w:t>
            </w:r>
            <w:r>
              <w:rPr>
                <w:b/>
                <w:color w:val="auto"/>
              </w:rPr>
              <w:br w:type="textWrapping"/>
            </w:r>
            <w:r>
              <w:rPr>
                <w:rFonts w:hint="eastAsia" w:ascii="宋体" w:hAnsi="宋体" w:eastAsia="宋体"/>
                <w:b/>
                <w:color w:val="auto"/>
                <w:sz w:val="16"/>
              </w:rPr>
              <w:t>威胁人数(人)</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防治分区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主要灾害类型</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b/>
                <w:color w:val="auto"/>
                <w:kern w:val="2"/>
                <w:sz w:val="21"/>
                <w:szCs w:val="24"/>
                <w:lang w:val="en-US" w:eastAsia="zh-CN" w:bidi="ar-SA"/>
              </w:rPr>
            </w:pPr>
            <w:r>
              <w:rPr>
                <w:rFonts w:hint="eastAsia" w:ascii="宋体" w:hAnsi="宋体" w:eastAsia="宋体"/>
                <w:b/>
                <w:color w:val="auto"/>
                <w:sz w:val="16"/>
              </w:rPr>
              <w:t>防治方向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半坡镇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46.55</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6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256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地面塌陷</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吕店镇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106.2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城关街道办事处</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30.84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65</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平等乡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53.06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彭婆镇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82.49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水寨镇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35.19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江左镇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80.33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河滨街道办事处</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42.57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白元镇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65.48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白沙镇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113.53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43</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葛寨镇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62.74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酒后镇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72.42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514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高山镇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63.82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677</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鸣皋镇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79.08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鸦岭镇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125.55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伊川县小计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1059.85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124</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1834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商城街道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20.57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23895</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大口镇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88.58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山化镇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68.09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1293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19912</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府店镇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127.06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484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槐新街道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19.04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24443</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邙岭镇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58.28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黄河中游黄土丘陵、嵩山</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首阳山街道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53.66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灵宝-惠济、洛龙-郏县</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缑氏镇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80.11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灵宝-惠济、汝州-长葛</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顾县镇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低易发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43.73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灵宝-惠济、汝州-长葛</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伊洛街道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8.11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72</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岳滩镇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29.35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翟镇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31.84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高龙镇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37.46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偃师区小计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665.88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1910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68322</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会盟镇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105.62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77</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城关镇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76.93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9450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平乐镇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68.54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康乐街道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17.12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朝阳镇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67.39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435</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横水镇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54.53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330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白鹤镇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111.48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2072</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西霞街道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24.07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送庄镇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46.21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47</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马屯镇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114.01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144</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吉利街道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12.64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常袋镇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低易发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43.33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456</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崩塌、滑坡、地面塌陷</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河阳街道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低易发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23.15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崩塌、滑坡、地面塌陷</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麻屯镇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低易发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46.95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孟津区小计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811.97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38</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12935</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三乡镇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67.6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上观乡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144.46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城关镇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12.54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柳泉镇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121.41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樊村镇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60.89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384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白杨镇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80.55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盐镇乡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168.65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莲庄镇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74.57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董王庄乡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89.22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赵保乡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130.89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锦屏镇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57</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韩城镇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82.98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香鹿山镇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122.51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420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高村镇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149.84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59</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张坞镇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116.8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花果山乡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97.33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宜阳县小计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1617.24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1454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620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九皋镇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93.97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226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何村乡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92.07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252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1975</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城关镇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100.93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448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250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大坪乡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116.84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大章镇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268.64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德亭镇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316.21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旧县镇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147.88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220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木植街乡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227.38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田湖镇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122.04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白河镇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308.22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228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纸房镇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183.3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76</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车村镇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552.57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闫庄镇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131.22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陆浑镇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76.44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1995</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饭坡镇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85.29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380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982</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黄庄乡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184.92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嵩县小计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3007.92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29</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2801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5348</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五头镇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89.02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仓头镇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73.77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328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北冶镇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151.91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650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101</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滑坡、地面塌陷</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南李村镇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86.25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城关镇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71.06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正村镇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57.68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石井镇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191.44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350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石寺镇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75.45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243</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地面塌陷</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磁涧镇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108.86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铁门镇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118.32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青要山镇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140.8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新安县小计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1164.56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1066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694</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三川镇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96.88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2065</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冷水镇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53.04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2620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叫河镇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178.39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484</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合峪镇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310.39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874</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庙子镇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356.77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2404</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144.49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79</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4357</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潭头镇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272.92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2228</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狮子庙镇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275.73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3628</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白土镇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148.03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137</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901</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石庙乡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92.62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25</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670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2480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秋扒乡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166.69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308</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耕莘街道办事处</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29.33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19</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3514</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赤土店镇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150.04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353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602</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陶湾镇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201.91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348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3094</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栾川县小计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2477.23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208</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2486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29559</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三屯镇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140.46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255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上店镇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51.63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刘店镇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76.31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十八盘乡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111.58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433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城关镇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95.93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23027</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大安工业园区</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33.16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小店镇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72.3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柏树乡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70.22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26</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731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1112</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靳村乡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129.07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付店镇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221.23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266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335</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王坪乡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155.95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107</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崩塌、泥石流</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蔡店乡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79.2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陶营镇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54.92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内埠镇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36.66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汝阳县小计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1328.62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32</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2075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24474</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上戈镇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233.13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下峪镇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204.47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25</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2480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东宋镇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148.5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兴华镇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162.56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105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小界镇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170.17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底张乡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132.09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故县镇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134.9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69</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1799</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景阳镇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90.52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河底镇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134.24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43</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滑坡、崩塌</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罗岭乡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138.86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赵村镇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145.07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280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豫西山区</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长水镇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114.96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永宁街道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8.11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188</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凤翼镇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54.47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涧口乡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133.49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129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王范回族镇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9.27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陈吴乡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146.69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卢氏-遂平</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马店镇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142.35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洛宁县小计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2303.85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55</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781</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4279</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丰李镇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33.57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83</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4569</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崩塌、滑坡、地面塌陷</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学府街道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8.66</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1166</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崩塌、滑坡、地面塌陷</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寇店镇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64.09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112</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科技园街道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30.9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18</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诸葛镇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60.11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28</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54</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663</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辛店街道</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60.43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76</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4632</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崩塌、滑坡、地面塌陷</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龙门石窟世界文化遗产园区管理委员会</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31.34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98</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5850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崩塌、滑坡、地面塌陷</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黄河中游黄土丘陵</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龙门街道直属</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高易发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17.38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37</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调查、监测、综合治理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灵宝-惠济、洛龙-郏县</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李村镇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中易发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82.59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次重点防治区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佃庄镇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39.08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142</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关林街道直属</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13.17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143</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古城街道直属</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8.63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144</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太康东路街道直属</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7.04</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145</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安乐镇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15.11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146</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定鼎门街道直属</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6.78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147</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庞村镇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32.87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148</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开元街道直属</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5.39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149</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李楼镇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36.52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150</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白马寺镇</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32.62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151</w:t>
            </w: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w:t>
            </w: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翠云路街道直属</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非易发</w:t>
            </w: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3.67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一般防治区</w:t>
            </w: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w:t>
            </w: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调查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洛龙区小计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589.95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377</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166</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16880</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74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25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洛阳市合计</w:t>
            </w:r>
          </w:p>
        </w:tc>
        <w:tc>
          <w:tcPr>
            <w:tcW w:w="83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9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15027.07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333</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917</w:t>
            </w:r>
          </w:p>
        </w:tc>
        <w:tc>
          <w:tcPr>
            <w:tcW w:w="10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14717</w:t>
            </w:r>
          </w:p>
        </w:tc>
        <w:tc>
          <w:tcPr>
            <w:tcW w:w="131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r>
              <w:rPr>
                <w:rFonts w:ascii="宋体" w:hAnsi="宋体" w:eastAsia="宋体"/>
                <w:color w:val="auto"/>
                <w:sz w:val="16"/>
              </w:rPr>
              <w:t>163111</w:t>
            </w:r>
          </w:p>
        </w:tc>
        <w:tc>
          <w:tcPr>
            <w:tcW w:w="87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41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c>
          <w:tcPr>
            <w:tcW w:w="16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HAnsi" w:hAnsiTheme="minorHAnsi" w:eastAsiaTheme="minorEastAsia" w:cstheme="minorBidi"/>
                <w:color w:val="auto"/>
                <w:kern w:val="2"/>
                <w:sz w:val="21"/>
                <w:szCs w:val="24"/>
                <w:lang w:val="en-US" w:eastAsia="zh-CN" w:bidi="ar-SA"/>
              </w:rPr>
            </w:pPr>
          </w:p>
        </w:tc>
      </w:tr>
    </w:tbl>
    <w:p>
      <w:pPr>
        <w:spacing w:before="20" w:after="20"/>
        <w:jc w:val="left"/>
      </w:pPr>
      <w:r>
        <w:rPr>
          <w:rFonts w:ascii="Times New Roman" w:hAnsi="Times New Roman" w:eastAsia="宋体" w:cs="Times New Roman"/>
          <w:color w:val="000000"/>
          <w:sz w:val="16"/>
        </w:rPr>
        <w:t>注：1.本表为洛阳市地质灾害防治分区表（乡镇），实行“隐患点+风险斜坡”双控，每个乡镇一行。以乡镇行政单元为评价单元，综合乡镇最高易发等级与隐患点、风险斜坡数量、受威胁人口规模划定：高易发乡镇且（隐患点≥3处或风险斜坡≥8处或受威胁人数≥500人）划为重点防治区（Z）；其余高易发乡镇及中易发乡镇划为次重点防治区（C）；低易发及非易发乡镇划为一般防治区（Y），最终以省级地质灾害防治分区图校核为准。</w:t>
      </w:r>
    </w:p>
    <w:p>
      <w:pPr>
        <w:spacing w:before="20" w:after="20"/>
        <w:jc w:val="left"/>
      </w:pPr>
      <w:r>
        <w:rPr>
          <w:rFonts w:ascii="Times New Roman" w:hAnsi="Times New Roman" w:eastAsia="宋体" w:cs="Times New Roman"/>
          <w:color w:val="000000"/>
          <w:sz w:val="16"/>
        </w:rPr>
        <w:t>2.“易发等级”为该乡镇所含图斑的最高易发等级（就高）；“面积”为乡镇行政区划内各易发等级图斑面积之和（乡镇总面积）；隐患点（处）、风险斜坡（处）及两类受威胁人数为该乡镇全口径总数，与附表二、附表四同口径、总数一致。</w:t>
      </w:r>
    </w:p>
    <w:p>
      <w:pPr>
        <w:spacing w:before="20" w:after="20"/>
        <w:jc w:val="left"/>
      </w:pPr>
      <w:r>
        <w:rPr>
          <w:rFonts w:ascii="Times New Roman" w:hAnsi="Times New Roman" w:eastAsia="宋体" w:cs="Times New Roman"/>
          <w:color w:val="000000"/>
          <w:sz w:val="16"/>
        </w:rPr>
        <w:t>3.隐患点333处、受威胁14717人；风险斜坡917处（609处普查＋85处精细化＋栾川208处＋新安15处）、潜在威胁163111人（户籍人口）。涧西区、伊滨区并入洛龙区。</w:t>
      </w:r>
    </w:p>
    <w:p>
      <w:pPr>
        <w:spacing w:before="20" w:after="20"/>
        <w:jc w:val="left"/>
      </w:pPr>
      <w:r>
        <w:rPr>
          <w:rFonts w:ascii="Times New Roman" w:hAnsi="Times New Roman" w:eastAsia="宋体" w:cs="Times New Roman"/>
          <w:color w:val="000000"/>
          <w:sz w:val="16"/>
        </w:rPr>
        <w:t>4.乡镇归属沿用附表二（易发分区）口径：栾川县保留“石庙乡”“耕莘街道办事处”名称；小浪底镇按马屯镇、西霞院街道按西霞街道、邙岭乡按邙岭镇、董王庄镇按董王庄乡、赵堡镇按赵保乡计；重渡沟管委会2处隐患按空间落点分别计入庙子镇、潭头镇；偃师1处跨镇斜坡归商城街道，孟津1处交界斜坡归送庄镇；洛宁85处精细化中2处空间落上戈镇、按登记归属故县镇。</w:t>
      </w:r>
    </w:p>
    <w:p>
      <w:pPr>
        <w:spacing w:before="20" w:after="20"/>
        <w:jc w:val="left"/>
      </w:pPr>
      <w:r>
        <w:rPr>
          <w:rFonts w:ascii="Times New Roman" w:hAnsi="Times New Roman" w:eastAsia="宋体" w:cs="Times New Roman"/>
          <w:color w:val="000000"/>
          <w:sz w:val="16"/>
        </w:rPr>
        <w:t>5.“地理亚区”沿用附表一/二易发亚区名称；“主要灾害类型”取自附表二；防治方向：重点防治区为调查、监测、综合治理，次重点防治区为调查、监测，一般防治区为调查。</w:t>
      </w:r>
    </w:p>
    <w:p>
      <w:pPr>
        <w:jc w:val="center"/>
        <w:rPr>
          <w:rFonts w:ascii="宋体" w:hAnsi="宋体" w:eastAsia="宋体" w:cs="宋体"/>
          <w:kern w:val="28"/>
          <w:sz w:val="20"/>
          <w:szCs w:val="20"/>
        </w:rPr>
      </w:pPr>
    </w:p>
    <w:p>
      <w:pPr>
        <w:ind w:firstLine="240"/>
        <w:rPr>
          <w:rFonts w:ascii="宋体" w:hAnsi="宋体" w:cs="宋体"/>
        </w:rPr>
        <w:sectPr>
          <w:footerReference r:id="rId5"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8"/>
        <w:widowControl/>
        <w:shd w:val="clear" w:color="auto"/>
        <w:spacing w:line="360" w:lineRule="auto"/>
        <w:jc w:val="both"/>
        <w:rPr>
          <w:rFonts w:ascii="宋体" w:hAnsi="宋体" w:eastAsia="宋体" w:cs="宋体"/>
          <w:b w:val="0"/>
          <w:bCs/>
          <w:sz w:val="20"/>
          <w:szCs w:val="20"/>
        </w:rPr>
      </w:pPr>
      <w:bookmarkStart w:id="252" w:name="_Toc240793059"/>
      <w:bookmarkStart w:id="253" w:name="_Toc21569"/>
      <w:r>
        <w:rPr>
          <w:rFonts w:hint="eastAsia" w:ascii="黑体" w:hAnsi="黑体" w:cs="黑体"/>
          <w:b w:val="0"/>
          <w:bCs/>
          <w:sz w:val="28"/>
          <w:szCs w:val="20"/>
        </w:rPr>
        <w:t>附表七</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洛阳市在册地质灾害隐患点、风险斜坡汇总表</w:t>
      </w:r>
      <w:bookmarkEnd w:id="252"/>
      <w:bookmarkEnd w:id="253"/>
    </w:p>
    <w:tbl>
      <w:tblPr>
        <w:tblStyle w:val="32"/>
        <w:tblW w:w="14174" w:type="dxa"/>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Layout w:type="autofit"/>
        <w:tblCellMar>
          <w:top w:w="15" w:type="dxa"/>
          <w:left w:w="15" w:type="dxa"/>
          <w:bottom w:w="15" w:type="dxa"/>
          <w:right w:w="15" w:type="dxa"/>
        </w:tblCellMar>
      </w:tblPr>
      <w:tblGrid>
        <w:gridCol w:w="967"/>
        <w:gridCol w:w="997"/>
        <w:gridCol w:w="997"/>
        <w:gridCol w:w="1188"/>
        <w:gridCol w:w="997"/>
        <w:gridCol w:w="1188"/>
        <w:gridCol w:w="1450"/>
        <w:gridCol w:w="1379"/>
        <w:gridCol w:w="1379"/>
        <w:gridCol w:w="1209"/>
        <w:gridCol w:w="1210"/>
        <w:gridCol w:w="1213"/>
      </w:tblGrid>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tblHeader/>
          <w:jc w:val="center"/>
        </w:trPr>
        <w:tc>
          <w:tcPr>
            <w:tcW w:w="14174" w:type="dxa"/>
            <w:gridSpan w:val="12"/>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
                <w:bCs/>
                <w:color w:val="000000" w:themeColor="dark1"/>
                <w:kern w:val="0"/>
                <w:sz w:val="16"/>
                <w:szCs w:val="16"/>
                <w:lang w:bidi="ar"/>
                <w14:textFill>
                  <w14:solidFill>
                    <w14:schemeClr w14:val="dk1"/>
                  </w14:solidFill>
                </w14:textFill>
              </w:rPr>
            </w:pPr>
            <w:r>
              <w:rPr>
                <w:rFonts w:hint="eastAsia" w:ascii="宋体" w:hAnsi="宋体" w:eastAsia="宋体" w:cs="宋体"/>
                <w:b/>
                <w:bCs/>
                <w:color w:val="000000" w:themeColor="dark1"/>
                <w:kern w:val="0"/>
                <w:sz w:val="16"/>
                <w:szCs w:val="16"/>
                <w:lang w:bidi="ar"/>
                <w14:textFill>
                  <w14:solidFill>
                    <w14:schemeClr w14:val="dk1"/>
                  </w14:solidFill>
                </w14:textFill>
              </w:rPr>
              <w:t>洛阳市在册地质灾害隐患点、风险斜坡汇总表</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tblHeader/>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区县</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kern w:val="0"/>
                <w:sz w:val="16"/>
                <w:szCs w:val="16"/>
                <w:lang w:bidi="ar"/>
              </w:rPr>
            </w:pPr>
            <w:r>
              <w:rPr>
                <w:rFonts w:hint="eastAsia" w:ascii="Times New Roman" w:hAnsi="Times New Roman" w:eastAsia="宋体" w:cs="Times New Roman"/>
                <w:b/>
                <w:bCs/>
                <w:color w:val="08090C"/>
                <w:kern w:val="0"/>
                <w:sz w:val="16"/>
                <w:szCs w:val="16"/>
                <w:lang w:bidi="ar"/>
              </w:rPr>
              <w:t>滑坡</w:t>
            </w:r>
          </w:p>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(处)</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kern w:val="0"/>
                <w:sz w:val="16"/>
                <w:szCs w:val="16"/>
                <w:lang w:bidi="ar"/>
              </w:rPr>
            </w:pPr>
            <w:r>
              <w:rPr>
                <w:rFonts w:hint="eastAsia" w:ascii="Times New Roman" w:hAnsi="Times New Roman" w:eastAsia="宋体" w:cs="Times New Roman"/>
                <w:b/>
                <w:bCs/>
                <w:color w:val="08090C"/>
                <w:kern w:val="0"/>
                <w:sz w:val="16"/>
                <w:szCs w:val="16"/>
                <w:lang w:bidi="ar"/>
              </w:rPr>
              <w:t>崩塌</w:t>
            </w:r>
          </w:p>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(处)</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kern w:val="0"/>
                <w:sz w:val="16"/>
                <w:szCs w:val="16"/>
                <w:lang w:bidi="ar"/>
              </w:rPr>
            </w:pPr>
            <w:r>
              <w:rPr>
                <w:rFonts w:hint="eastAsia" w:ascii="Times New Roman" w:hAnsi="Times New Roman" w:eastAsia="宋体" w:cs="Times New Roman"/>
                <w:b/>
                <w:bCs/>
                <w:color w:val="08090C"/>
                <w:kern w:val="0"/>
                <w:sz w:val="16"/>
                <w:szCs w:val="16"/>
                <w:lang w:bidi="ar"/>
              </w:rPr>
              <w:t>泥石流</w:t>
            </w:r>
          </w:p>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(处)</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kern w:val="0"/>
                <w:sz w:val="16"/>
                <w:szCs w:val="16"/>
                <w:lang w:bidi="ar"/>
              </w:rPr>
            </w:pPr>
            <w:r>
              <w:rPr>
                <w:rFonts w:hint="eastAsia" w:ascii="Times New Roman" w:hAnsi="Times New Roman" w:eastAsia="宋体" w:cs="Times New Roman"/>
                <w:b/>
                <w:bCs/>
                <w:color w:val="08090C"/>
                <w:kern w:val="0"/>
                <w:sz w:val="16"/>
                <w:szCs w:val="16"/>
                <w:lang w:bidi="ar"/>
              </w:rPr>
              <w:t>塌陷</w:t>
            </w:r>
          </w:p>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(处)</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kern w:val="0"/>
                <w:sz w:val="16"/>
                <w:szCs w:val="16"/>
                <w:lang w:bidi="ar"/>
              </w:rPr>
            </w:pPr>
            <w:r>
              <w:rPr>
                <w:rFonts w:hint="eastAsia" w:ascii="Times New Roman" w:hAnsi="Times New Roman" w:eastAsia="宋体" w:cs="Times New Roman"/>
                <w:b/>
                <w:bCs/>
                <w:color w:val="08090C"/>
                <w:kern w:val="0"/>
                <w:sz w:val="16"/>
                <w:szCs w:val="16"/>
                <w:lang w:bidi="ar"/>
              </w:rPr>
              <w:t>地裂缝</w:t>
            </w:r>
          </w:p>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(处)</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隐患点合计</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kern w:val="0"/>
                <w:sz w:val="16"/>
                <w:szCs w:val="16"/>
                <w:lang w:bidi="ar"/>
              </w:rPr>
            </w:pPr>
            <w:r>
              <w:rPr>
                <w:rFonts w:hint="eastAsia" w:ascii="Times New Roman" w:hAnsi="Times New Roman" w:eastAsia="宋体" w:cs="Times New Roman"/>
                <w:b/>
                <w:bCs/>
                <w:color w:val="08090C"/>
                <w:kern w:val="0"/>
                <w:sz w:val="16"/>
                <w:szCs w:val="16"/>
                <w:lang w:bidi="ar"/>
              </w:rPr>
              <w:t>风险斜坡</w:t>
            </w:r>
          </w:p>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(处)</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kern w:val="0"/>
                <w:sz w:val="16"/>
                <w:szCs w:val="16"/>
                <w:lang w:bidi="ar"/>
              </w:rPr>
            </w:pPr>
            <w:r>
              <w:rPr>
                <w:rFonts w:hint="eastAsia" w:ascii="Times New Roman" w:hAnsi="Times New Roman" w:eastAsia="宋体" w:cs="Times New Roman"/>
                <w:b/>
                <w:bCs/>
                <w:color w:val="08090C"/>
                <w:kern w:val="0"/>
                <w:sz w:val="16"/>
                <w:szCs w:val="16"/>
                <w:lang w:bidi="ar"/>
              </w:rPr>
              <w:t>双控合计</w:t>
            </w:r>
          </w:p>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(处)</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威胁户数</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威胁人数</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hd w:val="clear"/>
              <w:snapToGrid w:val="0"/>
              <w:jc w:val="center"/>
              <w:rPr>
                <w:rFonts w:ascii="宋体" w:hAnsi="宋体" w:eastAsia="宋体" w:cs="宋体"/>
                <w:bCs/>
                <w:color w:val="08090C"/>
                <w:kern w:val="0"/>
                <w:sz w:val="16"/>
                <w:szCs w:val="16"/>
                <w:lang w:bidi="ar"/>
              </w:rPr>
            </w:pPr>
            <w:r>
              <w:rPr>
                <w:rFonts w:hint="eastAsia" w:ascii="Times New Roman" w:hAnsi="Times New Roman" w:eastAsia="宋体" w:cs="Times New Roman"/>
                <w:b/>
                <w:bCs/>
                <w:color w:val="08090C"/>
                <w:kern w:val="0"/>
                <w:sz w:val="16"/>
                <w:szCs w:val="16"/>
                <w:lang w:bidi="ar"/>
              </w:rPr>
              <w:t>财产</w:t>
            </w:r>
          </w:p>
          <w:p>
            <w:pPr>
              <w:widowControl/>
              <w:shd w:val="clear"/>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(万元)</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48</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47</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98</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29</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127</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663</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2801</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13433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66</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77</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208</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285</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582</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2486</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12830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29</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40</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64</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393</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1454</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3297</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新安县</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39</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444</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1066</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2459</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汝阳县</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32</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56</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284</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2075</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4256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伊川县</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22</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124</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146</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449</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1834</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7113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偃师区</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33</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382</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1910</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1847</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洛宁县</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55</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69</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178</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781</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3065</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孟津区</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38</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49</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26</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144</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850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洛龙区</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377</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382</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45</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166</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635</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96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合计</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170</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130</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13</w:t>
            </w:r>
          </w:p>
        </w:tc>
        <w:tc>
          <w:tcPr>
            <w:tcW w:w="997"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19</w:t>
            </w:r>
          </w:p>
        </w:tc>
        <w:tc>
          <w:tcPr>
            <w:tcW w:w="1188"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1</w:t>
            </w:r>
          </w:p>
        </w:tc>
        <w:tc>
          <w:tcPr>
            <w:tcW w:w="145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333</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917</w:t>
            </w:r>
          </w:p>
        </w:tc>
        <w:tc>
          <w:tcPr>
            <w:tcW w:w="137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1250</w:t>
            </w:r>
          </w:p>
        </w:tc>
        <w:tc>
          <w:tcPr>
            <w:tcW w:w="1209"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3446</w:t>
            </w:r>
          </w:p>
        </w:tc>
        <w:tc>
          <w:tcPr>
            <w:tcW w:w="1210"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14717</w:t>
            </w:r>
          </w:p>
        </w:tc>
        <w:tc>
          <w:tcPr>
            <w:tcW w:w="1213" w:type="dxa"/>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49785</w:t>
            </w:r>
          </w:p>
        </w:tc>
      </w:tr>
    </w:tbl>
    <w:p>
      <w:pPr>
        <w:pStyle w:val="3"/>
        <w:spacing w:before="20" w:after="20" w:line="240" w:lineRule="auto"/>
        <w:ind w:firstLine="0" w:firstLineChars="0"/>
        <w:jc w:val="left"/>
        <w:rPr>
          <w:rFonts w:ascii="宋体" w:hAnsi="宋体" w:cs="宋体"/>
          <w:sz w:val="16"/>
          <w:szCs w:val="16"/>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0F1115"/>
          <w:sz w:val="16"/>
          <w:szCs w:val="16"/>
        </w:rPr>
        <w:t>注：1.本表为各县（区）全县口径隐患点、风险斜坡汇总，各县（区）隐患点总数以本表为准；其他附表按风险区（图斑）落界或按纳入调查乡镇统计，分项口径不同，其分项之和不等于全县总数，不作全县总数依据。2.333处隐患点、917处风险斜坡逐条明细作为技术档案另册留存备查。3.风险斜坡917处＝609处普查（“十五五”反馈更新清单，未含栾川、新安）＋栾川县208处、新安县15处（据上一版720处普查清单原值补入）＋85处精细化调查（洛宁55处、汝阳30处），普查与精细化不重复计数；上一版省厅下发805处＝720处普查＋85处精细化。</w:t>
      </w:r>
    </w:p>
    <w:p>
      <w:pPr>
        <w:pStyle w:val="8"/>
        <w:widowControl/>
        <w:shd w:val="clear" w:color="auto"/>
        <w:spacing w:line="360" w:lineRule="auto"/>
        <w:jc w:val="both"/>
        <w:rPr>
          <w:rFonts w:ascii="宋体" w:hAnsi="宋体" w:eastAsia="宋体" w:cs="宋体"/>
          <w:b w:val="0"/>
          <w:bCs/>
          <w:sz w:val="20"/>
          <w:szCs w:val="20"/>
        </w:rPr>
      </w:pPr>
      <w:bookmarkStart w:id="254" w:name="_Toc504"/>
      <w:bookmarkStart w:id="255" w:name="_Toc240793060"/>
      <w:bookmarkStart w:id="256" w:name="_Toc28196"/>
      <w:bookmarkStart w:id="257" w:name="_Toc23413"/>
      <w:bookmarkStart w:id="258" w:name="_Toc15046"/>
      <w:r>
        <w:rPr>
          <w:rFonts w:hint="eastAsia" w:ascii="黑体" w:hAnsi="黑体" w:cs="黑体"/>
          <w:b w:val="0"/>
          <w:bCs/>
          <w:sz w:val="28"/>
          <w:szCs w:val="20"/>
        </w:rPr>
        <w:t>附表八</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洛阳市1:1万风险调查评价项目计划实施明细表</w:t>
      </w:r>
      <w:bookmarkEnd w:id="254"/>
      <w:bookmarkEnd w:id="255"/>
      <w:bookmarkEnd w:id="256"/>
      <w:bookmarkEnd w:id="257"/>
      <w:bookmarkEnd w:id="258"/>
    </w:p>
    <w:tbl>
      <w:tblPr>
        <w:tblStyle w:val="32"/>
        <w:tblW w:w="5088" w:type="pct"/>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Layout w:type="autofit"/>
        <w:tblCellMar>
          <w:top w:w="0" w:type="dxa"/>
          <w:left w:w="108" w:type="dxa"/>
          <w:bottom w:w="0" w:type="dxa"/>
          <w:right w:w="108" w:type="dxa"/>
        </w:tblCellMar>
      </w:tblPr>
      <w:tblGrid>
        <w:gridCol w:w="617"/>
        <w:gridCol w:w="1030"/>
        <w:gridCol w:w="892"/>
        <w:gridCol w:w="1053"/>
        <w:gridCol w:w="1359"/>
        <w:gridCol w:w="1154"/>
        <w:gridCol w:w="1235"/>
        <w:gridCol w:w="1021"/>
        <w:gridCol w:w="1117"/>
        <w:gridCol w:w="874"/>
        <w:gridCol w:w="825"/>
        <w:gridCol w:w="840"/>
        <w:gridCol w:w="877"/>
        <w:gridCol w:w="1281"/>
        <w:gridCol w:w="248"/>
      </w:tblGrid>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gridAfter w:val="1"/>
          <w:wAfter w:w="86" w:type="pct"/>
          <w:trHeight w:val="397" w:hRule="atLeast"/>
          <w:tblHeader/>
          <w:jc w:val="center"/>
        </w:trPr>
        <w:tc>
          <w:tcPr>
            <w:tcW w:w="4913" w:type="pct"/>
            <w:gridSpan w:val="14"/>
            <w:tcBorders>
              <w:tl2br w:val="nil"/>
              <w:tr2bl w:val="nil"/>
            </w:tcBorders>
            <w:shd w:val="clear" w:color="auto" w:fill="auto"/>
            <w:vAlign w:val="center"/>
          </w:tcPr>
          <w:p>
            <w:pPr>
              <w:widowControl/>
              <w:snapToGrid w:val="0"/>
              <w:jc w:val="center"/>
              <w:textAlignment w:val="center"/>
              <w:rPr>
                <w:rFonts w:ascii="宋体" w:hAnsi="宋体" w:eastAsia="宋体" w:cs="宋体"/>
                <w:b/>
                <w:bCs/>
                <w:color w:val="000000" w:themeColor="dark1"/>
                <w:sz w:val="16"/>
                <w:szCs w:val="16"/>
                <w14:textFill>
                  <w14:solidFill>
                    <w14:schemeClr w14:val="dk1"/>
                  </w14:solidFill>
                </w14:textFill>
              </w:rPr>
            </w:pPr>
            <w:r>
              <w:rPr>
                <w:rFonts w:hint="eastAsia" w:ascii="宋体" w:hAnsi="宋体" w:eastAsia="宋体" w:cs="宋体"/>
                <w:b/>
                <w:bCs/>
                <w:color w:val="000000" w:themeColor="dark1"/>
                <w:kern w:val="0"/>
                <w:sz w:val="16"/>
                <w:szCs w:val="16"/>
                <w:lang w:bidi="ar"/>
                <w14:textFill>
                  <w14:solidFill>
                    <w14:schemeClr w14:val="dk1"/>
                  </w14:solidFill>
                </w14:textFill>
              </w:rPr>
              <w:t>洛阳市“十五五”地质灾害精细化调查分年度实施计划表（50个乡镇）</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tblHeader/>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序号</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实施年度</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县（区）</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乡镇</w:t>
            </w:r>
          </w:p>
        </w:tc>
        <w:tc>
          <w:tcPr>
            <w:tcW w:w="400" w:type="pct"/>
            <w:tcBorders>
              <w:tl2br w:val="nil"/>
              <w:tr2bl w:val="nil"/>
            </w:tcBorders>
            <w:shd w:val="clear" w:color="auto" w:fill="auto"/>
            <w:vAlign w:val="center"/>
          </w:tcPr>
          <w:p>
            <w:pPr>
              <w:widowControl/>
              <w:snapToGrid w:val="0"/>
              <w:jc w:val="center"/>
              <w:textAlignment w:val="center"/>
              <w:rPr>
                <w:rFonts w:hint="eastAsia" w:ascii="Times New Roman" w:hAnsi="Times New Roman" w:eastAsia="宋体" w:cs="Times New Roman"/>
                <w:b/>
                <w:bCs/>
                <w:color w:val="08090C"/>
                <w:kern w:val="0"/>
                <w:sz w:val="16"/>
                <w:szCs w:val="16"/>
                <w:lang w:bidi="ar"/>
              </w:rPr>
            </w:pPr>
            <w:r>
              <w:rPr>
                <w:rFonts w:hint="eastAsia" w:ascii="Times New Roman" w:hAnsi="Times New Roman" w:eastAsia="宋体" w:cs="Times New Roman"/>
                <w:b/>
                <w:bCs/>
                <w:color w:val="08090C"/>
                <w:kern w:val="0"/>
                <w:sz w:val="16"/>
                <w:szCs w:val="16"/>
                <w:lang w:bidi="ar"/>
              </w:rPr>
              <w:t>乡镇面积</w:t>
            </w:r>
          </w:p>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(km²)</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Z重点防治区面积(km²)</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Z重点占比(%)</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防治分区</w:t>
            </w:r>
          </w:p>
        </w:tc>
        <w:tc>
          <w:tcPr>
            <w:tcW w:w="303" w:type="pct"/>
            <w:tcBorders>
              <w:tl2br w:val="nil"/>
              <w:tr2bl w:val="nil"/>
            </w:tcBorders>
            <w:shd w:val="clear" w:color="auto" w:fill="auto"/>
            <w:vAlign w:val="center"/>
          </w:tcPr>
          <w:p>
            <w:pPr>
              <w:widowControl/>
              <w:snapToGrid w:val="0"/>
              <w:jc w:val="center"/>
              <w:textAlignment w:val="center"/>
              <w:rPr>
                <w:rFonts w:hint="eastAsia" w:ascii="Times New Roman" w:hAnsi="Times New Roman" w:eastAsia="宋体" w:cs="Times New Roman"/>
                <w:b/>
                <w:bCs/>
                <w:color w:val="08090C"/>
                <w:kern w:val="0"/>
                <w:sz w:val="16"/>
                <w:szCs w:val="16"/>
                <w:lang w:bidi="ar"/>
              </w:rPr>
            </w:pPr>
            <w:r>
              <w:rPr>
                <w:rFonts w:hint="eastAsia" w:ascii="Times New Roman" w:hAnsi="Times New Roman" w:eastAsia="宋体" w:cs="Times New Roman"/>
                <w:b/>
                <w:bCs/>
                <w:color w:val="08090C"/>
                <w:kern w:val="0"/>
                <w:sz w:val="16"/>
                <w:szCs w:val="16"/>
                <w:lang w:bidi="ar"/>
              </w:rPr>
              <w:t>隐患</w:t>
            </w:r>
          </w:p>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点数</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风险斜坡数</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高风险隐患点数</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高风险斜坡数</w:t>
            </w:r>
          </w:p>
        </w:tc>
        <w:tc>
          <w:tcPr>
            <w:tcW w:w="525" w:type="pct"/>
            <w:gridSpan w:val="2"/>
            <w:tcBorders>
              <w:tl2br w:val="nil"/>
              <w:tr2bl w:val="nil"/>
            </w:tcBorders>
            <w:shd w:val="clear" w:color="auto" w:fill="auto"/>
            <w:vAlign w:val="center"/>
          </w:tcPr>
          <w:p>
            <w:pPr>
              <w:widowControl/>
              <w:snapToGrid w:val="0"/>
              <w:jc w:val="center"/>
              <w:textAlignment w:val="center"/>
              <w:rPr>
                <w:rFonts w:hint="eastAsia" w:ascii="Times New Roman" w:hAnsi="Times New Roman" w:eastAsia="宋体" w:cs="Times New Roman"/>
                <w:b/>
                <w:bCs/>
                <w:color w:val="08090C"/>
                <w:kern w:val="0"/>
                <w:sz w:val="16"/>
                <w:szCs w:val="16"/>
                <w:lang w:bidi="ar"/>
              </w:rPr>
            </w:pPr>
            <w:r>
              <w:rPr>
                <w:rFonts w:hint="eastAsia" w:ascii="Times New Roman" w:hAnsi="Times New Roman" w:eastAsia="宋体" w:cs="Times New Roman"/>
                <w:b/>
                <w:bCs/>
                <w:color w:val="08090C"/>
                <w:kern w:val="0"/>
                <w:sz w:val="16"/>
                <w:szCs w:val="16"/>
                <w:lang w:bidi="ar"/>
              </w:rPr>
              <w:t>威胁总人数</w:t>
            </w:r>
          </w:p>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（隐患点）</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叫河镇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178.39</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0.6</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28</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陶湾镇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201.91</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36.72</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18.2</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23</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348</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石庙乡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92.62</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20.17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21.8</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25</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670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庙子镇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356.77</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44.97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12.6</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144.49</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35.55</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24.6</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79</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董王庄乡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89.22</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5.06</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5.7</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25</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樊村镇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60.89</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19.77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32.5</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384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花果山乡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97.33</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42</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偃师区</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大口镇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88.58</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12.38</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81</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偃师区</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府店镇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127.06</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37.5</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29.5</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484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2026</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白河镇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308.22</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107.14</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34.8</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228</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车村镇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552.57</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20.39</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3.7</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木植街乡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227.38</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71.96</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31.6</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旧县镇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147.88</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38.03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25.7</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220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大章镇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268.64</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72.8</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27.1</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何村乡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92.07</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64.99</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70.6</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252</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纸房镇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183.3</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92.26</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50.3</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汝阳县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小店镇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72.3</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3.92</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5.4</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55</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19</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汝阳县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刘店镇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76.31</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20.22</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26.5</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新安县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铁门镇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118.32</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12.95</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10.9</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58</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21</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新安县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石寺镇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75.45</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21.55</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28.6</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22</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孟津区</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马屯镇（小浪底镇）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114.01</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18.57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16.3</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23</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2027</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伊川县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彭婆镇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82.49</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2.19</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2.7</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65</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饭坡镇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85.29</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18.09</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21.2</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380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25</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田湖镇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122.04</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12.73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10.4</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234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26</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九皋镇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93.97</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27.41</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29.2</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226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27</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德亭镇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316.21</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78.33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24.8</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82</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28</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大坪乡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116.84</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12.34</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10.6</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29</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陆浑镇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76.44</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4.33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5.7</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30</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闫庄镇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131.22</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10.01</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7.6</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112</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31</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汝阳县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三屯镇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140.46</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17.56</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12.5</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255</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32</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汝阳县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十八盘乡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111.58</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5.58</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433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33</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新安县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北冶镇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151.91</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42.72</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28.1</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650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34</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锦屏镇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97</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44.43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45.8</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57</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35</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2028</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伊川县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酒后镇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72.42</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13.27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18.3</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514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36</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汝阳县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靳村乡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129.07</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0.21</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0.2</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172</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37</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汝阳县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王坪乡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155.95</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107</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38</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合峪镇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310.39</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0.41</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0.1</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39</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赤土店镇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150.04</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58.44</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38.9</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353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40</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狮子庙镇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275.73</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4.41</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38</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41</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冷水镇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53.04</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43.44</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81.9</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42</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三川镇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96.88</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76.3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78.8</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74</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43</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白土镇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148.03</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9.27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6.3</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137</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44</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潭头镇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272.92</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17.09</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6.3</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45</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2029</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上观乡</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144.46</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2.67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46</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2030</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莲庄镇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74.57</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8.26</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11.1</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66</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47</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2030</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张坞镇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116.8</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58</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48</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2030</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赵保镇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130.89</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9.6</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7.3</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Z重点防治区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153</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49</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2030</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伊川县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葛寨镇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62.74</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0.5</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85</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50</w:t>
            </w:r>
          </w:p>
        </w:tc>
        <w:tc>
          <w:tcPr>
            <w:tcW w:w="35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2030</w:t>
            </w:r>
          </w:p>
        </w:tc>
        <w:tc>
          <w:tcPr>
            <w:tcW w:w="309"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洛阳市</w:t>
            </w:r>
          </w:p>
        </w:tc>
        <w:tc>
          <w:tcPr>
            <w:tcW w:w="36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伊川县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白元镇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65.48</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0.69</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C次重点防治区</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0</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1245" w:type="pct"/>
            <w:gridSpan w:val="4"/>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洛阳市合计（8个区县）</w:t>
            </w:r>
          </w:p>
        </w:tc>
        <w:tc>
          <w:tcPr>
            <w:tcW w:w="471"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50个乡镇</w:t>
            </w:r>
          </w:p>
        </w:tc>
        <w:tc>
          <w:tcPr>
            <w:tcW w:w="400"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7458.57</w:t>
            </w:r>
          </w:p>
        </w:tc>
        <w:tc>
          <w:tcPr>
            <w:tcW w:w="428"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1278.05</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17.1</w:t>
            </w:r>
          </w:p>
        </w:tc>
        <w:tc>
          <w:tcPr>
            <w:tcW w:w="387"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w:t>
            </w:r>
          </w:p>
        </w:tc>
        <w:tc>
          <w:tcPr>
            <w:tcW w:w="303"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238</w:t>
            </w:r>
          </w:p>
        </w:tc>
        <w:tc>
          <w:tcPr>
            <w:tcW w:w="286"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245</w:t>
            </w:r>
          </w:p>
        </w:tc>
        <w:tc>
          <w:tcPr>
            <w:tcW w:w="291"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14</w:t>
            </w:r>
          </w:p>
        </w:tc>
        <w:tc>
          <w:tcPr>
            <w:tcW w:w="304" w:type="pct"/>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44</w:t>
            </w:r>
          </w:p>
        </w:tc>
        <w:tc>
          <w:tcPr>
            <w:tcW w:w="525" w:type="pct"/>
            <w:gridSpan w:val="2"/>
            <w:tcBorders>
              <w:tl2br w:val="nil"/>
              <w:tr2bl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宋体" w:hAnsi="宋体" w:eastAsia="宋体" w:cs="宋体"/>
                <w:bCs/>
                <w:color w:val="08090C"/>
                <w:kern w:val="0"/>
                <w:sz w:val="16"/>
                <w:szCs w:val="16"/>
                <w:lang w:bidi="ar"/>
              </w:rPr>
              <w:t>8479</w:t>
            </w:r>
          </w:p>
        </w:tc>
      </w:tr>
    </w:tbl>
    <w:p>
      <w:pPr>
        <w:pStyle w:val="3"/>
        <w:spacing w:before="20" w:after="20" w:line="240" w:lineRule="auto"/>
        <w:ind w:firstLine="0" w:firstLineChars="0"/>
        <w:jc w:val="left"/>
        <w:rPr>
          <w:rFonts w:ascii="宋体" w:hAnsi="宋体" w:cs="宋体"/>
          <w:sz w:val="16"/>
          <w:szCs w:val="16"/>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0F1115"/>
          <w:sz w:val="16"/>
          <w:szCs w:val="16"/>
        </w:rPr>
        <w:t>注：1.本表仅列纳入“十五五”1∶1万精细化调查的50个高风险乡镇，各县（区）隐患点、风险斜坡总数以附表七全县口径为准，本表各乡镇分项之和不等于全县总数。2.“Z重点防治区面积”“Z重点占比”为高易发图斑在该乡镇范围内的落界面积及占比；“高风险隐患点数”“高风险斜坡数”依据各点调查定性风险等级（含高、极高）统计，与附表三、附表四按风险区划落界的口径不同。3.各乡镇治理、搬迁、监测等具体工程项目清单纳入市级地质灾害防治项目库，结合省级项目储备库下达节奏和市县财政承受能力分年度动态安排、滚动实施，具体点位以年度项目下达清单为准。</w:t>
      </w:r>
    </w:p>
    <w:p>
      <w:pPr>
        <w:pStyle w:val="8"/>
        <w:widowControl/>
        <w:shd w:val="clear" w:color="auto"/>
        <w:spacing w:line="360" w:lineRule="auto"/>
        <w:jc w:val="both"/>
        <w:rPr>
          <w:rFonts w:ascii="宋体" w:hAnsi="宋体" w:eastAsia="宋体" w:cs="宋体"/>
          <w:b w:val="0"/>
          <w:bCs/>
          <w:sz w:val="20"/>
          <w:szCs w:val="20"/>
        </w:rPr>
      </w:pPr>
      <w:bookmarkStart w:id="259" w:name="_Toc240793061"/>
      <w:bookmarkStart w:id="260" w:name="_Toc4113"/>
      <w:r>
        <w:rPr>
          <w:rFonts w:hint="eastAsia" w:ascii="黑体" w:hAnsi="黑体" w:cs="黑体"/>
          <w:b w:val="0"/>
          <w:bCs/>
          <w:sz w:val="28"/>
          <w:szCs w:val="20"/>
        </w:rPr>
        <w:t>附表九</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洛阳市地质灾害预警监测点统计表</w:t>
      </w:r>
      <w:bookmarkEnd w:id="259"/>
      <w:bookmarkEnd w:id="260"/>
    </w:p>
    <w:tbl>
      <w:tblPr>
        <w:tblStyle w:val="32"/>
        <w:tblW w:w="5000" w:type="pct"/>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Layout w:type="autofit"/>
        <w:tblCellMar>
          <w:top w:w="0" w:type="dxa"/>
          <w:left w:w="108" w:type="dxa"/>
          <w:bottom w:w="0" w:type="dxa"/>
          <w:right w:w="108" w:type="dxa"/>
        </w:tblCellMar>
      </w:tblPr>
      <w:tblGrid>
        <w:gridCol w:w="813"/>
        <w:gridCol w:w="6153"/>
        <w:gridCol w:w="1724"/>
        <w:gridCol w:w="1724"/>
        <w:gridCol w:w="1724"/>
        <w:gridCol w:w="1004"/>
        <w:gridCol w:w="1032"/>
      </w:tblGrid>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tblHeader/>
          <w:jc w:val="center"/>
        </w:trPr>
        <w:tc>
          <w:tcPr>
            <w:tcW w:w="5000" w:type="pct"/>
            <w:gridSpan w:val="7"/>
            <w:tcBorders>
              <w:tl2br w:val="nil"/>
              <w:tr2bl w:val="nil"/>
            </w:tcBorders>
            <w:shd w:val="clear" w:color="auto" w:fill="auto"/>
            <w:noWrap/>
            <w:vAlign w:val="center"/>
          </w:tcPr>
          <w:p>
            <w:pPr>
              <w:widowControl/>
              <w:shd w:val="clear"/>
              <w:snapToGrid w:val="0"/>
              <w:jc w:val="center"/>
              <w:textAlignment w:val="center"/>
              <w:rPr>
                <w:rFonts w:ascii="宋体" w:hAnsi="宋体" w:eastAsia="宋体" w:cs="宋体"/>
                <w:b/>
                <w:color w:val="000000" w:themeColor="dark1"/>
                <w:sz w:val="16"/>
                <w:szCs w:val="16"/>
                <w14:textFill>
                  <w14:solidFill>
                    <w14:schemeClr w14:val="dk1"/>
                  </w14:solidFill>
                </w14:textFill>
              </w:rPr>
            </w:pPr>
            <w:r>
              <w:rPr>
                <w:rFonts w:hint="eastAsia" w:ascii="宋体" w:hAnsi="宋体" w:eastAsia="宋体" w:cs="宋体"/>
                <w:b/>
                <w:color w:val="000000" w:themeColor="dark1"/>
                <w:kern w:val="0"/>
                <w:sz w:val="16"/>
                <w:szCs w:val="16"/>
                <w:lang w:bidi="ar"/>
                <w14:textFill>
                  <w14:solidFill>
                    <w14:schemeClr w14:val="dk1"/>
                  </w14:solidFill>
                </w14:textFill>
              </w:rPr>
              <w:t>洛阳市地质灾害预警监测点统计表</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784" w:hRule="atLeast"/>
          <w:tblHeader/>
          <w:jc w:val="center"/>
        </w:trPr>
        <w:tc>
          <w:tcPr>
            <w:tcW w:w="287"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Times New Roman" w:hAnsi="Times New Roman" w:eastAsia="宋体" w:cs="Times New Roman"/>
                <w:b/>
                <w:color w:val="08090C"/>
                <w:kern w:val="0"/>
                <w:sz w:val="16"/>
                <w:szCs w:val="16"/>
                <w:lang w:bidi="ar"/>
              </w:rPr>
              <w:t>序号</w:t>
            </w:r>
          </w:p>
        </w:tc>
        <w:tc>
          <w:tcPr>
            <w:tcW w:w="2171"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Times New Roman" w:hAnsi="Times New Roman" w:eastAsia="宋体" w:cs="Times New Roman"/>
                <w:b/>
                <w:color w:val="08090C"/>
                <w:kern w:val="0"/>
                <w:sz w:val="16"/>
                <w:szCs w:val="16"/>
                <w:lang w:bidi="ar"/>
              </w:rPr>
              <w:t>名称</w:t>
            </w:r>
          </w:p>
        </w:tc>
        <w:tc>
          <w:tcPr>
            <w:tcW w:w="608"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Times New Roman" w:hAnsi="Times New Roman" w:eastAsia="宋体" w:cs="Times New Roman"/>
                <w:b/>
                <w:color w:val="08090C"/>
                <w:kern w:val="0"/>
                <w:sz w:val="16"/>
                <w:szCs w:val="16"/>
                <w:lang w:bidi="ar"/>
              </w:rPr>
              <w:t>隐患点类型</w:t>
            </w:r>
          </w:p>
        </w:tc>
        <w:tc>
          <w:tcPr>
            <w:tcW w:w="608" w:type="pct"/>
            <w:tcBorders>
              <w:tl2br w:val="nil"/>
              <w:tr2bl w:val="nil"/>
            </w:tcBorders>
            <w:shd w:val="clear" w:color="auto" w:fill="auto"/>
            <w:vAlign w:val="center"/>
          </w:tcPr>
          <w:p>
            <w:pPr>
              <w:widowControl/>
              <w:shd w:val="clear"/>
              <w:snapToGrid w:val="0"/>
              <w:jc w:val="center"/>
              <w:textAlignment w:val="center"/>
              <w:rPr>
                <w:rFonts w:hint="eastAsia" w:ascii="Times New Roman" w:hAnsi="Times New Roman" w:eastAsia="宋体" w:cs="Times New Roman"/>
                <w:b/>
                <w:color w:val="08090C"/>
                <w:kern w:val="0"/>
                <w:sz w:val="16"/>
                <w:szCs w:val="16"/>
                <w:lang w:bidi="ar"/>
              </w:rPr>
            </w:pPr>
            <w:r>
              <w:rPr>
                <w:rFonts w:hint="eastAsia" w:ascii="Times New Roman" w:hAnsi="Times New Roman" w:eastAsia="宋体" w:cs="Times New Roman"/>
                <w:b/>
                <w:color w:val="08090C"/>
                <w:kern w:val="0"/>
                <w:sz w:val="16"/>
                <w:szCs w:val="16"/>
                <w:lang w:bidi="ar"/>
              </w:rPr>
              <w:t>威胁户数</w:t>
            </w:r>
          </w:p>
          <w:p>
            <w:pPr>
              <w:widowControl/>
              <w:shd w:val="clear"/>
              <w:snapToGrid w:val="0"/>
              <w:jc w:val="center"/>
              <w:textAlignment w:val="center"/>
              <w:rPr>
                <w:rFonts w:ascii="宋体" w:hAnsi="宋体" w:eastAsia="宋体" w:cs="宋体"/>
                <w:color w:val="08090C"/>
                <w:sz w:val="16"/>
                <w:szCs w:val="16"/>
              </w:rPr>
            </w:pPr>
            <w:r>
              <w:rPr>
                <w:rFonts w:hint="eastAsia" w:ascii="Times New Roman" w:hAnsi="Times New Roman" w:eastAsia="宋体" w:cs="Times New Roman"/>
                <w:b/>
                <w:color w:val="08090C"/>
                <w:kern w:val="0"/>
                <w:sz w:val="16"/>
                <w:szCs w:val="16"/>
                <w:lang w:bidi="ar"/>
              </w:rPr>
              <w:t>（户）</w:t>
            </w:r>
          </w:p>
        </w:tc>
        <w:tc>
          <w:tcPr>
            <w:tcW w:w="608" w:type="pct"/>
            <w:tcBorders>
              <w:tl2br w:val="nil"/>
              <w:tr2bl w:val="nil"/>
            </w:tcBorders>
            <w:shd w:val="clear" w:color="auto" w:fill="auto"/>
            <w:vAlign w:val="center"/>
          </w:tcPr>
          <w:p>
            <w:pPr>
              <w:widowControl/>
              <w:shd w:val="clear"/>
              <w:snapToGrid w:val="0"/>
              <w:jc w:val="center"/>
              <w:textAlignment w:val="center"/>
              <w:rPr>
                <w:rFonts w:hint="eastAsia" w:ascii="Times New Roman" w:hAnsi="Times New Roman" w:eastAsia="宋体" w:cs="Times New Roman"/>
                <w:b/>
                <w:color w:val="08090C"/>
                <w:kern w:val="0"/>
                <w:sz w:val="16"/>
                <w:szCs w:val="16"/>
                <w:lang w:bidi="ar"/>
              </w:rPr>
            </w:pPr>
            <w:r>
              <w:rPr>
                <w:rFonts w:hint="eastAsia" w:ascii="Times New Roman" w:hAnsi="Times New Roman" w:eastAsia="宋体" w:cs="Times New Roman"/>
                <w:b/>
                <w:color w:val="08090C"/>
                <w:kern w:val="0"/>
                <w:sz w:val="16"/>
                <w:szCs w:val="16"/>
                <w:lang w:bidi="ar"/>
              </w:rPr>
              <w:t>威胁人数</w:t>
            </w:r>
          </w:p>
          <w:p>
            <w:pPr>
              <w:widowControl/>
              <w:shd w:val="clear"/>
              <w:snapToGrid w:val="0"/>
              <w:jc w:val="center"/>
              <w:textAlignment w:val="center"/>
              <w:rPr>
                <w:rFonts w:ascii="宋体" w:hAnsi="宋体" w:eastAsia="宋体" w:cs="宋体"/>
                <w:color w:val="08090C"/>
                <w:sz w:val="16"/>
                <w:szCs w:val="16"/>
              </w:rPr>
            </w:pPr>
            <w:r>
              <w:rPr>
                <w:rFonts w:hint="eastAsia" w:ascii="Times New Roman" w:hAnsi="Times New Roman" w:eastAsia="宋体" w:cs="Times New Roman"/>
                <w:b/>
                <w:color w:val="08090C"/>
                <w:kern w:val="0"/>
                <w:sz w:val="16"/>
                <w:szCs w:val="16"/>
                <w:lang w:bidi="ar"/>
              </w:rPr>
              <w:t>（人）</w:t>
            </w:r>
          </w:p>
        </w:tc>
        <w:tc>
          <w:tcPr>
            <w:tcW w:w="354" w:type="pct"/>
            <w:tcBorders>
              <w:tl2br w:val="nil"/>
              <w:tr2bl w:val="nil"/>
            </w:tcBorders>
            <w:shd w:val="clear" w:color="auto" w:fill="auto"/>
            <w:vAlign w:val="center"/>
          </w:tcPr>
          <w:p>
            <w:pPr>
              <w:widowControl/>
              <w:shd w:val="clear"/>
              <w:snapToGrid w:val="0"/>
              <w:jc w:val="center"/>
              <w:textAlignment w:val="center"/>
              <w:rPr>
                <w:rFonts w:hint="eastAsia" w:ascii="宋体" w:hAnsi="宋体" w:eastAsia="宋体" w:cs="宋体"/>
                <w:color w:val="08090C"/>
                <w:sz w:val="16"/>
                <w:szCs w:val="16"/>
                <w:lang w:eastAsia="zh-CN"/>
              </w:rPr>
            </w:pPr>
            <w:r>
              <w:rPr>
                <w:rFonts w:hint="eastAsia" w:ascii="Times New Roman" w:hAnsi="Times New Roman" w:eastAsia="宋体" w:cs="Times New Roman"/>
                <w:b/>
                <w:color w:val="08090C"/>
                <w:kern w:val="0"/>
                <w:sz w:val="16"/>
                <w:szCs w:val="16"/>
                <w:lang w:bidi="ar"/>
              </w:rPr>
              <w:t>威胁财产</w:t>
            </w:r>
            <w:r>
              <w:rPr>
                <w:rFonts w:hint="eastAsia" w:ascii="Times New Roman" w:hAnsi="Times New Roman" w:eastAsia="宋体" w:cs="Times New Roman"/>
                <w:b/>
                <w:color w:val="08090C"/>
                <w:kern w:val="0"/>
                <w:sz w:val="16"/>
                <w:szCs w:val="16"/>
                <w:lang w:eastAsia="zh-CN" w:bidi="ar"/>
              </w:rPr>
              <w:t>（万元）</w:t>
            </w:r>
          </w:p>
        </w:tc>
        <w:tc>
          <w:tcPr>
            <w:tcW w:w="361"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Times New Roman" w:hAnsi="Times New Roman" w:eastAsia="宋体" w:cs="Times New Roman"/>
                <w:b/>
                <w:color w:val="08090C"/>
                <w:kern w:val="0"/>
                <w:sz w:val="16"/>
                <w:szCs w:val="16"/>
                <w:lang w:bidi="ar"/>
              </w:rPr>
              <w:t>险情等级</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2171"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嵩县黄庄乡吕屯村下河组滑坡</w:t>
            </w:r>
          </w:p>
        </w:tc>
        <w:tc>
          <w:tcPr>
            <w:tcW w:w="608"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608"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21</w:t>
            </w:r>
          </w:p>
        </w:tc>
        <w:tc>
          <w:tcPr>
            <w:tcW w:w="354"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65</w:t>
            </w:r>
          </w:p>
        </w:tc>
        <w:tc>
          <w:tcPr>
            <w:tcW w:w="361"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2171"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嵩县木植街乡北岭村后河组滑坡</w:t>
            </w:r>
          </w:p>
        </w:tc>
        <w:tc>
          <w:tcPr>
            <w:tcW w:w="608"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608"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47</w:t>
            </w:r>
          </w:p>
        </w:tc>
        <w:tc>
          <w:tcPr>
            <w:tcW w:w="354"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660</w:t>
            </w:r>
          </w:p>
        </w:tc>
        <w:tc>
          <w:tcPr>
            <w:tcW w:w="361" w:type="pct"/>
            <w:tcBorders>
              <w:tl2br w:val="nil"/>
              <w:tr2bl w:val="nil"/>
            </w:tcBorders>
            <w:shd w:val="clear" w:color="auto" w:fill="auto"/>
            <w:vAlign w:val="center"/>
          </w:tcPr>
          <w:p>
            <w:pPr>
              <w:widowControl/>
              <w:shd w:val="clear"/>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中型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嵩县白河镇大青村前村组滑坡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嵩县白河镇上河村花花岩组滑坡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25</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400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嵩县白河镇上河村横良岭组滑坡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嵩县城关镇安康社区刘家岭组崩塌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72</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178</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1200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中型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嵩县城关镇王庄村四组滑坡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嵩县旧县镇童子庄村庙坡组滑坡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嵩县旧县镇西店村马庄坪组滑坡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56</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290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嵩县旧县镇西店村前河组滑坡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52</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330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嵩县旧县镇白庄村庙三组滑坡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44</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510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中型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嵩县何村镇箭洼村栗子坪组滑坡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36</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176</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430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中型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嵩县闫庄镇冉扒村石门组滑坡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39</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135</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嵩县大章镇旺坪村泥石流</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泥石流</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41</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宜阳县锦屏镇大雨淋村郭家门组崩塌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宜阳县三乡镇吉家庙村崩塌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17</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宜阳县上观乡上观村庞庄组崩塌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39</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宜阳县上观乡柱顶石村架寺组崩塌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31</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180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19</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宜阳县张坞镇庞沟村滑坡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27</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宜阳县赵堡镇二道沟村陈庄组滑坡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22</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21</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洛宁县永宁街道东关窑崩塌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30</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300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22</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洛宁县永宁街道西关村崩塌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39</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158</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980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中型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23</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洛宁县马店镇窑湾村东坡崩塌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24</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洛宁县赵村镇古寨村崩塌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50</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280</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875</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中型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25</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洛宁县陈吴乡庙上村寨内崩塌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崩塌</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20</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26</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栾川县栾川乡后坪村六组滑坡（葛板沟黑小庵）</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52</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360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27</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栾川县赤土店镇刘竹村下北岭滑坡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15</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35</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28</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栾川县冷水镇龙王庙村13组滑坡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31</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400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87"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29</w:t>
            </w:r>
          </w:p>
        </w:tc>
        <w:tc>
          <w:tcPr>
            <w:tcW w:w="217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栾川县白土马超营西坡组滑坡（市防治重点)</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滑坡</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608"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23</w:t>
            </w:r>
          </w:p>
        </w:tc>
        <w:tc>
          <w:tcPr>
            <w:tcW w:w="354"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350</w:t>
            </w:r>
          </w:p>
        </w:tc>
        <w:tc>
          <w:tcPr>
            <w:tcW w:w="361" w:type="pct"/>
            <w:tcBorders>
              <w:tl2br w:val="nil"/>
              <w:tr2bl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小型</w:t>
            </w:r>
          </w:p>
        </w:tc>
      </w:tr>
    </w:tbl>
    <w:p>
      <w:pPr>
        <w:pStyle w:val="3"/>
        <w:spacing w:before="20" w:after="20" w:line="240" w:lineRule="auto"/>
        <w:ind w:firstLine="320"/>
        <w:jc w:val="left"/>
        <w:rPr>
          <w:rFonts w:hint="eastAsia"/>
          <w:sz w:val="16"/>
        </w:rPr>
      </w:pPr>
      <w:r>
        <w:rPr>
          <w:rFonts w:hint="eastAsia"/>
          <w:sz w:val="16"/>
        </w:rPr>
        <w:t>注1：本表统计2025年末存量29处监测站点（现状已投运）；规划期末合计40处（存量29处提质改造+省级项目储备库6处+市级新增5处）。</w:t>
      </w:r>
    </w:p>
    <w:p/>
    <w:p>
      <w:pPr>
        <w:spacing w:line="300" w:lineRule="exact"/>
        <w:rPr>
          <w:rFonts w:ascii="宋体" w:hAnsi="宋体" w:eastAsia="宋体" w:cs="宋体"/>
        </w:rPr>
      </w:pPr>
    </w:p>
    <w:p>
      <w:pPr>
        <w:pStyle w:val="8"/>
        <w:widowControl/>
        <w:shd w:val="clear" w:color="auto"/>
        <w:spacing w:line="360" w:lineRule="auto"/>
        <w:jc w:val="both"/>
        <w:rPr>
          <w:rFonts w:ascii="宋体" w:hAnsi="宋体" w:eastAsia="宋体" w:cs="宋体"/>
          <w:b w:val="0"/>
          <w:bCs/>
          <w:sz w:val="20"/>
          <w:szCs w:val="20"/>
        </w:rPr>
      </w:pPr>
      <w:bookmarkStart w:id="261" w:name="_Toc240793062"/>
      <w:bookmarkStart w:id="262" w:name="_Toc3467"/>
      <w:bookmarkStart w:id="263" w:name="_Toc27941"/>
      <w:r>
        <w:rPr>
          <w:rFonts w:hint="eastAsia" w:ascii="黑体" w:hAnsi="黑体" w:cs="黑体"/>
          <w:b w:val="0"/>
          <w:bCs/>
          <w:sz w:val="28"/>
          <w:szCs w:val="20"/>
        </w:rPr>
        <w:t>附表十</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洛阳市“十五五”地质灾害防治五年投资汇总简表</w:t>
      </w:r>
      <w:bookmarkEnd w:id="261"/>
      <w:bookmarkEnd w:id="262"/>
      <w:bookmarkEnd w:id="263"/>
    </w:p>
    <w:tbl>
      <w:tblPr>
        <w:tblStyle w:val="32"/>
        <w:tblW w:w="5000" w:type="pct"/>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Layout w:type="autofit"/>
        <w:tblCellMar>
          <w:top w:w="15" w:type="dxa"/>
          <w:left w:w="15" w:type="dxa"/>
          <w:bottom w:w="15" w:type="dxa"/>
          <w:right w:w="15" w:type="dxa"/>
        </w:tblCellMar>
      </w:tblPr>
      <w:tblGrid>
        <w:gridCol w:w="4813"/>
        <w:gridCol w:w="3669"/>
        <w:gridCol w:w="2360"/>
        <w:gridCol w:w="3356"/>
      </w:tblGrid>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tblHeader/>
          <w:jc w:val="center"/>
        </w:trPr>
        <w:tc>
          <w:tcPr>
            <w:tcW w:w="5000" w:type="pct"/>
            <w:gridSpan w:val="4"/>
            <w:tcBorders>
              <w:tl2br w:val="nil"/>
              <w:tr2bl w:val="nil"/>
            </w:tcBorders>
            <w:shd w:val="clear" w:color="auto" w:fill="auto"/>
            <w:tcMar>
              <w:top w:w="120" w:type="dxa"/>
              <w:left w:w="120" w:type="dxa"/>
              <w:bottom w:w="120" w:type="dxa"/>
              <w:right w:w="120" w:type="dxa"/>
            </w:tcMar>
            <w:vAlign w:val="center"/>
          </w:tcPr>
          <w:p>
            <w:pPr>
              <w:widowControl/>
              <w:snapToGrid w:val="0"/>
              <w:jc w:val="center"/>
              <w:textAlignment w:val="center"/>
              <w:rPr>
                <w:rFonts w:ascii="宋体" w:hAnsi="宋体" w:eastAsia="宋体" w:cs="宋体"/>
                <w:b/>
                <w:bCs/>
                <w:color w:val="000000" w:themeColor="dark1"/>
                <w:kern w:val="0"/>
                <w:sz w:val="16"/>
                <w:szCs w:val="16"/>
                <w:lang w:bidi="ar"/>
                <w14:textFill>
                  <w14:solidFill>
                    <w14:schemeClr w14:val="dk1"/>
                  </w14:solidFill>
                </w14:textFill>
              </w:rPr>
            </w:pPr>
            <w:r>
              <w:rPr>
                <w:rFonts w:hint="eastAsia" w:ascii="宋体" w:hAnsi="宋体" w:eastAsia="宋体" w:cs="宋体"/>
                <w:b/>
                <w:color w:val="000000" w:themeColor="dark1"/>
                <w:kern w:val="0"/>
                <w:sz w:val="16"/>
                <w:szCs w:val="16"/>
                <w:lang w:bidi="ar"/>
                <w14:textFill>
                  <w14:solidFill>
                    <w14:schemeClr w14:val="dk1"/>
                  </w14:solidFill>
                </w14:textFill>
              </w:rPr>
              <w:t>洛阳市“十五五”地质灾害防治五年投资汇总表</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tblHeader/>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工程类别</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工程量</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投资（万元）</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资金来源</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1:1万精细化调查</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50个乡镇</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3000</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市级财政</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监测预警（存量改造+新建）</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40处</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658</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中央/省级/市级</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工程治理</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约71处</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8200</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中央/省级/市级</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避险搬迁</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96户</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499.2</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市级</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排危除险</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160处</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1600</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市级</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防灾配套设施</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60处</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720</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市级</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一次性工程小计</w:t>
            </w:r>
          </w:p>
        </w:tc>
        <w:tc>
          <w:tcPr>
            <w:tcW w:w="1292" w:type="pct"/>
            <w:tcBorders>
              <w:tl2br w:val="nil"/>
              <w:tr2bl w:val="nil"/>
            </w:tcBorders>
            <w:shd w:val="clear" w:color="auto" w:fill="auto"/>
            <w:tcMar>
              <w:top w:w="120" w:type="dxa"/>
              <w:left w:w="120" w:type="dxa"/>
              <w:bottom w:w="120" w:type="dxa"/>
              <w:right w:w="120" w:type="dxa"/>
            </w:tcMar>
            <w:vAlign w:val="center"/>
          </w:tcPr>
          <w:p>
            <w:pPr>
              <w:snapToGrid w:val="0"/>
              <w:jc w:val="center"/>
              <w:rPr>
                <w:rFonts w:ascii="宋体" w:hAnsi="宋体" w:eastAsia="宋体" w:cs="宋体"/>
                <w:color w:val="08090C"/>
                <w:sz w:val="16"/>
                <w:szCs w:val="16"/>
              </w:rPr>
            </w:pP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14677.2</w:t>
            </w:r>
          </w:p>
        </w:tc>
        <w:tc>
          <w:tcPr>
            <w:tcW w:w="1180" w:type="pct"/>
            <w:tcBorders>
              <w:tl2br w:val="nil"/>
              <w:tr2bl w:val="nil"/>
            </w:tcBorders>
            <w:shd w:val="clear" w:color="auto" w:fill="auto"/>
            <w:tcMar>
              <w:top w:w="120" w:type="dxa"/>
              <w:left w:w="120" w:type="dxa"/>
              <w:bottom w:w="120" w:type="dxa"/>
              <w:right w:w="120" w:type="dxa"/>
            </w:tcMar>
            <w:vAlign w:val="center"/>
          </w:tcPr>
          <w:p>
            <w:pPr>
              <w:snapToGrid w:val="0"/>
              <w:jc w:val="center"/>
              <w:rPr>
                <w:rFonts w:ascii="宋体" w:hAnsi="宋体" w:eastAsia="宋体" w:cs="宋体"/>
                <w:color w:val="08090C"/>
                <w:sz w:val="16"/>
                <w:szCs w:val="16"/>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监测站点运维</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40处站点+市级平台</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550</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市县年度预算</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群测群防员补贴</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约1000名</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1250</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市县年度预算</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避险场地管护</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60处</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450</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市县年度预算</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科普培训</w:t>
            </w:r>
          </w:p>
        </w:tc>
        <w:tc>
          <w:tcPr>
            <w:tcW w:w="1292"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14个区县</w:t>
            </w: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350</w:t>
            </w:r>
          </w:p>
        </w:tc>
        <w:tc>
          <w:tcPr>
            <w:tcW w:w="1180"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市县年度预算</w:t>
            </w: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常态化运维小计</w:t>
            </w:r>
          </w:p>
        </w:tc>
        <w:tc>
          <w:tcPr>
            <w:tcW w:w="1292" w:type="pct"/>
            <w:tcBorders>
              <w:tl2br w:val="nil"/>
              <w:tr2bl w:val="nil"/>
            </w:tcBorders>
            <w:shd w:val="clear" w:color="auto" w:fill="auto"/>
            <w:tcMar>
              <w:top w:w="120" w:type="dxa"/>
              <w:left w:w="120" w:type="dxa"/>
              <w:bottom w:w="120" w:type="dxa"/>
              <w:right w:w="120" w:type="dxa"/>
            </w:tcMar>
            <w:vAlign w:val="center"/>
          </w:tcPr>
          <w:p>
            <w:pPr>
              <w:snapToGrid w:val="0"/>
              <w:jc w:val="center"/>
              <w:rPr>
                <w:rFonts w:ascii="宋体" w:hAnsi="宋体" w:eastAsia="宋体" w:cs="宋体"/>
                <w:color w:val="08090C"/>
                <w:sz w:val="16"/>
                <w:szCs w:val="16"/>
              </w:rPr>
            </w:pP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2600</w:t>
            </w:r>
          </w:p>
        </w:tc>
        <w:tc>
          <w:tcPr>
            <w:tcW w:w="1180" w:type="pct"/>
            <w:tcBorders>
              <w:tl2br w:val="nil"/>
              <w:tr2bl w:val="nil"/>
            </w:tcBorders>
            <w:shd w:val="clear" w:color="auto" w:fill="auto"/>
            <w:tcMar>
              <w:top w:w="120" w:type="dxa"/>
              <w:left w:w="120" w:type="dxa"/>
              <w:bottom w:w="120" w:type="dxa"/>
              <w:right w:w="120" w:type="dxa"/>
            </w:tcMar>
            <w:vAlign w:val="center"/>
          </w:tcPr>
          <w:p>
            <w:pPr>
              <w:snapToGrid w:val="0"/>
              <w:jc w:val="center"/>
              <w:rPr>
                <w:rFonts w:ascii="宋体" w:hAnsi="宋体" w:eastAsia="宋体" w:cs="宋体"/>
                <w:color w:val="08090C"/>
                <w:sz w:val="16"/>
                <w:szCs w:val="16"/>
              </w:rPr>
            </w:pPr>
          </w:p>
        </w:tc>
      </w:tr>
      <w:tr>
        <w:tblPrEx>
          <w:tblBorders>
            <w:top w:val="single" w:color="000000" w:themeColor="text1" w:sz="12" w:space="0"/>
            <w:left w:val="none" w:color="auto" w:sz="0" w:space="0"/>
            <w:bottom w:val="single" w:color="000000" w:themeColor="text1" w:sz="12" w:space="0"/>
            <w:right w:val="none" w:color="auto" w:sz="0" w:space="0"/>
            <w:insideH w:val="single" w:color="000000" w:themeColor="text1" w:sz="2" w:space="0"/>
            <w:insideV w:val="single" w:color="000000" w:themeColor="text1" w:sz="2" w:space="0"/>
          </w:tblBorders>
          <w:shd w:val="clear" w:color="auto" w:fill="auto"/>
          <w:tblCellMar>
            <w:top w:w="15" w:type="dxa"/>
            <w:left w:w="15" w:type="dxa"/>
            <w:bottom w:w="15" w:type="dxa"/>
            <w:right w:w="15" w:type="dxa"/>
          </w:tblCellMar>
        </w:tblPrEx>
        <w:trPr>
          <w:trHeight w:val="397" w:hRule="atLeast"/>
          <w:jc w:val="center"/>
        </w:trPr>
        <w:tc>
          <w:tcPr>
            <w:tcW w:w="1695"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合计</w:t>
            </w:r>
          </w:p>
        </w:tc>
        <w:tc>
          <w:tcPr>
            <w:tcW w:w="1292" w:type="pct"/>
            <w:tcBorders>
              <w:tl2br w:val="nil"/>
              <w:tr2bl w:val="nil"/>
            </w:tcBorders>
            <w:shd w:val="clear" w:color="auto" w:fill="auto"/>
            <w:tcMar>
              <w:top w:w="120" w:type="dxa"/>
              <w:left w:w="120" w:type="dxa"/>
              <w:bottom w:w="120" w:type="dxa"/>
              <w:right w:w="120" w:type="dxa"/>
            </w:tcMar>
            <w:vAlign w:val="center"/>
          </w:tcPr>
          <w:p>
            <w:pPr>
              <w:snapToGrid w:val="0"/>
              <w:jc w:val="center"/>
              <w:rPr>
                <w:rFonts w:ascii="宋体" w:hAnsi="宋体" w:eastAsia="宋体" w:cs="宋体"/>
                <w:color w:val="08090C"/>
                <w:sz w:val="16"/>
                <w:szCs w:val="16"/>
              </w:rPr>
            </w:pPr>
          </w:p>
        </w:tc>
        <w:tc>
          <w:tcPr>
            <w:tcW w:w="831" w:type="pct"/>
            <w:tcBorders>
              <w:tl2br w:val="nil"/>
              <w:tr2bl w:val="nil"/>
            </w:tcBorders>
            <w:shd w:val="clear" w:color="auto" w:fill="auto"/>
            <w:tcMar>
              <w:top w:w="120" w:type="dxa"/>
              <w:left w:w="120" w:type="dxa"/>
              <w:bottom w:w="120" w:type="dxa"/>
              <w:right w:w="120" w:type="dxa"/>
            </w:tcMar>
            <w:vAlign w:val="center"/>
          </w:tcPr>
          <w:p>
            <w:pPr>
              <w:widowControl/>
              <w:snapToGrid w:val="0"/>
              <w:jc w:val="center"/>
              <w:rPr>
                <w:rFonts w:ascii="宋体" w:hAnsi="宋体" w:eastAsia="宋体" w:cs="宋体"/>
                <w:color w:val="08090C"/>
                <w:sz w:val="16"/>
                <w:szCs w:val="16"/>
              </w:rPr>
            </w:pPr>
            <w:r>
              <w:rPr>
                <w:rStyle w:val="35"/>
                <w:rFonts w:hint="eastAsia" w:ascii="宋体" w:hAnsi="宋体" w:eastAsia="宋体" w:cs="宋体"/>
                <w:b w:val="0"/>
                <w:color w:val="08090C"/>
                <w:kern w:val="0"/>
                <w:sz w:val="16"/>
                <w:szCs w:val="16"/>
                <w:lang w:bidi="ar"/>
              </w:rPr>
              <w:t>17277.2</w:t>
            </w:r>
          </w:p>
        </w:tc>
        <w:tc>
          <w:tcPr>
            <w:tcW w:w="1180" w:type="pct"/>
            <w:tcBorders>
              <w:tl2br w:val="nil"/>
              <w:tr2bl w:val="nil"/>
            </w:tcBorders>
            <w:shd w:val="clear" w:color="auto" w:fill="auto"/>
            <w:tcMar>
              <w:top w:w="120" w:type="dxa"/>
              <w:left w:w="120" w:type="dxa"/>
              <w:bottom w:w="120" w:type="dxa"/>
              <w:right w:w="120" w:type="dxa"/>
            </w:tcMar>
            <w:vAlign w:val="center"/>
          </w:tcPr>
          <w:p>
            <w:pPr>
              <w:snapToGrid w:val="0"/>
              <w:jc w:val="center"/>
              <w:rPr>
                <w:rFonts w:ascii="宋体" w:hAnsi="宋体" w:eastAsia="宋体" w:cs="宋体"/>
                <w:color w:val="08090C"/>
                <w:sz w:val="16"/>
                <w:szCs w:val="16"/>
              </w:rPr>
            </w:pPr>
          </w:p>
        </w:tc>
      </w:tr>
    </w:tbl>
    <w:p>
      <w:pPr>
        <w:pStyle w:val="3"/>
        <w:spacing w:before="20" w:after="20" w:line="240" w:lineRule="auto"/>
        <w:ind w:firstLine="320"/>
        <w:jc w:val="left"/>
        <w:rPr>
          <w:rFonts w:hint="eastAsia"/>
          <w:color w:val="0F1115"/>
          <w:sz w:val="16"/>
        </w:rPr>
      </w:pPr>
      <w:r>
        <w:rPr>
          <w:rFonts w:hint="eastAsia"/>
          <w:color w:val="0F1115"/>
          <w:sz w:val="16"/>
        </w:rPr>
        <w:t>注：各工程类别明细随《规划编制说明》一并编制，不在本规划正文逐项列示；具体项目清单纳入市级地质灾害防治项目库，结合省级项目储备库下达节奏分年度动态安排、滚动实施。</w:t>
      </w:r>
    </w:p>
    <w:p>
      <w:pPr>
        <w:rPr>
          <w:rFonts w:hint="eastAsia"/>
          <w:color w:val="0F1115"/>
          <w:sz w:val="16"/>
        </w:rPr>
      </w:pPr>
    </w:p>
    <w:p>
      <w:pPr>
        <w:pStyle w:val="2"/>
        <w:rPr>
          <w:rFonts w:hint="eastAsia"/>
          <w:color w:val="0F1115"/>
          <w:sz w:val="16"/>
        </w:rPr>
      </w:pPr>
    </w:p>
    <w:p>
      <w:pPr>
        <w:pStyle w:val="4"/>
        <w:rPr>
          <w:rFonts w:hint="eastAsia"/>
          <w:color w:val="0F1115"/>
          <w:sz w:val="16"/>
        </w:rPr>
      </w:pPr>
    </w:p>
    <w:p>
      <w:pPr>
        <w:rPr>
          <w:rFonts w:hint="eastAsia"/>
          <w:color w:val="0F1115"/>
          <w:sz w:val="16"/>
        </w:rPr>
      </w:pPr>
    </w:p>
    <w:p>
      <w:pPr>
        <w:pStyle w:val="2"/>
        <w:rPr>
          <w:rFonts w:hint="eastAsia"/>
          <w:color w:val="0F1115"/>
          <w:sz w:val="16"/>
        </w:rPr>
      </w:pPr>
    </w:p>
    <w:p>
      <w:pPr>
        <w:pStyle w:val="4"/>
        <w:rPr>
          <w:rFonts w:hint="eastAsia"/>
          <w:color w:val="0F1115"/>
          <w:sz w:val="16"/>
        </w:rPr>
      </w:pPr>
    </w:p>
    <w:p>
      <w:pPr>
        <w:rPr>
          <w:rFonts w:hint="eastAsia"/>
          <w:color w:val="0F1115"/>
          <w:sz w:val="16"/>
        </w:rPr>
      </w:pPr>
    </w:p>
    <w:p>
      <w:pPr>
        <w:pStyle w:val="2"/>
        <w:rPr>
          <w:rFonts w:hint="eastAsia"/>
          <w:color w:val="0F1115"/>
          <w:sz w:val="16"/>
        </w:rPr>
      </w:pPr>
    </w:p>
    <w:p>
      <w:pPr>
        <w:pStyle w:val="4"/>
        <w:rPr>
          <w:rFonts w:hint="eastAsia"/>
          <w:color w:val="0F1115"/>
          <w:sz w:val="16"/>
        </w:rPr>
      </w:pPr>
    </w:p>
    <w:p>
      <w:pPr>
        <w:pStyle w:val="8"/>
        <w:widowControl/>
        <w:shd w:val="clear" w:color="auto"/>
        <w:spacing w:line="360" w:lineRule="auto"/>
        <w:jc w:val="both"/>
        <w:rPr>
          <w:rFonts w:ascii="宋体" w:hAnsi="宋体" w:eastAsia="宋体" w:cs="宋体"/>
          <w:b w:val="0"/>
          <w:bCs/>
          <w:sz w:val="20"/>
          <w:szCs w:val="20"/>
        </w:rPr>
      </w:pPr>
      <w:bookmarkStart w:id="271" w:name="_GoBack"/>
      <w:bookmarkEnd w:id="271"/>
      <w:bookmarkStart w:id="264" w:name="_Toc240793063"/>
      <w:bookmarkStart w:id="265" w:name="_Toc5471"/>
      <w:bookmarkStart w:id="266" w:name="_Toc660"/>
      <w:r>
        <w:rPr>
          <w:rFonts w:hint="eastAsia" w:ascii="黑体" w:hAnsi="黑体" w:cs="黑体"/>
          <w:b w:val="0"/>
          <w:bCs/>
          <w:sz w:val="28"/>
          <w:szCs w:val="20"/>
        </w:rPr>
        <w:t>附表十一</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洛阳市“十五五”地质灾害防治规划量化指标总表</w:t>
      </w:r>
      <w:bookmarkEnd w:id="264"/>
      <w:bookmarkEnd w:id="265"/>
      <w:bookmarkEnd w:id="266"/>
    </w:p>
    <w:tbl>
      <w:tblPr>
        <w:tblStyle w:val="33"/>
        <w:tblW w:w="5044" w:type="pct"/>
        <w:jc w:val="center"/>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Layout w:type="autofit"/>
        <w:tblCellMar>
          <w:top w:w="0" w:type="dxa"/>
          <w:left w:w="108" w:type="dxa"/>
          <w:bottom w:w="0" w:type="dxa"/>
          <w:right w:w="108" w:type="dxa"/>
        </w:tblCellMar>
      </w:tblPr>
      <w:tblGrid>
        <w:gridCol w:w="621"/>
        <w:gridCol w:w="1204"/>
        <w:gridCol w:w="2114"/>
        <w:gridCol w:w="1053"/>
        <w:gridCol w:w="2494"/>
        <w:gridCol w:w="2680"/>
        <w:gridCol w:w="4007"/>
        <w:gridCol w:w="126"/>
      </w:tblGrid>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gridAfter w:val="1"/>
          <w:wAfter w:w="44" w:type="pct"/>
          <w:trHeight w:val="397" w:hRule="atLeast"/>
          <w:tblHeader/>
          <w:jc w:val="center"/>
        </w:trPr>
        <w:tc>
          <w:tcPr>
            <w:tcW w:w="4955" w:type="pct"/>
            <w:gridSpan w:val="7"/>
            <w:tcBorders>
              <w:top w:val="single" w:color="000000" w:themeColor="text1" w:sz="12" w:space="0"/>
              <w:left w:val="nil"/>
              <w:right w:val="nil"/>
            </w:tcBorders>
            <w:shd w:val="clear" w:color="auto" w:fill="auto"/>
            <w:vAlign w:val="center"/>
          </w:tcPr>
          <w:p>
            <w:pPr>
              <w:widowControl/>
              <w:snapToGrid w:val="0"/>
              <w:jc w:val="center"/>
              <w:textAlignment w:val="center"/>
              <w:rPr>
                <w:rFonts w:ascii="宋体" w:hAnsi="宋体" w:eastAsia="宋体" w:cs="宋体"/>
                <w:b/>
                <w:color w:val="000000" w:themeColor="dark1"/>
                <w:sz w:val="16"/>
                <w:szCs w:val="16"/>
                <w14:textFill>
                  <w14:solidFill>
                    <w14:schemeClr w14:val="dk1"/>
                  </w14:solidFill>
                </w14:textFill>
              </w:rPr>
            </w:pPr>
            <w:bookmarkStart w:id="267" w:name="_Toc2445"/>
            <w:r>
              <w:rPr>
                <w:rFonts w:hint="eastAsia" w:ascii="宋体" w:hAnsi="宋体" w:eastAsia="宋体" w:cs="宋体"/>
                <w:b/>
                <w:bCs/>
                <w:color w:val="000000" w:themeColor="dark1"/>
                <w:kern w:val="0"/>
                <w:sz w:val="16"/>
                <w:szCs w:val="16"/>
                <w:lang w:bidi="ar"/>
                <w14:textFill>
                  <w14:solidFill>
                    <w14:schemeClr w14:val="dk1"/>
                  </w14:solidFill>
                </w14:textFill>
              </w:rPr>
              <w:t>洛阳市“十五五</w:t>
            </w:r>
            <w:r>
              <w:rPr>
                <w:rFonts w:ascii="宋体" w:hAnsi="宋体" w:eastAsia="宋体" w:cs="宋体"/>
                <w:b/>
                <w:bCs/>
                <w:color w:val="000000" w:themeColor="dark1"/>
                <w:kern w:val="0"/>
                <w:sz w:val="16"/>
                <w:szCs w:val="16"/>
                <w:lang w:bidi="ar"/>
                <w14:textFill>
                  <w14:solidFill>
                    <w14:schemeClr w14:val="dk1"/>
                  </w14:solidFill>
                </w14:textFill>
              </w:rPr>
              <w:t>”</w:t>
            </w:r>
            <w:r>
              <w:rPr>
                <w:rFonts w:hint="eastAsia" w:ascii="宋体" w:hAnsi="宋体" w:eastAsia="宋体" w:cs="宋体"/>
                <w:b/>
                <w:bCs/>
                <w:color w:val="000000" w:themeColor="dark1"/>
                <w:kern w:val="0"/>
                <w:sz w:val="16"/>
                <w:szCs w:val="16"/>
                <w:lang w:bidi="ar"/>
                <w14:textFill>
                  <w14:solidFill>
                    <w14:schemeClr w14:val="dk1"/>
                  </w14:solidFill>
                </w14:textFill>
              </w:rPr>
              <w:t>地质灾害防治规划量化指标总表</w:t>
            </w:r>
            <w:bookmarkEnd w:id="267"/>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tblHeader/>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Times New Roman" w:hAnsi="Times New Roman" w:eastAsia="宋体" w:cs="Times New Roman"/>
                <w:b/>
                <w:color w:val="08090C"/>
                <w:sz w:val="16"/>
                <w:szCs w:val="16"/>
              </w:rPr>
              <w:t>序号</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Times New Roman" w:hAnsi="Times New Roman" w:eastAsia="宋体" w:cs="Times New Roman"/>
                <w:b/>
                <w:color w:val="08090C"/>
                <w:sz w:val="16"/>
                <w:szCs w:val="16"/>
              </w:rPr>
              <w:t>指标分类</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Times New Roman" w:hAnsi="Times New Roman" w:eastAsia="宋体" w:cs="Times New Roman"/>
                <w:b/>
                <w:color w:val="08090C"/>
                <w:sz w:val="16"/>
                <w:szCs w:val="16"/>
              </w:rPr>
              <w:t>指标名称</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Times New Roman" w:hAnsi="Times New Roman" w:eastAsia="宋体" w:cs="Times New Roman"/>
                <w:b/>
                <w:color w:val="08090C"/>
                <w:sz w:val="16"/>
                <w:szCs w:val="16"/>
              </w:rPr>
              <w:t>指标属性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Times New Roman" w:hAnsi="Times New Roman" w:eastAsia="宋体" w:cs="Times New Roman"/>
                <w:b/>
                <w:color w:val="08090C"/>
                <w:sz w:val="16"/>
                <w:szCs w:val="16"/>
              </w:rPr>
              <w:t>2025年基准值</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Times New Roman" w:hAnsi="Times New Roman" w:eastAsia="宋体" w:cs="Times New Roman"/>
                <w:b/>
                <w:color w:val="08090C"/>
                <w:sz w:val="16"/>
                <w:szCs w:val="16"/>
              </w:rPr>
              <w:t>2030年规划目标值</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Times New Roman" w:hAnsi="Times New Roman" w:eastAsia="宋体" w:cs="Times New Roman"/>
                <w:b/>
                <w:color w:val="08090C"/>
                <w:sz w:val="16"/>
                <w:szCs w:val="16"/>
              </w:rPr>
              <w:t>指标释义及对应附表</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1</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调查评价</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高风险乡镇1:1万精细化调查覆盖率</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约束性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“十四五”仅完成局部乡镇调查，全域未全覆盖</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100%</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全市52个高风险乡镇中十四五已完成2个，十五五实施剩余50个，对应附表八、附件1</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2</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监测预警</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高风险隐患及风险斜坡自动化监测覆盖率</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约束性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现状已投运自动化监测29处、存量监测点位29处，无系统化高风险专项布设</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应装尽装（以全市极高、高风险隐患点及连片风险斜坡总数为基数，自动化监测覆盖率不低于75%，其余点位通过群测群防实现全覆盖）</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规划期末建成40处自动化监测站点（存量29处+省级项目储备库6处+市级新增5处），对应附件2</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3</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监测预警</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地质灾害预警信息村级叫应响应率</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约束性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100%</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预警信息到达行政村后，完成叫应提醒并反馈的行政村占比</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4</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群测群防</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群测群防体系动态覆盖率</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约束性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100%</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100%</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在册333处隐患、917处风险斜坡全部落实群测群防责任，对应附表七</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5</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防灾成效</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地质灾害人员伤亡</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约束性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连续五年零伤亡</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坚决守住零伤亡底线</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规划期杜绝地质灾害人员死亡、重伤事故</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6</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隐患消险</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中高风险地质灾害隐患治理搬迁销号率</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预期性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≥80%</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以2025年底333处隐患为基数，五年内通过工程治理、避险搬迁销号比例不低于80%，对应附件3、附件4</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7</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避险配套</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标准化避险安置点建设覆盖率</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预期性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零散简易点位，无标准化配套设施</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高风险村100%覆盖</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规划新建改造60处标准化避险场地，对应附件6</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8</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基层能力</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基层防灾人员年度培训覆盖率</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预期性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100%</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十五五实现所有监测员、村干部、自然资源所人员年度培训全覆盖，对应附件7</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9</w:t>
            </w:r>
          </w:p>
        </w:tc>
        <w:tc>
          <w:tcPr>
            <w:tcW w:w="421"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源头管控</w:t>
            </w:r>
          </w:p>
        </w:tc>
        <w:tc>
          <w:tcPr>
            <w:tcW w:w="739"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人为诱发新增地质灾害增速</w:t>
            </w:r>
          </w:p>
        </w:tc>
        <w:tc>
          <w:tcPr>
            <w:tcW w:w="368"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预期性</w:t>
            </w:r>
          </w:p>
        </w:tc>
        <w:tc>
          <w:tcPr>
            <w:tcW w:w="872"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逐年小幅上升</w:t>
            </w:r>
          </w:p>
        </w:tc>
        <w:tc>
          <w:tcPr>
            <w:tcW w:w="937" w:type="pct"/>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逐年下降、有效管控</w:t>
            </w:r>
          </w:p>
        </w:tc>
        <w:tc>
          <w:tcPr>
            <w:tcW w:w="1442" w:type="pct"/>
            <w:gridSpan w:val="2"/>
            <w:tcBorders>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农村切坡、工程开挖持续新增隐患，规划通过源头管控压减增量</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7" w:type="pct"/>
            <w:tcBorders>
              <w:left w:val="nil"/>
              <w:bottom w:val="single" w:color="000000" w:themeColor="text1" w:sz="12" w:space="0"/>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10</w:t>
            </w:r>
          </w:p>
        </w:tc>
        <w:tc>
          <w:tcPr>
            <w:tcW w:w="421" w:type="pct"/>
            <w:tcBorders>
              <w:bottom w:val="single" w:color="000000" w:themeColor="text1" w:sz="12" w:space="0"/>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监测运维</w:t>
            </w:r>
          </w:p>
        </w:tc>
        <w:tc>
          <w:tcPr>
            <w:tcW w:w="739" w:type="pct"/>
            <w:tcBorders>
              <w:bottom w:val="single" w:color="000000" w:themeColor="text1" w:sz="12" w:space="0"/>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自动化监测站点正常运行率</w:t>
            </w:r>
          </w:p>
        </w:tc>
        <w:tc>
          <w:tcPr>
            <w:tcW w:w="368" w:type="pct"/>
            <w:tcBorders>
              <w:bottom w:val="single" w:color="000000" w:themeColor="text1" w:sz="12" w:space="0"/>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约束性</w:t>
            </w:r>
          </w:p>
        </w:tc>
        <w:tc>
          <w:tcPr>
            <w:tcW w:w="872" w:type="pct"/>
            <w:tcBorders>
              <w:bottom w:val="single" w:color="000000" w:themeColor="text1" w:sz="12" w:space="0"/>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w:t>
            </w:r>
          </w:p>
        </w:tc>
        <w:tc>
          <w:tcPr>
            <w:tcW w:w="937" w:type="pct"/>
            <w:tcBorders>
              <w:bottom w:val="single" w:color="000000" w:themeColor="text1" w:sz="12" w:space="0"/>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≥95%</w:t>
            </w:r>
          </w:p>
        </w:tc>
        <w:tc>
          <w:tcPr>
            <w:tcW w:w="1442" w:type="pct"/>
            <w:gridSpan w:val="2"/>
            <w:tcBorders>
              <w:bottom w:val="single" w:color="000000" w:themeColor="text1" w:sz="12" w:space="0"/>
              <w:right w:val="nil"/>
            </w:tcBorders>
            <w:shd w:val="clear" w:color="auto" w:fill="auto"/>
            <w:vAlign w:val="center"/>
          </w:tcPr>
          <w:p>
            <w:pPr>
              <w:snapToGrid w:val="0"/>
              <w:jc w:val="center"/>
              <w:rPr>
                <w:rFonts w:ascii="宋体" w:hAnsi="宋体" w:eastAsia="宋体" w:cs="宋体"/>
                <w:color w:val="08090C"/>
                <w:sz w:val="16"/>
                <w:szCs w:val="16"/>
              </w:rPr>
            </w:pPr>
            <w:r>
              <w:rPr>
                <w:rFonts w:hint="eastAsia" w:ascii="宋体" w:hAnsi="宋体" w:eastAsia="宋体" w:cs="宋体"/>
                <w:color w:val="08090C"/>
                <w:sz w:val="16"/>
                <w:szCs w:val="16"/>
              </w:rPr>
              <w:t>规划期末40处自动化监测站点年均有效运行率不低于95%，对应附件7</w:t>
            </w:r>
          </w:p>
        </w:tc>
      </w:tr>
    </w:tbl>
    <w:p>
      <w:pPr>
        <w:rPr>
          <w:rFonts w:ascii="宋体" w:hAnsi="宋体" w:eastAsia="宋体" w:cs="宋体"/>
          <w:sz w:val="20"/>
          <w:szCs w:val="20"/>
        </w:rPr>
      </w:pPr>
    </w:p>
    <w:p>
      <w:pPr>
        <w:rPr>
          <w:rFonts w:ascii="宋体" w:hAnsi="宋体" w:eastAsia="宋体" w:cs="宋体"/>
          <w:b/>
          <w:sz w:val="20"/>
          <w:szCs w:val="20"/>
        </w:rPr>
      </w:pPr>
      <w:bookmarkStart w:id="268" w:name="_Toc22994"/>
      <w:r>
        <w:rPr>
          <w:rFonts w:hint="eastAsia" w:ascii="宋体" w:hAnsi="宋体" w:eastAsia="宋体" w:cs="宋体"/>
          <w:b/>
          <w:sz w:val="20"/>
          <w:szCs w:val="20"/>
        </w:rPr>
        <w:br w:type="page"/>
      </w:r>
    </w:p>
    <w:p>
      <w:pPr>
        <w:pStyle w:val="8"/>
        <w:widowControl/>
        <w:shd w:val="clear" w:color="auto"/>
        <w:spacing w:line="360" w:lineRule="auto"/>
        <w:jc w:val="both"/>
        <w:rPr>
          <w:rFonts w:ascii="宋体" w:hAnsi="宋体" w:eastAsia="宋体" w:cs="宋体"/>
          <w:b w:val="0"/>
          <w:bCs/>
          <w:sz w:val="20"/>
          <w:szCs w:val="20"/>
        </w:rPr>
      </w:pPr>
      <w:bookmarkStart w:id="269" w:name="_Toc240793064"/>
      <w:bookmarkStart w:id="270" w:name="_Toc18057"/>
      <w:r>
        <w:rPr>
          <w:rFonts w:hint="eastAsia" w:ascii="黑体" w:hAnsi="黑体" w:cs="黑体"/>
          <w:b w:val="0"/>
          <w:bCs/>
          <w:sz w:val="28"/>
          <w:szCs w:val="20"/>
        </w:rPr>
        <w:t>附表十二</w:t>
      </w:r>
      <w:r>
        <w:rPr>
          <w:rFonts w:hint="eastAsia" w:ascii="黑体" w:hAnsi="黑体" w:cs="黑体"/>
          <w:b w:val="0"/>
          <w:bCs/>
          <w:sz w:val="28"/>
          <w:szCs w:val="20"/>
          <w:lang w:val="en-US" w:eastAsia="zh-CN"/>
        </w:rPr>
        <w:t xml:space="preserve">            </w:t>
      </w:r>
      <w:r>
        <w:rPr>
          <w:rFonts w:hint="eastAsia" w:ascii="黑体" w:hAnsi="黑体" w:cs="黑体"/>
          <w:b w:val="0"/>
          <w:bCs/>
          <w:sz w:val="28"/>
          <w:szCs w:val="20"/>
        </w:rPr>
        <w:t>洛阳市“十四五”地质灾害防灾短板与</w:t>
      </w:r>
      <w:r>
        <w:rPr>
          <w:rFonts w:hint="eastAsia" w:ascii="黑体" w:hAnsi="黑体" w:cs="黑体"/>
          <w:b w:val="0"/>
          <w:bCs/>
          <w:sz w:val="28"/>
          <w:szCs w:val="20"/>
          <w:lang w:eastAsia="zh-CN"/>
        </w:rPr>
        <w:t>“</w:t>
      </w:r>
      <w:r>
        <w:rPr>
          <w:rFonts w:hint="eastAsia" w:ascii="黑体" w:hAnsi="黑体" w:cs="黑体"/>
          <w:b w:val="0"/>
          <w:bCs/>
          <w:sz w:val="28"/>
          <w:szCs w:val="20"/>
        </w:rPr>
        <w:t>十五五</w:t>
      </w:r>
      <w:r>
        <w:rPr>
          <w:rFonts w:hint="eastAsia" w:ascii="黑体" w:hAnsi="黑体" w:cs="黑体"/>
          <w:b w:val="0"/>
          <w:bCs/>
          <w:sz w:val="28"/>
          <w:szCs w:val="20"/>
          <w:lang w:eastAsia="zh-CN"/>
        </w:rPr>
        <w:t>”</w:t>
      </w:r>
      <w:r>
        <w:rPr>
          <w:rFonts w:hint="eastAsia" w:ascii="黑体" w:hAnsi="黑体" w:cs="黑体"/>
          <w:b w:val="0"/>
          <w:bCs/>
          <w:sz w:val="28"/>
          <w:szCs w:val="20"/>
        </w:rPr>
        <w:t>提升量化对比表</w:t>
      </w:r>
      <w:bookmarkEnd w:id="268"/>
      <w:bookmarkEnd w:id="269"/>
      <w:bookmarkEnd w:id="270"/>
    </w:p>
    <w:tbl>
      <w:tblPr>
        <w:tblStyle w:val="32"/>
        <w:tblW w:w="5000" w:type="pct"/>
        <w:jc w:val="center"/>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Layout w:type="autofit"/>
        <w:tblCellMar>
          <w:top w:w="0" w:type="dxa"/>
          <w:left w:w="108" w:type="dxa"/>
          <w:bottom w:w="0" w:type="dxa"/>
          <w:right w:w="108" w:type="dxa"/>
        </w:tblCellMar>
      </w:tblPr>
      <w:tblGrid>
        <w:gridCol w:w="609"/>
        <w:gridCol w:w="1196"/>
        <w:gridCol w:w="1667"/>
        <w:gridCol w:w="3538"/>
        <w:gridCol w:w="4394"/>
        <w:gridCol w:w="2770"/>
      </w:tblGrid>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tblHeader/>
          <w:jc w:val="center"/>
        </w:trPr>
        <w:tc>
          <w:tcPr>
            <w:tcW w:w="5000" w:type="pct"/>
            <w:gridSpan w:val="6"/>
            <w:tcBorders>
              <w:top w:val="single" w:color="000000" w:themeColor="text1" w:sz="12" w:space="0"/>
              <w:left w:val="nil"/>
              <w:bottom w:val="single" w:color="000000" w:themeColor="text1" w:sz="2" w:space="0"/>
              <w:right w:val="nil"/>
            </w:tcBorders>
            <w:shd w:val="clear" w:color="auto" w:fill="auto"/>
            <w:vAlign w:val="center"/>
          </w:tcPr>
          <w:p>
            <w:pPr>
              <w:widowControl/>
              <w:snapToGrid w:val="0"/>
              <w:jc w:val="center"/>
              <w:textAlignment w:val="center"/>
              <w:rPr>
                <w:rFonts w:ascii="宋体" w:hAnsi="宋体" w:eastAsia="宋体" w:cs="宋体"/>
                <w:b/>
                <w:bCs/>
                <w:color w:val="000000" w:themeColor="dark1"/>
                <w:sz w:val="16"/>
                <w:szCs w:val="16"/>
                <w14:textFill>
                  <w14:solidFill>
                    <w14:schemeClr w14:val="dk1"/>
                  </w14:solidFill>
                </w14:textFill>
              </w:rPr>
            </w:pPr>
            <w:r>
              <w:rPr>
                <w:rFonts w:hint="eastAsia" w:ascii="宋体" w:hAnsi="宋体" w:eastAsia="宋体" w:cs="宋体"/>
                <w:b/>
                <w:bCs/>
                <w:color w:val="000000" w:themeColor="dark1"/>
                <w:kern w:val="0"/>
                <w:sz w:val="16"/>
                <w:szCs w:val="16"/>
                <w:lang w:bidi="ar"/>
                <w14:textFill>
                  <w14:solidFill>
                    <w14:schemeClr w14:val="dk1"/>
                  </w14:solidFill>
                </w14:textFill>
              </w:rPr>
              <w:t>洛阳市“十五五</w:t>
            </w:r>
            <w:r>
              <w:rPr>
                <w:rFonts w:ascii="宋体" w:hAnsi="宋体" w:eastAsia="宋体" w:cs="宋体"/>
                <w:b/>
                <w:bCs/>
                <w:color w:val="000000" w:themeColor="dark1"/>
                <w:kern w:val="0"/>
                <w:sz w:val="16"/>
                <w:szCs w:val="16"/>
                <w:lang w:bidi="ar"/>
                <w14:textFill>
                  <w14:solidFill>
                    <w14:schemeClr w14:val="dk1"/>
                  </w14:solidFill>
                </w14:textFill>
              </w:rPr>
              <w:t>”</w:t>
            </w:r>
            <w:r>
              <w:rPr>
                <w:rFonts w:hint="eastAsia" w:ascii="宋体" w:hAnsi="宋体" w:eastAsia="宋体" w:cs="宋体"/>
                <w:b/>
                <w:bCs/>
                <w:color w:val="000000" w:themeColor="dark1"/>
                <w:kern w:val="0"/>
                <w:sz w:val="16"/>
                <w:szCs w:val="16"/>
                <w:lang w:bidi="ar"/>
                <w14:textFill>
                  <w14:solidFill>
                    <w14:schemeClr w14:val="dk1"/>
                  </w14:solidFill>
                </w14:textFill>
              </w:rPr>
              <w:t>地质灾害防治规划主要指标对比表</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tblHeader/>
          <w:jc w:val="center"/>
        </w:trPr>
        <w:tc>
          <w:tcPr>
            <w:tcW w:w="215" w:type="pct"/>
            <w:tcBorders>
              <w:top w:val="single" w:color="000000" w:themeColor="text1" w:sz="2" w:space="0"/>
              <w:left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序号</w:t>
            </w:r>
          </w:p>
        </w:tc>
        <w:tc>
          <w:tcPr>
            <w:tcW w:w="422" w:type="pct"/>
            <w:tcBorders>
              <w:top w:val="single" w:color="000000" w:themeColor="text1" w:sz="2" w:space="0"/>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管控大类</w:t>
            </w:r>
          </w:p>
        </w:tc>
        <w:tc>
          <w:tcPr>
            <w:tcW w:w="588" w:type="pct"/>
            <w:tcBorders>
              <w:top w:val="single" w:color="000000" w:themeColor="text1" w:sz="2" w:space="0"/>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对比指标</w:t>
            </w:r>
          </w:p>
        </w:tc>
        <w:tc>
          <w:tcPr>
            <w:tcW w:w="1248" w:type="pct"/>
            <w:tcBorders>
              <w:top w:val="single" w:color="000000" w:themeColor="text1" w:sz="2" w:space="0"/>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“十四五”末现状（2025年基准）</w:t>
            </w:r>
          </w:p>
        </w:tc>
        <w:tc>
          <w:tcPr>
            <w:tcW w:w="1550" w:type="pct"/>
            <w:tcBorders>
              <w:top w:val="single" w:color="000000" w:themeColor="text1" w:sz="2" w:space="0"/>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“十五五”规划目标（2030年）</w:t>
            </w:r>
          </w:p>
        </w:tc>
        <w:tc>
          <w:tcPr>
            <w:tcW w:w="976" w:type="pct"/>
            <w:tcBorders>
              <w:top w:val="single" w:color="000000" w:themeColor="text1" w:sz="2" w:space="0"/>
              <w:right w:val="nil"/>
            </w:tcBorders>
            <w:shd w:val="clear" w:color="auto" w:fill="auto"/>
            <w:vAlign w:val="center"/>
          </w:tcPr>
          <w:p>
            <w:pPr>
              <w:widowControl/>
              <w:snapToGrid w:val="0"/>
              <w:jc w:val="center"/>
              <w:textAlignment w:val="center"/>
              <w:rPr>
                <w:rFonts w:ascii="宋体" w:hAnsi="宋体" w:eastAsia="宋体" w:cs="宋体"/>
                <w:bCs/>
                <w:color w:val="08090C"/>
                <w:sz w:val="16"/>
                <w:szCs w:val="16"/>
              </w:rPr>
            </w:pPr>
            <w:r>
              <w:rPr>
                <w:rFonts w:hint="eastAsia" w:ascii="Times New Roman" w:hAnsi="Times New Roman" w:eastAsia="宋体" w:cs="Times New Roman"/>
                <w:b/>
                <w:bCs/>
                <w:color w:val="08090C"/>
                <w:kern w:val="0"/>
                <w:sz w:val="16"/>
                <w:szCs w:val="16"/>
                <w:lang w:bidi="ar"/>
              </w:rPr>
              <w:t>提升幅度/变化</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调查评价</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高风险乡镇1:1万精细化调查</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仅完成局部乡镇调查，全域未全覆盖；全市52个高风险乡镇仅完成2个</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完成剩余50个高风险乡镇1:1万精细化调查，覆盖率100%</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新增50个乡镇全覆盖，投资3000万元</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2</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监测预警</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自动化监测站点数量</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存量监测点位29处，均已建成投运，无系统化高风险专项布设</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建成40处自动化监测站点（存量29处提质改造+省级项目储备库6处+市级新增5处）</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净增11处，系统覆盖率大幅提升，投资658万元</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3</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监测预警</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监测预警平台</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市级平台初步建成，功能待完善</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平台升级完善，40处站点数据全接入，7×24小时值班值守</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平台功能完善，数据全接入</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4</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工程治理</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隐患治理消减</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“十四五”累计消减隐患263处，连续五年零伤亡</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省级项目储备库2项（嵩县伊河流域、偃师山化镇）+伏牛山、黄土丘陵专项治理，投资8200万元</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治理投入加大，销号率≥80%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5</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避险搬迁</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受威胁群众搬迁</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“十四五”实施部分避险搬迁，未形成系统搬迁台账</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规划避险搬迁96户，覆盖7个区县，投资499.2万元</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新增96户系统搬迁，户均5.2万元</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6</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排危除险</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零星险情处置</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汛前动态排危，无固定资金保障</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五年累计处置约160处零星边坡险情，投资1600万元</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制度化保障，年均处置32处</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7</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避险配套</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标准化避险场地</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零散简易点位，无标准化配套设施，无应急物资储备</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新建改造60处标准化避险场地，配套应急厕所、物资仓库、照明设施</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从无到有，60处标准化覆盖高风险村，投资720万元</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8</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群测群防</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人员配置与经费</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全域333处隐患、917处风险斜坡全覆盖，但无省级项目储备库预算保障</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约1000名群测群防员，五年补助1250万元，含人身意外险、巡查装备</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经费省级项目储备库保障，队伍稳定</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9</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运维保障</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常态化运维经费</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无专项运维预算，设备运行率不稳定</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五年运维经费2600万元，年均520万元，含监测、群防、避险、科普四类</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从无到有，制度化保障，站点运行率≥95%</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10</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科普培训</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基层防灾培训</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培训覆盖率不足，无系统培训计划</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年度培训全覆盖，五年科普培训投入350万元</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覆盖率从不足提升至100%</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11</w:t>
            </w:r>
          </w:p>
        </w:tc>
        <w:tc>
          <w:tcPr>
            <w:tcW w:w="422"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资金投入</w:t>
            </w:r>
          </w:p>
        </w:tc>
        <w:tc>
          <w:tcPr>
            <w:tcW w:w="58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规划总投资</w:t>
            </w:r>
          </w:p>
        </w:tc>
        <w:tc>
          <w:tcPr>
            <w:tcW w:w="1248"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“十四五”累计投入地质灾害防治资金13913万元</w:t>
            </w:r>
          </w:p>
        </w:tc>
        <w:tc>
          <w:tcPr>
            <w:tcW w:w="1550" w:type="pct"/>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十五五规划总投资17277.2万元，其中一次性工程14677.2万、运维2600万</w:t>
            </w:r>
          </w:p>
        </w:tc>
        <w:tc>
          <w:tcPr>
            <w:tcW w:w="976" w:type="pct"/>
            <w:tcBorders>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控制在1.8亿以内，结构优化</w:t>
            </w:r>
          </w:p>
        </w:tc>
      </w:tr>
      <w:tr>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auto"/>
          <w:tblCellMar>
            <w:top w:w="0" w:type="dxa"/>
            <w:left w:w="108" w:type="dxa"/>
            <w:bottom w:w="0" w:type="dxa"/>
            <w:right w:w="108" w:type="dxa"/>
          </w:tblCellMar>
        </w:tblPrEx>
        <w:trPr>
          <w:trHeight w:val="397" w:hRule="atLeast"/>
          <w:jc w:val="center"/>
        </w:trPr>
        <w:tc>
          <w:tcPr>
            <w:tcW w:w="215" w:type="pct"/>
            <w:tcBorders>
              <w:left w:val="nil"/>
              <w:bottom w:val="single" w:color="000000" w:themeColor="text1" w:sz="12" w:space="0"/>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12</w:t>
            </w:r>
          </w:p>
        </w:tc>
        <w:tc>
          <w:tcPr>
            <w:tcW w:w="422" w:type="pct"/>
            <w:tcBorders>
              <w:bottom w:val="single" w:color="000000" w:themeColor="text1" w:sz="12" w:space="0"/>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防灾成效</w:t>
            </w:r>
          </w:p>
        </w:tc>
        <w:tc>
          <w:tcPr>
            <w:tcW w:w="588" w:type="pct"/>
            <w:tcBorders>
              <w:bottom w:val="single" w:color="000000" w:themeColor="text1" w:sz="12" w:space="0"/>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人员伤亡</w:t>
            </w:r>
          </w:p>
        </w:tc>
        <w:tc>
          <w:tcPr>
            <w:tcW w:w="1248" w:type="pct"/>
            <w:tcBorders>
              <w:bottom w:val="single" w:color="000000" w:themeColor="text1" w:sz="12" w:space="0"/>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连续五年零伤亡</w:t>
            </w:r>
          </w:p>
        </w:tc>
        <w:tc>
          <w:tcPr>
            <w:tcW w:w="1550" w:type="pct"/>
            <w:tcBorders>
              <w:bottom w:val="single" w:color="000000" w:themeColor="text1" w:sz="12" w:space="0"/>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坚决守住零伤亡底线</w:t>
            </w:r>
          </w:p>
        </w:tc>
        <w:tc>
          <w:tcPr>
            <w:tcW w:w="976" w:type="pct"/>
            <w:tcBorders>
              <w:bottom w:val="single" w:color="000000" w:themeColor="text1" w:sz="12" w:space="0"/>
              <w:right w:val="nil"/>
            </w:tcBorders>
            <w:shd w:val="clear" w:color="auto" w:fill="auto"/>
            <w:vAlign w:val="center"/>
          </w:tcPr>
          <w:p>
            <w:pPr>
              <w:widowControl/>
              <w:snapToGrid w:val="0"/>
              <w:jc w:val="center"/>
              <w:textAlignment w:val="center"/>
              <w:rPr>
                <w:rFonts w:ascii="宋体" w:hAnsi="宋体" w:eastAsia="宋体" w:cs="宋体"/>
                <w:color w:val="08090C"/>
                <w:sz w:val="16"/>
                <w:szCs w:val="16"/>
              </w:rPr>
            </w:pPr>
            <w:r>
              <w:rPr>
                <w:rFonts w:hint="eastAsia" w:ascii="宋体" w:hAnsi="宋体" w:eastAsia="宋体" w:cs="宋体"/>
                <w:color w:val="08090C"/>
                <w:kern w:val="0"/>
                <w:sz w:val="16"/>
                <w:szCs w:val="16"/>
                <w:lang w:bidi="ar"/>
              </w:rPr>
              <w:t>保持零伤亡</w:t>
            </w:r>
          </w:p>
        </w:tc>
      </w:tr>
    </w:tbl>
    <w:p>
      <w:pPr>
        <w:pStyle w:val="3"/>
        <w:ind w:firstLine="0" w:firstLineChars="0"/>
        <w:rPr>
          <w:rFonts w:ascii="宋体" w:hAnsi="宋体" w:cs="宋体"/>
        </w:rPr>
      </w:pPr>
    </w:p>
    <w:p>
      <w:pPr>
        <w:pStyle w:val="4"/>
        <w:sectPr>
          <w:footerReference r:id="rId6"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spacing w:line="360" w:lineRule="auto"/>
        <w:rPr>
          <w:rFonts w:ascii="宋体" w:hAnsi="宋体" w:eastAsia="宋体" w:cs="宋体"/>
          <w:sz w:val="24"/>
        </w:rPr>
      </w:pPr>
    </w:p>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MIkSXj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142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v6PlLAIAAFU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odcsCxv9YHmEjuJ5u9wHCJh0jaL0Spy1QrelypwnI7bzn/sU9fg3WP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142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eugv7LAIAAFUEAAAOAAAAZHJz&#10;L2Uyb0RvYy54bWytVM2O0zAQviPxDpbvNGkRu1X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odcsCxv9YHmEjuJ5u9wHCJh0jaL0Spy1QrelypwnI7bzn/sU9fg3WP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">
              <v:fill on="f" focussize="0,0"/>
              <v:stroke on="f" weight="0.5pt"/>
              <v:imagedata o:title=""/>
              <o:lock v:ext="edit" aspectratio="f"/>
              <v:textbox inset="0mm,0mm,0mm,0mm" style="mso-fit-shape-to-text:t;">
                <w:txbxContent>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202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202</w:t>
                    </w:r>
                    <w: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">
              <v:fill on="f" focussize="0,0"/>
              <v:stroke on="f" weight="0.5pt"/>
              <v:imagedata o:title=""/>
              <o:lock v:ext="edit" aspectratio="f"/>
              <v:textbox inset="0mm,0mm,0mm,0mm" style="mso-fit-shape-to-text:t;">
                <w:txbxContent>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2"/>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x5e1zj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22"/>
                    </w:pPr>
                    <w:r>
                      <w:fldChar w:fldCharType="begin"/>
                    </w:r>
                    <w:r>
                      <w:instrText xml:space="preserve"> PAGE  \* MERGEFORMAT </w:instrText>
                    </w:r>
                    <w:r>
                      <w:fldChar w:fldCharType="separate"/>
                    </w:r>
                    <w:r>
                      <w:t>90</w:t>
                    </w:r>
                    <w: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">
              <v:fill on="f" focussize="0,0"/>
              <v:stroke on="f" weight="0.5pt"/>
              <v:imagedata o:title=""/>
              <o:lock v:ext="edit" aspectratio="f"/>
              <v:textbox inset="0mm,0mm,0mm,0mm" style="mso-fit-shape-to-text:t;">
                <w:txbxContent>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B4D0F"/>
    <w:multiLevelType w:val="singleLevel"/>
    <w:tmpl w:val="82EB4D0F"/>
    <w:lvl w:ilvl="0" w:tentative="0">
      <w:start w:val="1"/>
      <w:numFmt w:val="chineseCounting"/>
      <w:suff w:val="nothing"/>
      <w:lvlText w:val="（%1）"/>
      <w:lvlJc w:val="left"/>
      <w:pPr>
        <w:ind w:left="0" w:firstLine="0"/>
      </w:pPr>
      <w:rPr>
        <w:rFonts w:hint="eastAsia"/>
      </w:rPr>
    </w:lvl>
  </w:abstractNum>
  <w:abstractNum w:abstractNumId="1">
    <w:nsid w:val="85C47C41"/>
    <w:multiLevelType w:val="singleLevel"/>
    <w:tmpl w:val="85C47C41"/>
    <w:lvl w:ilvl="0" w:tentative="0">
      <w:start w:val="1"/>
      <w:numFmt w:val="decimal"/>
      <w:suff w:val="space"/>
      <w:lvlText w:val="%1."/>
      <w:lvlJc w:val="left"/>
      <w:pPr>
        <w:ind w:left="0" w:firstLine="0"/>
      </w:pPr>
      <w:rPr>
        <w:rFonts w:hint="default"/>
      </w:rPr>
    </w:lvl>
  </w:abstractNum>
  <w:abstractNum w:abstractNumId="2">
    <w:nsid w:val="BBA3EBF2"/>
    <w:multiLevelType w:val="singleLevel"/>
    <w:tmpl w:val="BBA3EBF2"/>
    <w:lvl w:ilvl="0" w:tentative="0">
      <w:start w:val="1"/>
      <w:numFmt w:val="decimal"/>
      <w:suff w:val="nothing"/>
      <w:lvlText w:val="（%1）"/>
      <w:lvlJc w:val="left"/>
      <w:pPr>
        <w:ind w:left="0" w:firstLine="480"/>
      </w:pPr>
      <w:rPr>
        <w:rFonts w:hint="default"/>
      </w:rPr>
    </w:lvl>
  </w:abstractNum>
  <w:abstractNum w:abstractNumId="3">
    <w:nsid w:val="BC475DEC"/>
    <w:multiLevelType w:val="singleLevel"/>
    <w:tmpl w:val="BC475DEC"/>
    <w:lvl w:ilvl="0" w:tentative="0">
      <w:start w:val="1"/>
      <w:numFmt w:val="decimal"/>
      <w:suff w:val="space"/>
      <w:lvlText w:val="%1."/>
      <w:lvlJc w:val="left"/>
      <w:pPr>
        <w:ind w:left="0" w:firstLine="0"/>
      </w:pPr>
      <w:rPr>
        <w:rFonts w:hint="default"/>
      </w:rPr>
    </w:lvl>
  </w:abstractNum>
  <w:abstractNum w:abstractNumId="4">
    <w:nsid w:val="BDA0E7A0"/>
    <w:multiLevelType w:val="singleLevel"/>
    <w:tmpl w:val="BDA0E7A0"/>
    <w:lvl w:ilvl="0" w:tentative="0">
      <w:start w:val="1"/>
      <w:numFmt w:val="decimal"/>
      <w:suff w:val="space"/>
      <w:lvlText w:val="%1."/>
      <w:lvlJc w:val="left"/>
      <w:pPr>
        <w:ind w:left="0" w:firstLine="0"/>
      </w:pPr>
      <w:rPr>
        <w:rFonts w:hint="default"/>
      </w:rPr>
    </w:lvl>
  </w:abstractNum>
  <w:abstractNum w:abstractNumId="5">
    <w:nsid w:val="C8DE7A54"/>
    <w:multiLevelType w:val="singleLevel"/>
    <w:tmpl w:val="C8DE7A54"/>
    <w:lvl w:ilvl="0" w:tentative="0">
      <w:start w:val="1"/>
      <w:numFmt w:val="decimal"/>
      <w:suff w:val="nothing"/>
      <w:lvlText w:val="（%1）"/>
      <w:lvlJc w:val="left"/>
      <w:pPr>
        <w:ind w:left="0" w:firstLine="0"/>
      </w:pPr>
      <w:rPr>
        <w:rFonts w:hint="default"/>
      </w:rPr>
    </w:lvl>
  </w:abstractNum>
  <w:abstractNum w:abstractNumId="6">
    <w:nsid w:val="E42C333B"/>
    <w:multiLevelType w:val="singleLevel"/>
    <w:tmpl w:val="E42C333B"/>
    <w:lvl w:ilvl="0" w:tentative="0">
      <w:start w:val="1"/>
      <w:numFmt w:val="decimal"/>
      <w:suff w:val="space"/>
      <w:lvlText w:val="%1."/>
      <w:lvlJc w:val="left"/>
      <w:pPr>
        <w:ind w:left="0" w:firstLine="0"/>
      </w:pPr>
      <w:rPr>
        <w:rFonts w:hint="default"/>
      </w:rPr>
    </w:lvl>
  </w:abstractNum>
  <w:abstractNum w:abstractNumId="7">
    <w:nsid w:val="F6653367"/>
    <w:multiLevelType w:val="singleLevel"/>
    <w:tmpl w:val="F6653367"/>
    <w:lvl w:ilvl="0" w:tentative="0">
      <w:start w:val="1"/>
      <w:numFmt w:val="decimal"/>
      <w:suff w:val="space"/>
      <w:lvlText w:val="%1."/>
      <w:lvlJc w:val="left"/>
      <w:pPr>
        <w:ind w:left="0" w:firstLine="0"/>
      </w:pPr>
      <w:rPr>
        <w:rFonts w:hint="default"/>
      </w:rPr>
    </w:lvl>
  </w:abstractNum>
  <w:abstractNum w:abstractNumId="8">
    <w:nsid w:val="00E15F30"/>
    <w:multiLevelType w:val="singleLevel"/>
    <w:tmpl w:val="00E15F30"/>
    <w:lvl w:ilvl="0" w:tentative="0">
      <w:start w:val="1"/>
      <w:numFmt w:val="chineseCounting"/>
      <w:suff w:val="nothing"/>
      <w:lvlText w:val="（%1）"/>
      <w:lvlJc w:val="left"/>
      <w:pPr>
        <w:ind w:left="0" w:firstLine="0"/>
      </w:pPr>
      <w:rPr>
        <w:rFonts w:hint="eastAsia"/>
      </w:rPr>
    </w:lvl>
  </w:abstractNum>
  <w:abstractNum w:abstractNumId="9">
    <w:nsid w:val="096437E0"/>
    <w:multiLevelType w:val="singleLevel"/>
    <w:tmpl w:val="096437E0"/>
    <w:lvl w:ilvl="0" w:tentative="0">
      <w:start w:val="1"/>
      <w:numFmt w:val="chineseCounting"/>
      <w:suff w:val="nothing"/>
      <w:lvlText w:val="（%1）"/>
      <w:lvlJc w:val="left"/>
      <w:pPr>
        <w:ind w:left="0" w:firstLine="0"/>
      </w:pPr>
      <w:rPr>
        <w:rFonts w:hint="eastAsia"/>
      </w:rPr>
    </w:lvl>
  </w:abstractNum>
  <w:abstractNum w:abstractNumId="10">
    <w:nsid w:val="0F7E4524"/>
    <w:multiLevelType w:val="singleLevel"/>
    <w:tmpl w:val="0F7E4524"/>
    <w:lvl w:ilvl="0" w:tentative="0">
      <w:start w:val="1"/>
      <w:numFmt w:val="decimal"/>
      <w:suff w:val="space"/>
      <w:lvlText w:val="%1."/>
      <w:lvlJc w:val="left"/>
      <w:pPr>
        <w:ind w:left="0" w:firstLine="0"/>
      </w:pPr>
      <w:rPr>
        <w:rFonts w:hint="default"/>
      </w:rPr>
    </w:lvl>
  </w:abstractNum>
  <w:abstractNum w:abstractNumId="11">
    <w:nsid w:val="203230E6"/>
    <w:multiLevelType w:val="singleLevel"/>
    <w:tmpl w:val="203230E6"/>
    <w:lvl w:ilvl="0" w:tentative="0">
      <w:start w:val="1"/>
      <w:numFmt w:val="decimal"/>
      <w:suff w:val="space"/>
      <w:lvlText w:val="%1."/>
      <w:lvlJc w:val="left"/>
      <w:pPr>
        <w:ind w:left="0" w:firstLine="0"/>
      </w:pPr>
      <w:rPr>
        <w:rFonts w:hint="default"/>
      </w:rPr>
    </w:lvl>
  </w:abstractNum>
  <w:abstractNum w:abstractNumId="12">
    <w:nsid w:val="301ED2AC"/>
    <w:multiLevelType w:val="singleLevel"/>
    <w:tmpl w:val="301ED2AC"/>
    <w:lvl w:ilvl="0" w:tentative="0">
      <w:start w:val="1"/>
      <w:numFmt w:val="chineseCounting"/>
      <w:suff w:val="nothing"/>
      <w:lvlText w:val="（%1）"/>
      <w:lvlJc w:val="left"/>
      <w:pPr>
        <w:ind w:left="0" w:firstLine="0"/>
      </w:pPr>
      <w:rPr>
        <w:rFonts w:hint="eastAsia"/>
      </w:rPr>
    </w:lvl>
  </w:abstractNum>
  <w:abstractNum w:abstractNumId="13">
    <w:nsid w:val="305C6566"/>
    <w:multiLevelType w:val="singleLevel"/>
    <w:tmpl w:val="305C6566"/>
    <w:lvl w:ilvl="0" w:tentative="0">
      <w:start w:val="1"/>
      <w:numFmt w:val="decimal"/>
      <w:suff w:val="space"/>
      <w:lvlText w:val="%1."/>
      <w:lvlJc w:val="left"/>
      <w:pPr>
        <w:ind w:left="0" w:firstLine="0"/>
      </w:pPr>
      <w:rPr>
        <w:rFonts w:hint="default"/>
      </w:rPr>
    </w:lvl>
  </w:abstractNum>
  <w:abstractNum w:abstractNumId="14">
    <w:nsid w:val="344DFB41"/>
    <w:multiLevelType w:val="singleLevel"/>
    <w:tmpl w:val="344DFB41"/>
    <w:lvl w:ilvl="0" w:tentative="0">
      <w:start w:val="1"/>
      <w:numFmt w:val="decimal"/>
      <w:suff w:val="space"/>
      <w:lvlText w:val="%1."/>
      <w:lvlJc w:val="left"/>
      <w:pPr>
        <w:ind w:left="0" w:firstLine="0"/>
      </w:pPr>
      <w:rPr>
        <w:rFonts w:hint="default"/>
      </w:rPr>
    </w:lvl>
  </w:abstractNum>
  <w:abstractNum w:abstractNumId="15">
    <w:nsid w:val="4099AA15"/>
    <w:multiLevelType w:val="singleLevel"/>
    <w:tmpl w:val="4099AA15"/>
    <w:lvl w:ilvl="0" w:tentative="0">
      <w:start w:val="1"/>
      <w:numFmt w:val="decimal"/>
      <w:suff w:val="space"/>
      <w:lvlText w:val="%1."/>
      <w:lvlJc w:val="left"/>
      <w:pPr>
        <w:ind w:left="0" w:firstLine="0"/>
      </w:pPr>
      <w:rPr>
        <w:rFonts w:hint="default"/>
      </w:rPr>
    </w:lvl>
  </w:abstractNum>
  <w:abstractNum w:abstractNumId="16">
    <w:nsid w:val="52C6AD5C"/>
    <w:multiLevelType w:val="singleLevel"/>
    <w:tmpl w:val="52C6AD5C"/>
    <w:lvl w:ilvl="0" w:tentative="0">
      <w:start w:val="1"/>
      <w:numFmt w:val="decimal"/>
      <w:suff w:val="space"/>
      <w:lvlText w:val="%1."/>
      <w:lvlJc w:val="left"/>
      <w:pPr>
        <w:ind w:left="0" w:firstLine="0"/>
      </w:pPr>
      <w:rPr>
        <w:rFonts w:hint="default"/>
      </w:rPr>
    </w:lvl>
  </w:abstractNum>
  <w:abstractNum w:abstractNumId="17">
    <w:nsid w:val="57E39388"/>
    <w:multiLevelType w:val="singleLevel"/>
    <w:tmpl w:val="57E39388"/>
    <w:lvl w:ilvl="0" w:tentative="0">
      <w:start w:val="1"/>
      <w:numFmt w:val="chineseCounting"/>
      <w:suff w:val="nothing"/>
      <w:lvlText w:val="（%1）"/>
      <w:lvlJc w:val="left"/>
      <w:pPr>
        <w:ind w:left="0" w:firstLine="0"/>
      </w:pPr>
      <w:rPr>
        <w:rFonts w:hint="eastAsia"/>
      </w:rPr>
    </w:lvl>
  </w:abstractNum>
  <w:abstractNum w:abstractNumId="18">
    <w:nsid w:val="626E4A00"/>
    <w:multiLevelType w:val="singleLevel"/>
    <w:tmpl w:val="626E4A00"/>
    <w:lvl w:ilvl="0" w:tentative="0">
      <w:start w:val="1"/>
      <w:numFmt w:val="chineseCounting"/>
      <w:suff w:val="nothing"/>
      <w:lvlText w:val="（%1）"/>
      <w:lvlJc w:val="left"/>
      <w:pPr>
        <w:ind w:left="0" w:firstLine="0"/>
      </w:pPr>
      <w:rPr>
        <w:rFonts w:hint="eastAsia"/>
      </w:rPr>
    </w:lvl>
  </w:abstractNum>
  <w:abstractNum w:abstractNumId="19">
    <w:nsid w:val="6CB13685"/>
    <w:multiLevelType w:val="singleLevel"/>
    <w:tmpl w:val="6CB13685"/>
    <w:lvl w:ilvl="0" w:tentative="0">
      <w:start w:val="1"/>
      <w:numFmt w:val="decimal"/>
      <w:suff w:val="space"/>
      <w:lvlText w:val="%1."/>
      <w:lvlJc w:val="left"/>
      <w:pPr>
        <w:ind w:left="0" w:firstLine="0"/>
      </w:pPr>
      <w:rPr>
        <w:rFonts w:hint="default"/>
      </w:rPr>
    </w:lvl>
  </w:abstractNum>
  <w:abstractNum w:abstractNumId="20">
    <w:nsid w:val="786CEA55"/>
    <w:multiLevelType w:val="singleLevel"/>
    <w:tmpl w:val="786CEA55"/>
    <w:lvl w:ilvl="0" w:tentative="0">
      <w:start w:val="1"/>
      <w:numFmt w:val="decimal"/>
      <w:suff w:val="space"/>
      <w:lvlText w:val="%1."/>
      <w:lvlJc w:val="left"/>
      <w:pPr>
        <w:ind w:left="0" w:firstLine="0"/>
      </w:pPr>
      <w:rPr>
        <w:rFonts w:hint="default"/>
      </w:rPr>
    </w:lvl>
  </w:abstractNum>
  <w:num w:numId="1">
    <w:abstractNumId w:val="8"/>
  </w:num>
  <w:num w:numId="2">
    <w:abstractNumId w:val="17"/>
  </w:num>
  <w:num w:numId="3">
    <w:abstractNumId w:val="14"/>
  </w:num>
  <w:num w:numId="4">
    <w:abstractNumId w:val="5"/>
  </w:num>
  <w:num w:numId="5">
    <w:abstractNumId w:val="2"/>
  </w:num>
  <w:num w:numId="6">
    <w:abstractNumId w:val="19"/>
  </w:num>
  <w:num w:numId="7">
    <w:abstractNumId w:val="18"/>
  </w:num>
  <w:num w:numId="8">
    <w:abstractNumId w:val="11"/>
  </w:num>
  <w:num w:numId="9">
    <w:abstractNumId w:val="12"/>
  </w:num>
  <w:num w:numId="10">
    <w:abstractNumId w:val="15"/>
  </w:num>
  <w:num w:numId="11">
    <w:abstractNumId w:val="16"/>
  </w:num>
  <w:num w:numId="12">
    <w:abstractNumId w:val="7"/>
  </w:num>
  <w:num w:numId="13">
    <w:abstractNumId w:val="20"/>
  </w:num>
  <w:num w:numId="14">
    <w:abstractNumId w:val="0"/>
  </w:num>
  <w:num w:numId="15">
    <w:abstractNumId w:val="6"/>
  </w:num>
  <w:num w:numId="16">
    <w:abstractNumId w:val="10"/>
  </w:num>
  <w:num w:numId="17">
    <w:abstractNumId w:val="3"/>
  </w:num>
  <w:num w:numId="18">
    <w:abstractNumId w:val="1"/>
  </w:num>
  <w:num w:numId="19">
    <w:abstractNumId w:val="13"/>
  </w:num>
  <w:num w:numId="20">
    <w:abstractNumId w:val="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C5047F"/>
    <w:rsid w:val="000342BB"/>
    <w:rsid w:val="001474EF"/>
    <w:rsid w:val="001548C0"/>
    <w:rsid w:val="00154CE7"/>
    <w:rsid w:val="00183FAC"/>
    <w:rsid w:val="00194D71"/>
    <w:rsid w:val="00203D48"/>
    <w:rsid w:val="00262BD4"/>
    <w:rsid w:val="002F68EE"/>
    <w:rsid w:val="00357FCB"/>
    <w:rsid w:val="00374B7D"/>
    <w:rsid w:val="003E4996"/>
    <w:rsid w:val="00407A49"/>
    <w:rsid w:val="00530A0E"/>
    <w:rsid w:val="00571328"/>
    <w:rsid w:val="005917A1"/>
    <w:rsid w:val="0065025D"/>
    <w:rsid w:val="00717565"/>
    <w:rsid w:val="00723E86"/>
    <w:rsid w:val="007E309F"/>
    <w:rsid w:val="0080286E"/>
    <w:rsid w:val="008301CB"/>
    <w:rsid w:val="00A61F31"/>
    <w:rsid w:val="00A7630B"/>
    <w:rsid w:val="00A803E6"/>
    <w:rsid w:val="00B07165"/>
    <w:rsid w:val="00BC1034"/>
    <w:rsid w:val="00C14A5B"/>
    <w:rsid w:val="00C75F85"/>
    <w:rsid w:val="00D104AD"/>
    <w:rsid w:val="00D34E61"/>
    <w:rsid w:val="00D81E92"/>
    <w:rsid w:val="00EC1597"/>
    <w:rsid w:val="00FC20C4"/>
    <w:rsid w:val="00FF6358"/>
    <w:rsid w:val="01154EDD"/>
    <w:rsid w:val="011C626C"/>
    <w:rsid w:val="016320EC"/>
    <w:rsid w:val="016F45ED"/>
    <w:rsid w:val="02094A42"/>
    <w:rsid w:val="035E0DBD"/>
    <w:rsid w:val="040B1BFA"/>
    <w:rsid w:val="043F474B"/>
    <w:rsid w:val="05C313AC"/>
    <w:rsid w:val="06110369"/>
    <w:rsid w:val="06CC4290"/>
    <w:rsid w:val="078D3A1F"/>
    <w:rsid w:val="07E13D6B"/>
    <w:rsid w:val="07E51502"/>
    <w:rsid w:val="086A3D60"/>
    <w:rsid w:val="08F57ACE"/>
    <w:rsid w:val="097F383C"/>
    <w:rsid w:val="09D73678"/>
    <w:rsid w:val="0A7669ED"/>
    <w:rsid w:val="0A8C7FBE"/>
    <w:rsid w:val="0B057D70"/>
    <w:rsid w:val="0BE65DF4"/>
    <w:rsid w:val="0D5818F4"/>
    <w:rsid w:val="0F900551"/>
    <w:rsid w:val="112F14E3"/>
    <w:rsid w:val="13E31802"/>
    <w:rsid w:val="16FF1FB5"/>
    <w:rsid w:val="177E3384"/>
    <w:rsid w:val="19C5047F"/>
    <w:rsid w:val="1A5B79AD"/>
    <w:rsid w:val="1A807414"/>
    <w:rsid w:val="1B304996"/>
    <w:rsid w:val="1BCD6688"/>
    <w:rsid w:val="1C8E7BC6"/>
    <w:rsid w:val="1D4D4538"/>
    <w:rsid w:val="1F0423C1"/>
    <w:rsid w:val="24374FE7"/>
    <w:rsid w:val="24521E21"/>
    <w:rsid w:val="25781413"/>
    <w:rsid w:val="263B2E25"/>
    <w:rsid w:val="270513CC"/>
    <w:rsid w:val="27EC7E96"/>
    <w:rsid w:val="28137B19"/>
    <w:rsid w:val="288B76AF"/>
    <w:rsid w:val="29437F8A"/>
    <w:rsid w:val="29FB2613"/>
    <w:rsid w:val="2C752B50"/>
    <w:rsid w:val="2DC84F02"/>
    <w:rsid w:val="2EDFD7A0"/>
    <w:rsid w:val="30445C8A"/>
    <w:rsid w:val="307D0225"/>
    <w:rsid w:val="315076E8"/>
    <w:rsid w:val="31921AAF"/>
    <w:rsid w:val="32F12805"/>
    <w:rsid w:val="33A06705"/>
    <w:rsid w:val="34572B3B"/>
    <w:rsid w:val="34AA5361"/>
    <w:rsid w:val="35531555"/>
    <w:rsid w:val="357F799A"/>
    <w:rsid w:val="35BC6C18"/>
    <w:rsid w:val="365C2D3F"/>
    <w:rsid w:val="37D3697D"/>
    <w:rsid w:val="38B642D4"/>
    <w:rsid w:val="398249FD"/>
    <w:rsid w:val="39902D77"/>
    <w:rsid w:val="3B604FE1"/>
    <w:rsid w:val="3D516CC2"/>
    <w:rsid w:val="3FC41290"/>
    <w:rsid w:val="3FD57736"/>
    <w:rsid w:val="3FDA9A9A"/>
    <w:rsid w:val="40387CC5"/>
    <w:rsid w:val="40493C80"/>
    <w:rsid w:val="45DD5596"/>
    <w:rsid w:val="46F30DEA"/>
    <w:rsid w:val="47136D96"/>
    <w:rsid w:val="474F4272"/>
    <w:rsid w:val="4C630C61"/>
    <w:rsid w:val="4C6D0CF6"/>
    <w:rsid w:val="4D3705F0"/>
    <w:rsid w:val="4D587BF8"/>
    <w:rsid w:val="4DEF230B"/>
    <w:rsid w:val="4FBA24A4"/>
    <w:rsid w:val="515C5909"/>
    <w:rsid w:val="52F4163C"/>
    <w:rsid w:val="54DC4C6B"/>
    <w:rsid w:val="5543118E"/>
    <w:rsid w:val="567A473C"/>
    <w:rsid w:val="57E502DB"/>
    <w:rsid w:val="5A0031AA"/>
    <w:rsid w:val="5B0A1B5E"/>
    <w:rsid w:val="5B671C0F"/>
    <w:rsid w:val="5CBA3AE4"/>
    <w:rsid w:val="5DD56856"/>
    <w:rsid w:val="5DD5CB1B"/>
    <w:rsid w:val="5ED03A93"/>
    <w:rsid w:val="5F7268F8"/>
    <w:rsid w:val="5F9525E6"/>
    <w:rsid w:val="5FC1162D"/>
    <w:rsid w:val="5FD21144"/>
    <w:rsid w:val="5FFF74AE"/>
    <w:rsid w:val="632C3261"/>
    <w:rsid w:val="637C7D45"/>
    <w:rsid w:val="63FB26DC"/>
    <w:rsid w:val="63FF1B0E"/>
    <w:rsid w:val="66C0263F"/>
    <w:rsid w:val="68091DC3"/>
    <w:rsid w:val="685A617B"/>
    <w:rsid w:val="69166546"/>
    <w:rsid w:val="6C871509"/>
    <w:rsid w:val="6CFE5C6F"/>
    <w:rsid w:val="6DCF67B5"/>
    <w:rsid w:val="6DD4077E"/>
    <w:rsid w:val="6E1703AC"/>
    <w:rsid w:val="6FFF7529"/>
    <w:rsid w:val="707A1AB0"/>
    <w:rsid w:val="721B4BCD"/>
    <w:rsid w:val="72546472"/>
    <w:rsid w:val="72561AB9"/>
    <w:rsid w:val="747B5DF7"/>
    <w:rsid w:val="78EA70A7"/>
    <w:rsid w:val="79A47B9E"/>
    <w:rsid w:val="7BFC5A6F"/>
    <w:rsid w:val="7DE14F1A"/>
    <w:rsid w:val="7DE3EB4D"/>
    <w:rsid w:val="7E3239CA"/>
    <w:rsid w:val="7F87392E"/>
    <w:rsid w:val="7F985AAF"/>
    <w:rsid w:val="7FDF319C"/>
    <w:rsid w:val="7FF54CAF"/>
    <w:rsid w:val="9B339445"/>
    <w:rsid w:val="9F7FEC2B"/>
    <w:rsid w:val="B667EDFC"/>
    <w:rsid w:val="BF7AFA58"/>
    <w:rsid w:val="F77FDB6A"/>
    <w:rsid w:val="FF9FEA9A"/>
    <w:rsid w:val="FFAFD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7">
    <w:name w:val="heading 1"/>
    <w:next w:val="1"/>
    <w:link w:val="39"/>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val="en-US" w:eastAsia="zh-CN" w:bidi="ar-SA"/>
    </w:rPr>
  </w:style>
  <w:style w:type="paragraph" w:styleId="8">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val="en-US" w:eastAsia="zh-CN" w:bidi="ar-SA"/>
    </w:rPr>
  </w:style>
  <w:style w:type="paragraph" w:styleId="9">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val="en-US" w:eastAsia="zh-CN" w:bidi="ar-SA"/>
    </w:rPr>
  </w:style>
  <w:style w:type="paragraph" w:styleId="10">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val="en-US" w:eastAsia="zh-CN" w:bidi="ar-SA"/>
    </w:rPr>
  </w:style>
  <w:style w:type="paragraph" w:styleId="11">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val="en-US" w:eastAsia="zh-CN" w:bidi="ar-SA"/>
    </w:rPr>
  </w:style>
  <w:style w:type="paragraph" w:styleId="12">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val="en-US" w:eastAsia="zh-CN" w:bidi="ar-SA"/>
    </w:rPr>
  </w:style>
  <w:style w:type="paragraph" w:styleId="13">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val="en-US" w:eastAsia="zh-CN" w:bidi="ar-SA"/>
    </w:rPr>
  </w:style>
  <w:style w:type="paragraph" w:styleId="14">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val="en-US" w:eastAsia="zh-CN" w:bidi="ar-SA"/>
    </w:rPr>
  </w:style>
  <w:style w:type="paragraph" w:styleId="15">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val="en-US" w:eastAsia="zh-CN" w:bidi="ar-SA"/>
    </w:rPr>
  </w:style>
  <w:style w:type="character" w:default="1" w:styleId="34">
    <w:name w:val="Default Paragraph Font"/>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next w:val="1"/>
    <w:qFormat/>
    <w:uiPriority w:val="0"/>
    <w:pPr>
      <w:widowControl w:val="0"/>
      <w:adjustRightInd w:val="0"/>
      <w:spacing w:before="100" w:after="100" w:line="300" w:lineRule="auto"/>
      <w:ind w:firstLine="1044" w:firstLineChars="200"/>
      <w:jc w:val="both"/>
    </w:pPr>
    <w:rPr>
      <w:rFonts w:ascii="Times New Roman" w:hAnsi="Times New Roman" w:eastAsia="宋体" w:cs="Times New Roman"/>
      <w:kern w:val="2"/>
      <w:sz w:val="24"/>
      <w:szCs w:val="24"/>
      <w:lang w:val="en-US" w:eastAsia="zh-CN" w:bidi="ar-SA"/>
    </w:rPr>
  </w:style>
  <w:style w:type="paragraph" w:styleId="4">
    <w:name w:val="Body Text First Indent 2"/>
    <w:basedOn w:val="5"/>
    <w:next w:val="1"/>
    <w:qFormat/>
    <w:uiPriority w:val="99"/>
    <w:pPr>
      <w:ind w:firstLine="420" w:firstLineChars="200"/>
    </w:pPr>
  </w:style>
  <w:style w:type="paragraph" w:styleId="5">
    <w:name w:val="Body Text Indent"/>
    <w:basedOn w:val="1"/>
    <w:next w:val="6"/>
    <w:qFormat/>
    <w:uiPriority w:val="99"/>
    <w:pPr>
      <w:spacing w:after="120"/>
      <w:ind w:left="420" w:leftChars="200"/>
    </w:pPr>
  </w:style>
  <w:style w:type="paragraph" w:styleId="6">
    <w:name w:val="Normal Indent"/>
    <w:basedOn w:val="1"/>
    <w:next w:val="1"/>
    <w:qFormat/>
    <w:uiPriority w:val="0"/>
    <w:pPr>
      <w:ind w:firstLine="420" w:firstLineChars="200"/>
    </w:pPr>
    <w:rPr>
      <w:rFonts w:ascii="Calibri" w:hAnsi="Calibri" w:cs="Times New Roman"/>
    </w:rPr>
  </w:style>
  <w:style w:type="paragraph" w:styleId="16">
    <w:name w:val="toc 7"/>
    <w:basedOn w:val="1"/>
    <w:next w:val="1"/>
    <w:unhideWhenUsed/>
    <w:qFormat/>
    <w:uiPriority w:val="39"/>
    <w:pPr>
      <w:spacing w:after="160" w:line="278" w:lineRule="auto"/>
      <w:ind w:left="2520" w:leftChars="1200"/>
      <w:jc w:val="left"/>
    </w:pPr>
    <w:rPr>
      <w:sz w:val="22"/>
      <w14:ligatures w14:val="standardContextual"/>
    </w:rPr>
  </w:style>
  <w:style w:type="paragraph" w:styleId="17">
    <w:name w:val="annotation text"/>
    <w:basedOn w:val="1"/>
    <w:qFormat/>
    <w:uiPriority w:val="0"/>
    <w:pPr>
      <w:jc w:val="left"/>
    </w:pPr>
  </w:style>
  <w:style w:type="paragraph" w:styleId="18">
    <w:name w:val="toc 5"/>
    <w:basedOn w:val="1"/>
    <w:next w:val="1"/>
    <w:unhideWhenUsed/>
    <w:qFormat/>
    <w:uiPriority w:val="39"/>
    <w:pPr>
      <w:spacing w:after="160" w:line="278" w:lineRule="auto"/>
      <w:ind w:left="1680" w:leftChars="800"/>
      <w:jc w:val="left"/>
    </w:pPr>
    <w:rPr>
      <w:sz w:val="22"/>
      <w14:ligatures w14:val="standardContextual"/>
    </w:rPr>
  </w:style>
  <w:style w:type="paragraph" w:styleId="19">
    <w:name w:val="toc 3"/>
    <w:basedOn w:val="1"/>
    <w:next w:val="1"/>
    <w:qFormat/>
    <w:uiPriority w:val="39"/>
    <w:pPr>
      <w:spacing w:line="360" w:lineRule="auto"/>
      <w:ind w:left="840" w:leftChars="400"/>
    </w:pPr>
    <w:rPr>
      <w:rFonts w:ascii="宋体" w:hAnsi="宋体" w:eastAsia="黑体" w:cs="宋体"/>
      <w:sz w:val="24"/>
    </w:rPr>
  </w:style>
  <w:style w:type="paragraph" w:styleId="20">
    <w:name w:val="toc 8"/>
    <w:basedOn w:val="1"/>
    <w:next w:val="1"/>
    <w:unhideWhenUsed/>
    <w:qFormat/>
    <w:uiPriority w:val="39"/>
    <w:pPr>
      <w:spacing w:after="160" w:line="278" w:lineRule="auto"/>
      <w:ind w:left="2940" w:leftChars="1400"/>
      <w:jc w:val="left"/>
    </w:pPr>
    <w:rPr>
      <w:sz w:val="22"/>
      <w14:ligatures w14:val="standardContextual"/>
    </w:rPr>
  </w:style>
  <w:style w:type="paragraph" w:styleId="21">
    <w:name w:val="Balloon Text"/>
    <w:basedOn w:val="1"/>
    <w:link w:val="48"/>
    <w:qFormat/>
    <w:uiPriority w:val="0"/>
    <w:rPr>
      <w:sz w:val="18"/>
      <w:szCs w:val="18"/>
    </w:rPr>
  </w:style>
  <w:style w:type="paragraph" w:styleId="22">
    <w:name w:val="footer"/>
    <w:basedOn w:val="1"/>
    <w:qFormat/>
    <w:uiPriority w:val="0"/>
    <w:pPr>
      <w:tabs>
        <w:tab w:val="center" w:pos="4153"/>
        <w:tab w:val="right" w:pos="8306"/>
      </w:tabs>
      <w:snapToGrid w:val="0"/>
      <w:jc w:val="left"/>
    </w:pPr>
    <w:rPr>
      <w:sz w:val="18"/>
    </w:rPr>
  </w:style>
  <w:style w:type="paragraph" w:styleId="2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4">
    <w:name w:val="toc 1"/>
    <w:basedOn w:val="1"/>
    <w:next w:val="1"/>
    <w:qFormat/>
    <w:uiPriority w:val="39"/>
    <w:pPr>
      <w:spacing w:line="360" w:lineRule="auto"/>
    </w:pPr>
    <w:rPr>
      <w:rFonts w:hint="eastAsia" w:ascii="宋体" w:hAnsi="宋体" w:eastAsia="黑体" w:cs="宋体"/>
      <w:sz w:val="24"/>
      <w:szCs w:val="44"/>
    </w:rPr>
  </w:style>
  <w:style w:type="paragraph" w:styleId="25">
    <w:name w:val="toc 4"/>
    <w:basedOn w:val="1"/>
    <w:next w:val="1"/>
    <w:qFormat/>
    <w:uiPriority w:val="39"/>
    <w:pPr>
      <w:ind w:left="1260" w:leftChars="600"/>
    </w:pPr>
  </w:style>
  <w:style w:type="paragraph" w:styleId="26">
    <w:name w:val="Subtitle"/>
    <w:qFormat/>
    <w:uiPriority w:val="0"/>
    <w:pPr>
      <w:widowControl w:val="0"/>
      <w:adjustRightInd w:val="0"/>
      <w:spacing w:before="100" w:after="100"/>
      <w:jc w:val="center"/>
    </w:pPr>
    <w:rPr>
      <w:rFonts w:ascii="Times New Roman" w:hAnsi="Times New Roman" w:eastAsia="黑体" w:cs="Times New Roman"/>
      <w:kern w:val="28"/>
      <w:sz w:val="32"/>
      <w:szCs w:val="24"/>
      <w:lang w:val="en-US" w:eastAsia="zh-CN" w:bidi="ar-SA"/>
    </w:rPr>
  </w:style>
  <w:style w:type="paragraph" w:styleId="27">
    <w:name w:val="toc 6"/>
    <w:basedOn w:val="1"/>
    <w:next w:val="1"/>
    <w:unhideWhenUsed/>
    <w:qFormat/>
    <w:uiPriority w:val="39"/>
    <w:pPr>
      <w:spacing w:after="160" w:line="278" w:lineRule="auto"/>
      <w:ind w:left="2100" w:leftChars="1000"/>
      <w:jc w:val="left"/>
    </w:pPr>
    <w:rPr>
      <w:sz w:val="22"/>
      <w14:ligatures w14:val="standardContextual"/>
    </w:rPr>
  </w:style>
  <w:style w:type="paragraph" w:styleId="28">
    <w:name w:val="toc 2"/>
    <w:basedOn w:val="1"/>
    <w:next w:val="1"/>
    <w:qFormat/>
    <w:uiPriority w:val="39"/>
    <w:pPr>
      <w:spacing w:line="360" w:lineRule="auto"/>
      <w:ind w:left="420" w:leftChars="200"/>
    </w:pPr>
    <w:rPr>
      <w:rFonts w:hint="eastAsia" w:ascii="宋体" w:hAnsi="宋体" w:eastAsia="黑体" w:cs="宋体"/>
      <w:sz w:val="24"/>
      <w:szCs w:val="32"/>
    </w:rPr>
  </w:style>
  <w:style w:type="paragraph" w:styleId="29">
    <w:name w:val="toc 9"/>
    <w:basedOn w:val="1"/>
    <w:next w:val="1"/>
    <w:unhideWhenUsed/>
    <w:qFormat/>
    <w:uiPriority w:val="39"/>
    <w:pPr>
      <w:spacing w:after="160" w:line="278" w:lineRule="auto"/>
      <w:ind w:left="3360" w:leftChars="1600"/>
      <w:jc w:val="left"/>
    </w:pPr>
    <w:rPr>
      <w:sz w:val="22"/>
      <w14:ligatures w14:val="standardContextual"/>
    </w:rPr>
  </w:style>
  <w:style w:type="paragraph" w:styleId="30">
    <w:name w:val="Normal (Web)"/>
    <w:basedOn w:val="1"/>
    <w:qFormat/>
    <w:uiPriority w:val="0"/>
    <w:rPr>
      <w:sz w:val="24"/>
    </w:rPr>
  </w:style>
  <w:style w:type="paragraph" w:styleId="31">
    <w:name w:val="Title"/>
    <w:qFormat/>
    <w:uiPriority w:val="0"/>
    <w:pPr>
      <w:widowControl w:val="0"/>
      <w:adjustRightInd w:val="0"/>
      <w:spacing w:before="100" w:after="100"/>
      <w:jc w:val="center"/>
    </w:pPr>
    <w:rPr>
      <w:rFonts w:ascii="Times New Roman" w:hAnsi="Times New Roman" w:eastAsia="黑体" w:cs="Times New Roman"/>
      <w:kern w:val="2"/>
      <w:sz w:val="36"/>
      <w:szCs w:val="24"/>
      <w:lang w:val="en-US" w:eastAsia="zh-CN" w:bidi="ar-SA"/>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Strong"/>
    <w:basedOn w:val="34"/>
    <w:qFormat/>
    <w:uiPriority w:val="0"/>
    <w:rPr>
      <w:b/>
    </w:rPr>
  </w:style>
  <w:style w:type="character" w:styleId="36">
    <w:name w:val="Hyperlink"/>
    <w:basedOn w:val="34"/>
    <w:unhideWhenUsed/>
    <w:qFormat/>
    <w:uiPriority w:val="99"/>
    <w:rPr>
      <w:color w:val="0026E5" w:themeColor="hyperlink"/>
      <w:u w:val="single"/>
      <w14:textFill>
        <w14:solidFill>
          <w14:schemeClr w14:val="hlink"/>
        </w14:solidFill>
      </w14:textFill>
    </w:rPr>
  </w:style>
  <w:style w:type="character" w:styleId="37">
    <w:name w:val="annotation reference"/>
    <w:basedOn w:val="34"/>
    <w:qFormat/>
    <w:uiPriority w:val="0"/>
    <w:rPr>
      <w:sz w:val="21"/>
      <w:szCs w:val="21"/>
    </w:rPr>
  </w:style>
  <w:style w:type="paragraph" w:customStyle="1" w:styleId="38">
    <w:name w:val="题注1"/>
    <w:next w:val="1"/>
    <w:qFormat/>
    <w:uiPriority w:val="0"/>
    <w:pPr>
      <w:widowControl w:val="0"/>
      <w:adjustRightInd w:val="0"/>
      <w:spacing w:before="240" w:after="120" w:line="288" w:lineRule="auto"/>
      <w:jc w:val="center"/>
    </w:pPr>
    <w:rPr>
      <w:rFonts w:ascii="Times New Roman" w:hAnsi="Times New Roman" w:eastAsia="宋体" w:cs="Times New Roman"/>
      <w:lang w:val="en-US" w:eastAsia="zh-CN" w:bidi="ar-SA"/>
    </w:rPr>
  </w:style>
  <w:style w:type="character" w:customStyle="1" w:styleId="39">
    <w:name w:val="标题 1 Char"/>
    <w:basedOn w:val="34"/>
    <w:link w:val="7"/>
    <w:qFormat/>
    <w:uiPriority w:val="0"/>
    <w:rPr>
      <w:rFonts w:ascii="Times New Roman" w:hAnsi="Times New Roman" w:eastAsia="黑体" w:cs="Times New Roman"/>
      <w:color w:val="000000"/>
      <w:kern w:val="44"/>
      <w:sz w:val="32"/>
      <w:szCs w:val="44"/>
    </w:rPr>
  </w:style>
  <w:style w:type="character" w:customStyle="1" w:styleId="40">
    <w:name w:val="标题 2 Char"/>
    <w:qFormat/>
    <w:uiPriority w:val="0"/>
    <w:rPr>
      <w:rFonts w:ascii="Times New Roman" w:hAnsi="Times New Roman" w:eastAsia="黑体" w:cs="Times New Roman"/>
      <w:kern w:val="2"/>
      <w:sz w:val="30"/>
      <w:szCs w:val="32"/>
      <w:lang w:bidi="ar-SA"/>
    </w:rPr>
  </w:style>
  <w:style w:type="paragraph" w:customStyle="1" w:styleId="41">
    <w:name w:val="附录标题"/>
    <w:next w:val="1"/>
    <w:qFormat/>
    <w:uiPriority w:val="0"/>
    <w:pPr>
      <w:widowControl w:val="0"/>
      <w:adjustRightInd w:val="0"/>
      <w:spacing w:before="100" w:after="100" w:line="360" w:lineRule="auto"/>
      <w:jc w:val="both"/>
      <w:outlineLvl w:val="0"/>
    </w:pPr>
    <w:rPr>
      <w:rFonts w:ascii="Times New Roman" w:hAnsi="Times New Roman" w:eastAsia="黑体" w:cs="Times New Roman"/>
      <w:color w:val="000000"/>
      <w:kern w:val="44"/>
      <w:sz w:val="36"/>
      <w:szCs w:val="44"/>
      <w:lang w:val="en-US" w:eastAsia="zh-CN" w:bidi="ar-SA"/>
    </w:rPr>
  </w:style>
  <w:style w:type="paragraph" w:customStyle="1" w:styleId="42">
    <w:name w:val="章标题"/>
    <w:next w:val="1"/>
    <w:qFormat/>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val="en-US" w:eastAsia="zh-CN" w:bidi="ar-SA"/>
    </w:rPr>
  </w:style>
  <w:style w:type="character" w:customStyle="1" w:styleId="43">
    <w:name w:val="标题 2 Char1"/>
    <w:qFormat/>
    <w:uiPriority w:val="0"/>
    <w:rPr>
      <w:rFonts w:ascii="Times New Roman" w:hAnsi="Times New Roman" w:eastAsia="黑体" w:cs="Times New Roman"/>
      <w:kern w:val="2"/>
      <w:sz w:val="30"/>
      <w:szCs w:val="32"/>
      <w:lang w:bidi="ar-SA"/>
    </w:rPr>
  </w:style>
  <w:style w:type="paragraph" w:customStyle="1" w:styleId="44">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45">
    <w:name w:val="未处理的提及1"/>
    <w:basedOn w:val="34"/>
    <w:semiHidden/>
    <w:unhideWhenUsed/>
    <w:qFormat/>
    <w:uiPriority w:val="99"/>
    <w:rPr>
      <w:color w:val="605E5C"/>
      <w:shd w:val="clear" w:color="auto" w:fill="E1DFDD"/>
    </w:rPr>
  </w:style>
  <w:style w:type="paragraph" w:customStyle="1" w:styleId="46">
    <w:name w:val="修订2"/>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47">
    <w:name w:val="Unresolved Mention"/>
    <w:basedOn w:val="34"/>
    <w:semiHidden/>
    <w:unhideWhenUsed/>
    <w:qFormat/>
    <w:uiPriority w:val="99"/>
    <w:rPr>
      <w:color w:val="605E5C"/>
      <w:shd w:val="clear" w:color="auto" w:fill="E1DFDD"/>
    </w:rPr>
  </w:style>
  <w:style w:type="character" w:customStyle="1" w:styleId="48">
    <w:name w:val="批注框文本 Char"/>
    <w:basedOn w:val="34"/>
    <w:link w:val="21"/>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208</Pages>
  <Words>11484</Words>
  <Characters>12286</Characters>
  <Lines>717</Lines>
  <Paragraphs>202</Paragraphs>
  <TotalTime>16</TotalTime>
  <ScaleCrop>false</ScaleCrop>
  <LinksUpToDate>false</LinksUpToDate>
  <CharactersWithSpaces>12598</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2026-08-17T12:34:00Z</dcterms:created>
  <dc:creator>王婆婆</dc:creator>
  <cp:lastModifiedBy>greatwall</cp:lastModifiedBy>
  <cp:lastPrinted>2026-09-22T07:34:00Z</cp:lastPrinted>
  <dcterms:modified xsi:type="dcterms:W3CDTF">2026-09-22T10:34:23Z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15A8637005B9419086A845D2A49DEC2D_13</vt:lpwstr>
  </property>
  <property fmtid="{D5CDD505-2E9C-101B-9397-08002B2CF9AE}" pid="4" name="KSOTemplateDocerSaveRecord">
    <vt:lpwstr>eyJoZGlkIjoiMjc3ZjhkNDNhOTU4Y2YwMDg1ZWE3YWJjYTYxYzQ4ZmUiLCJ1c2VySWQiOiIzNzA4NzIwNTgifQ==</vt:lpwstr>
  </property>
</Properties>
</file>