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autoSpaceDE/>
        <w:autoSpaceDN/>
        <w:bidi w:val="0"/>
        <w:spacing w:after="0" w:line="600" w:lineRule="exact"/>
        <w:jc w:val="center"/>
        <w:textAlignment w:val="auto"/>
        <w:rPr>
          <w:rFonts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lang w:eastAsia="zh-CN"/>
        </w:rPr>
        <w:t>《洛阳市地质灾害防治“十五五”规划</w:t>
      </w:r>
    </w:p>
    <w:p>
      <w:pPr>
        <w:keepNext w:val="0"/>
        <w:keepLines w:val="0"/>
        <w:pageBreakBefore w:val="0"/>
        <w:widowControl w:val="0"/>
        <w:kinsoku/>
        <w:wordWrap/>
        <w:autoSpaceDE/>
        <w:autoSpaceDN/>
        <w:bidi w:val="0"/>
        <w:spacing w:after="0" w:line="600" w:lineRule="exact"/>
        <w:jc w:val="center"/>
        <w:textAlignment w:val="auto"/>
        <w:rPr>
          <w:rFonts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lang w:eastAsia="zh-CN"/>
        </w:rPr>
        <w:t>（2026—2030年）（征求意见稿）》</w:t>
      </w:r>
    </w:p>
    <w:p>
      <w:pPr>
        <w:keepNext w:val="0"/>
        <w:keepLines w:val="0"/>
        <w:pageBreakBefore w:val="0"/>
        <w:widowControl w:val="0"/>
        <w:kinsoku/>
        <w:wordWrap/>
        <w:autoSpaceDE/>
        <w:autoSpaceDN/>
        <w:bidi w:val="0"/>
        <w:spacing w:after="0" w:line="600" w:lineRule="exact"/>
        <w:jc w:val="center"/>
        <w:textAlignment w:val="auto"/>
        <w:rPr>
          <w:rFonts w:hint="eastAsia"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lang w:eastAsia="zh-CN"/>
        </w:rPr>
        <w:t>政策解读</w:t>
      </w:r>
    </w:p>
    <w:p>
      <w:pPr>
        <w:pStyle w:val="2"/>
        <w:keepNext w:val="0"/>
        <w:keepLines w:val="0"/>
        <w:pageBreakBefore w:val="0"/>
        <w:widowControl w:val="0"/>
        <w:kinsoku/>
        <w:wordWrap/>
        <w:autoSpaceDE/>
        <w:autoSpaceDN/>
        <w:bidi w:val="0"/>
        <w:spacing w:line="600" w:lineRule="exact"/>
        <w:textAlignment w:val="auto"/>
        <w:rPr>
          <w:lang w:eastAsia="zh-CN"/>
        </w:rPr>
      </w:pP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为深入贯彻落实习近平总书记关于防灾减灾救灾工作的重要指示批示精神，系统谋划“十五五”时期全市地质灾害防治工作，市自然资源和规划局牵头编制了《洛阳市地质灾害防治“十五五”规划（2026—2030年）（征求意见稿）》（以下简称《规划》），现向社会公开征求意见。为便于各有关单位和社会公众准确理解《规划》主要内容，现就有关内容解读如下。</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一、《规划》编制的背景和意义</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（一）贯彻落实国家和省级决策部署的必然要求。</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地质灾害防治是统筹高质量发展和高水平安全、防范化解重大风险的重要内容。国家先后印发《全国地质灾害防治“十五五”实施方案》《关于全面推行“隐患点+风险区”双控管理的实施意见》，对“十五五”时期地质灾害防治工作作出系统部署。《河南省国民经济和社会发展第十五个五年规划纲要》明确要求推进地质灾害“隐患点+风险区”双控体系建设；省自然资源厅办公室印发《河南省地质灾害防治“十五五”规划（征求意见稿）》（豫自然资办函〔2026〕51号），聚焦“1+2+4+N”目标任务体系，对市县规划编制和上下衔接提出明确要求。编制实施本《规划》，是落实国家、省级部署，确保上下贯通、一体推进的具体行动。</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（二）应对全市严峻地质灾害防治形势的现实需要。</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洛阳市地处豫西山区，山地丘陵面积占全域86.01%，地质条件复杂，是河南省地质灾害高发市之一。受全球气候变暖影响，短时强降雨、连续降雨等极端天气多发频发，2021年“7·20”特大暴雨、2025年秋季连续强降雨表明，地质灾害呈现群发、链发特征，防治形势复杂严峻。截至2025年12月31日，全市在册地质灾害隐患点333处、风险斜坡917处，共威胁人口177828人。同时，全市地质灾害防治仍存在高风险乡镇1∶1万精细化调查覆盖不足、自动化监测覆盖和稳定运行水平不高、基层专业技术力量薄弱、风险管控压力增大、资金保障机制尚不健全等结构性短板，亟须通过五年规划系统补齐。</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（三）依法依规履行规划编制和重大决策程序的具体举措。</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按照市政府办公室《关于印发洛阳市“十五五”专项规划编制目录清单的通知》（洛政办〔2026〕1号）要求，本《规划》列入全市“十五五”专项规划编制目录，并纳入《洛阳市人民政府2026年重大行政决策事项目录》，需严格履行公众参与、专家论证、风险评估、合法性审查和集体讨论决定等法定程序。本次公开征求意见，是落实科学决策、民主决策、依法决策要求，广泛凝聚社会共识的重要环节。</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二、《规划》的编制过程和主要依据</w:t>
      </w:r>
    </w:p>
    <w:p>
      <w:pPr>
        <w:keepNext w:val="0"/>
        <w:keepLines w:val="0"/>
        <w:pageBreakBefore w:val="0"/>
        <w:widowControl w:val="0"/>
        <w:kinsoku/>
        <w:wordWrap/>
        <w:overflowPunct w:val="0"/>
        <w:topLine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（一）编制过程。</w:t>
      </w:r>
    </w:p>
    <w:p>
      <w:pPr>
        <w:keepNext w:val="0"/>
        <w:keepLines w:val="0"/>
        <w:pageBreakBefore w:val="0"/>
        <w:widowControl w:val="0"/>
        <w:kinsoku/>
        <w:wordWrap/>
        <w:topLinePunct w:val="0"/>
        <w:autoSpaceDE/>
        <w:autoSpaceDN/>
        <w:bidi w:val="0"/>
        <w:spacing w:after="0" w:line="600" w:lineRule="exact"/>
        <w:ind w:firstLine="640" w:firstLineChars="200"/>
        <w:textAlignment w:val="auto"/>
        <w:rPr>
          <w:rFonts w:hint="eastAsia"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规划》由市自然资源和规划局牵头组织编制，委托省级地质勘查专业单位承担技术编制工作。2026年7月，市自然资源和规划局与市应急、林业、气象、水利、交通等部门沟通调研，并对接各县区自然资源部门，收集隐患台账、监测预警、工程治理、避险安置、气象水文、交通水利高边坡等方面基础资料；在系统梳理风险普查、风险调查评价成果，完成隐患点与风险斜坡“双控”底数核实、三级分区落界及投资测算的基础上，形成《规划》征求意见稿，按程序征求各县区、相关部门意见，并向社会公开公示。</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（二）主要依据。</w:t>
      </w:r>
    </w:p>
    <w:p>
      <w:pPr>
        <w:keepNext w:val="0"/>
        <w:keepLines w:val="0"/>
        <w:pageBreakBefore w:val="0"/>
        <w:widowControl w:val="0"/>
        <w:kinsoku/>
        <w:wordWrap/>
        <w:topLinePunct w:val="0"/>
        <w:autoSpaceDE/>
        <w:autoSpaceDN/>
        <w:bidi w:val="0"/>
        <w:spacing w:after="0" w:line="600" w:lineRule="exact"/>
        <w:ind w:firstLine="640" w:firstLineChars="200"/>
        <w:jc w:val="both"/>
        <w:textAlignment w:val="auto"/>
        <w:rPr>
          <w:rFonts w:hint="eastAsia"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主要包括《中华人民共和国突发事件应对法》《中华人民共和国黄河保护法》《地质灾害防治条例》《河南省地质环境保护条例》；《自然资源部办公厅关于印发〈全国地质灾害防治“十五五”实施方案〉的通知》；《河南省自然资源厅办公室关于征求〈河南省地质灾害防治“十五五”规划（征求意见稿）〉意见的通知》；《洛阳市人民政府关于印发〈洛阳市国民经济和社会发展第十五个五年规划纲要〉的通知》；《洛阳市国土空间总体规划（2021—2035年）》等法律法规及相关文件。</w:t>
      </w:r>
    </w:p>
    <w:p>
      <w:pPr>
        <w:keepNext w:val="0"/>
        <w:keepLines w:val="0"/>
        <w:pageBreakBefore w:val="0"/>
        <w:widowControl w:val="0"/>
        <w:kinsoku/>
        <w:wordWrap/>
        <w:overflowPunct w:val="0"/>
        <w:topLine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（三）规划期限。</w:t>
      </w:r>
    </w:p>
    <w:p>
      <w:pPr>
        <w:keepNext w:val="0"/>
        <w:keepLines w:val="0"/>
        <w:pageBreakBefore w:val="0"/>
        <w:widowControl w:val="0"/>
        <w:kinsoku/>
        <w:wordWrap/>
        <w:topLinePunct w:val="0"/>
        <w:autoSpaceDE/>
        <w:autoSpaceDN/>
        <w:bidi w:val="0"/>
        <w:spacing w:after="0" w:line="600" w:lineRule="exact"/>
        <w:ind w:firstLine="640" w:firstLineChars="200"/>
        <w:textAlignment w:val="auto"/>
        <w:rPr>
          <w:lang w:eastAsia="zh-CN"/>
        </w:rPr>
      </w:pPr>
      <w:r>
        <w:rPr>
          <w:rFonts w:hint="eastAsia" w:ascii="Times New Roman" w:hAnsi="Times New Roman" w:eastAsia="仿宋_GB2312" w:cs="仿宋_GB2312"/>
          <w:kern w:val="2"/>
          <w:sz w:val="32"/>
          <w:szCs w:val="32"/>
          <w:lang w:eastAsia="zh-CN"/>
        </w:rPr>
        <w:t>《规划》以2025年为基准年，规划期为2026—2030年。统一统计基准时点为2025年12月31日。</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三、《规划》的总体要求和主要目标</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（一）指导思想。</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全面贯彻落实习近平总书记关于防灾减灾救灾工作的重要指示批示精神，立足洛阳山地丘陵广布、构造破碎、极端降雨多发、人工切坡突出的市域地质环境特征，以“隐患点+风险区”双控标准化管理为主线，以智能化监测、全域精细调查、系统性工程治理、整体避险搬迁、基层长效保障为支撑，构建“调查前置、智能预警、工程治本、源头控增量、应急兜底”全链条闭环防控体系，全面提升地质灾害综合防治现代化水平。</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（二）基本原则。</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坚持“人民至上、生命至上”，始终把保护群众生命安全放在首位；坚持预防为主、防抗救相结合，推动从灾后救助向灾前预防转变；坚持“隐患点+风险区”双控，实现点面一体、全域覆盖；坚持因地制宜、分区管控、突出重点，优先保障极高、高风险区域；坚持上下衔接、部门协同、社会参与，明确市、县、乡、村责任，形成防治合力。</w:t>
      </w:r>
    </w:p>
    <w:p>
      <w:pPr>
        <w:keepNext w:val="0"/>
        <w:keepLines w:val="0"/>
        <w:pageBreakBefore w:val="0"/>
        <w:widowControl w:val="0"/>
        <w:kinsoku/>
        <w:wordWrap/>
        <w:overflowPunct w:val="0"/>
        <w:autoSpaceDE/>
        <w:autoSpaceDN/>
        <w:bidi w:val="0"/>
        <w:adjustRightInd w:val="0"/>
        <w:snapToGrid w:val="0"/>
        <w:spacing w:after="0" w:line="600" w:lineRule="exact"/>
        <w:ind w:firstLine="642" w:firstLineChars="200"/>
        <w:jc w:val="both"/>
        <w:textAlignment w:val="auto"/>
        <w:rPr>
          <w:rFonts w:ascii="Times New Roman" w:hAnsi="Times New Roman" w:eastAsia="楷体_GB2312" w:cs="Times New Roman"/>
          <w:b/>
          <w:bCs/>
          <w:color w:val="000000"/>
          <w:sz w:val="32"/>
          <w:szCs w:val="32"/>
          <w:lang w:eastAsia="zh-CN"/>
        </w:rPr>
      </w:pPr>
      <w:r>
        <w:rPr>
          <w:rFonts w:hint="eastAsia" w:ascii="Times New Roman" w:hAnsi="Times New Roman" w:eastAsia="楷体_GB2312" w:cs="Times New Roman"/>
          <w:b/>
          <w:bCs/>
          <w:color w:val="000000"/>
          <w:sz w:val="32"/>
          <w:szCs w:val="32"/>
          <w:lang w:eastAsia="zh-CN"/>
        </w:rPr>
        <w:t>（三）主要目标。</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到2030年末，全市“隐患点+风险区”全域双控管理体系实现常态化运行，中高风险隐患治理搬迁综合销号率达到80%以上，50个高风险乡镇1∶1万精细化调查实现全覆盖，建成现代化全域地质安全长效防控体系。主要约束性、预期性指标包括：高风险乡镇1∶1万精细化调查覆盖率达到100%，自动化监测站点由29处增加到40处、站点稳定运行率达到95%以上，预警信息村级叫应响应率、群测群防网格化动态覆盖率均达到100%；标准化避险场地覆盖全部高风险行政村（60处），基层防灾人员年度培训覆盖率达到100%，人为诱发新增隐患增速逐年递减。</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四、《规划》的主要内容</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规划》包括地质灾害防治现状与形势、指导思想与规划目标、易发区风险区防治区划定、地质灾害综合防治工程、保障措施等内容，配套附表十二张、附图三张。核心内容可概括为“一套底数、三级分区、六大工程、一组投资”。</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（一）一套“点面双控”底数。</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全市在册地质灾害隐患点333处，按灾种分为滑坡170处、崩塌130处、泥石流13处、地面塌陷19处、地裂缝1处，直接威胁14717人，威胁财产49785万元；识别风险斜坡917处，按户籍人口统计潜在威胁163111人；“点”“面”合计1250处，共威胁人口177828人。333处“点”实行工程治理、监测、搬迁等重点管控，917处“面”实行常态化巡查、建房前置审批、源头减量等面域管控，隐患点销号后所在风险斜坡继续巡查、风险斜坡出现变形迹象后及时升级为隐患点，实现点面一体、闭环管理。</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（二）三级递进分区管控。</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仿宋_GB2312" w:cs="仿宋_GB2312"/>
          <w:kern w:val="2"/>
          <w:sz w:val="32"/>
          <w:szCs w:val="32"/>
          <w:lang w:eastAsia="zh-CN"/>
        </w:rPr>
      </w:pPr>
      <w:r>
        <w:rPr>
          <w:rFonts w:hint="eastAsia" w:ascii="Times New Roman" w:hAnsi="Times New Roman" w:eastAsia="仿宋_GB2312" w:cs="仿宋_GB2312"/>
          <w:kern w:val="2"/>
          <w:sz w:val="32"/>
          <w:szCs w:val="32"/>
          <w:lang w:eastAsia="zh-CN"/>
        </w:rPr>
        <w:t>依托双控底数，构建“易发分区—风险分区—防治分区”三级递进管控体系。易发分区按自然地质本底划分为高、中、低、非易发四级，面积分别为1904.54、4274.81、5927.89、2919.93平方公里；风险分区叠加承灾体划分为极高、高、中、低风险四级，面积分别为232.21、706.94、8581.72、3448.53平方公里，其中极高、高风险区合计939.15平方公里、约占全域国土面积6.16%，集中了全市极高、高风险隐患点93处、风险斜坡627处，承载受威胁人口约11.6万人、约占总受威胁人口的65%，是防治重中之重；防治分区结合风险等级和防控需要划分为重点防治区（Z）、次重点防治区（C）、一般防治区（Y），按乡镇综合判定归属，全市纳入分区统计的151个乡镇（街道）中，重点防治乡镇65个、次重点防治乡镇66个、一般防治乡镇20个。同时，对豫西伏牛山、黄土矿区窑洞、小浪底库岸等重点片区实行差异化管控。</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（三）六大综合防治工程。</w:t>
      </w:r>
    </w:p>
    <w:p>
      <w:pPr>
        <w:keepNext w:val="0"/>
        <w:keepLines w:val="0"/>
        <w:pageBreakBefore w:val="0"/>
        <w:widowControl w:val="0"/>
        <w:kinsoku/>
        <w:wordWrap/>
        <w:autoSpaceDE/>
        <w:autoSpaceDN/>
        <w:bidi w:val="0"/>
        <w:spacing w:after="0" w:line="600" w:lineRule="exact"/>
        <w:ind w:firstLine="642" w:firstLineChars="200"/>
        <w:textAlignment w:val="auto"/>
        <w:rPr>
          <w:rFonts w:hint="eastAsia"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一是调查评价工程</w:t>
      </w:r>
      <w:r>
        <w:rPr>
          <w:rFonts w:hint="eastAsia" w:ascii="Times New Roman" w:hAnsi="Times New Roman" w:eastAsia="方正仿宋_GB2312" w:cs="方正仿宋_GB2312"/>
          <w:kern w:val="2"/>
          <w:sz w:val="32"/>
          <w:szCs w:val="32"/>
          <w:lang w:eastAsia="zh-CN"/>
        </w:rPr>
        <w:t>，对剩余50个高风险乡镇（全市52个高风险乡镇中“十四五”已完成2个试点）开展1∶1万精细化调查，同步复核隐患、实测风险斜坡。</w:t>
      </w:r>
    </w:p>
    <w:p>
      <w:pPr>
        <w:keepNext w:val="0"/>
        <w:keepLines w:val="0"/>
        <w:pageBreakBefore w:val="0"/>
        <w:widowControl w:val="0"/>
        <w:kinsoku/>
        <w:wordWrap/>
        <w:autoSpaceDE/>
        <w:autoSpaceDN/>
        <w:bidi w:val="0"/>
        <w:spacing w:after="0" w:line="600" w:lineRule="exact"/>
        <w:ind w:firstLine="642" w:firstLineChars="200"/>
        <w:textAlignment w:val="auto"/>
        <w:rPr>
          <w:rFonts w:hint="eastAsia"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二是监测预警工程</w:t>
      </w:r>
      <w:r>
        <w:rPr>
          <w:rFonts w:hint="eastAsia" w:ascii="Times New Roman" w:hAnsi="Times New Roman" w:eastAsia="方正仿宋_GB2312" w:cs="方正仿宋_GB2312"/>
          <w:kern w:val="2"/>
          <w:sz w:val="32"/>
          <w:szCs w:val="32"/>
          <w:lang w:eastAsia="zh-CN"/>
        </w:rPr>
        <w:t>，规划期末建成40处自动化监测站点，即存量29处提质改造、省级项目储备库6处（全部位于栾川县）、市级新增5处（新安县2处，孟津区、偃师区、嵩县各1处），升级市级监测预警平台。</w:t>
      </w:r>
    </w:p>
    <w:p>
      <w:pPr>
        <w:keepNext w:val="0"/>
        <w:keepLines w:val="0"/>
        <w:pageBreakBefore w:val="0"/>
        <w:widowControl w:val="0"/>
        <w:kinsoku/>
        <w:wordWrap/>
        <w:autoSpaceDE/>
        <w:autoSpaceDN/>
        <w:bidi w:val="0"/>
        <w:spacing w:after="0" w:line="600" w:lineRule="exact"/>
        <w:ind w:firstLine="642" w:firstLineChars="200"/>
        <w:textAlignment w:val="auto"/>
        <w:rPr>
          <w:rFonts w:hint="eastAsia"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三是工程治理工程</w:t>
      </w:r>
      <w:r>
        <w:rPr>
          <w:rFonts w:hint="eastAsia" w:ascii="Times New Roman" w:hAnsi="Times New Roman" w:eastAsia="方正仿宋_GB2312" w:cs="方正仿宋_GB2312"/>
          <w:kern w:val="2"/>
          <w:sz w:val="32"/>
          <w:szCs w:val="32"/>
          <w:lang w:eastAsia="zh-CN"/>
        </w:rPr>
        <w:t>，实施隐患工程治理约71处，包括省级项目储备库2项（嵩县伊河流域、偃师区山化镇，共16处）、伏牛山区重点治理27处、北部黄土丘陵重点治理21处及全市统筹约20处。</w:t>
      </w:r>
    </w:p>
    <w:p>
      <w:pPr>
        <w:keepNext w:val="0"/>
        <w:keepLines w:val="0"/>
        <w:pageBreakBefore w:val="0"/>
        <w:widowControl w:val="0"/>
        <w:kinsoku/>
        <w:wordWrap/>
        <w:autoSpaceDE/>
        <w:autoSpaceDN/>
        <w:bidi w:val="0"/>
        <w:spacing w:after="0" w:line="600" w:lineRule="exact"/>
        <w:ind w:firstLine="642" w:firstLineChars="200"/>
        <w:textAlignment w:val="auto"/>
        <w:rPr>
          <w:rFonts w:hint="eastAsia"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四是避险搬迁工</w:t>
      </w:r>
      <w:r>
        <w:rPr>
          <w:rFonts w:hint="eastAsia" w:ascii="Times New Roman" w:hAnsi="Times New Roman" w:eastAsia="方正仿宋_GB2312" w:cs="方正仿宋_GB2312"/>
          <w:kern w:val="2"/>
          <w:sz w:val="32"/>
          <w:szCs w:val="32"/>
          <w:lang w:eastAsia="zh-CN"/>
        </w:rPr>
        <w:t>程，对96户受威胁群众实施系统搬迁，覆盖7个县区。</w:t>
      </w:r>
    </w:p>
    <w:p>
      <w:pPr>
        <w:keepNext w:val="0"/>
        <w:keepLines w:val="0"/>
        <w:pageBreakBefore w:val="0"/>
        <w:widowControl w:val="0"/>
        <w:kinsoku/>
        <w:wordWrap/>
        <w:autoSpaceDE/>
        <w:autoSpaceDN/>
        <w:bidi w:val="0"/>
        <w:spacing w:after="0" w:line="600" w:lineRule="exact"/>
        <w:ind w:firstLine="642" w:firstLineChars="200"/>
        <w:textAlignment w:val="auto"/>
        <w:rPr>
          <w:rFonts w:hint="eastAsia"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五是排危除险工程</w:t>
      </w:r>
      <w:r>
        <w:rPr>
          <w:rFonts w:hint="eastAsia" w:ascii="Times New Roman" w:hAnsi="Times New Roman" w:eastAsia="方正仿宋_GB2312" w:cs="方正仿宋_GB2312"/>
          <w:kern w:val="2"/>
          <w:sz w:val="32"/>
          <w:szCs w:val="32"/>
          <w:lang w:eastAsia="zh-CN"/>
        </w:rPr>
        <w:t>，五年动态处置约160处零星边坡险情，覆盖6个县区。</w:t>
      </w:r>
    </w:p>
    <w:p>
      <w:pPr>
        <w:keepNext w:val="0"/>
        <w:keepLines w:val="0"/>
        <w:pageBreakBefore w:val="0"/>
        <w:widowControl w:val="0"/>
        <w:kinsoku/>
        <w:wordWrap/>
        <w:autoSpaceDE/>
        <w:autoSpaceDN/>
        <w:bidi w:val="0"/>
        <w:spacing w:after="0" w:line="600" w:lineRule="exact"/>
        <w:ind w:firstLine="642"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b/>
          <w:bCs/>
          <w:kern w:val="2"/>
          <w:sz w:val="32"/>
          <w:szCs w:val="32"/>
          <w:lang w:eastAsia="zh-CN"/>
        </w:rPr>
        <w:t>六是防灾配套工</w:t>
      </w:r>
      <w:r>
        <w:rPr>
          <w:rFonts w:hint="eastAsia" w:ascii="Times New Roman" w:hAnsi="Times New Roman" w:eastAsia="方正仿宋_GB2312" w:cs="方正仿宋_GB2312"/>
          <w:kern w:val="2"/>
          <w:sz w:val="32"/>
          <w:szCs w:val="32"/>
          <w:lang w:eastAsia="zh-CN"/>
        </w:rPr>
        <w:t>程，新建改造60处标准化避险场地，配套应急厕所、物资仓库、照明等设施。</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（四）一组五年投资安排。</w:t>
      </w:r>
    </w:p>
    <w:p>
      <w:pPr>
        <w:keepNext w:val="0"/>
        <w:keepLines w:val="0"/>
        <w:pageBreakBefore w:val="0"/>
        <w:widowControl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《规划》五年总投资</w:t>
      </w:r>
      <w:bookmarkStart w:id="0" w:name="_GoBack"/>
      <w:bookmarkEnd w:id="0"/>
      <w:r>
        <w:rPr>
          <w:rFonts w:hint="eastAsia" w:ascii="Times New Roman" w:hAnsi="Times New Roman" w:eastAsia="方正仿宋_GB2312" w:cs="方正仿宋_GB2312"/>
          <w:kern w:val="2"/>
          <w:sz w:val="32"/>
          <w:szCs w:val="32"/>
          <w:lang w:eastAsia="zh-CN"/>
        </w:rPr>
        <w:t>静态匡算17277.2万元，约1.8亿元，其中一次性工程投资14677.2万元、常态化运维经费2600万元。具体如下表：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6"/>
        <w:gridCol w:w="2381"/>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黑体"/>
                <w:b/>
                <w:sz w:val="24"/>
              </w:rPr>
              <w:t>工程类别</w:t>
            </w:r>
          </w:p>
        </w:tc>
        <w:tc>
          <w:tcPr>
            <w:tcW w:w="2381" w:type="dxa"/>
            <w:vAlign w:val="center"/>
          </w:tcPr>
          <w:p>
            <w:pPr>
              <w:spacing w:after="0" w:line="400" w:lineRule="exact"/>
              <w:jc w:val="center"/>
            </w:pPr>
            <w:r>
              <w:rPr>
                <w:rFonts w:ascii="Times New Roman" w:hAnsi="Times New Roman" w:eastAsia="黑体"/>
                <w:b/>
                <w:sz w:val="24"/>
              </w:rPr>
              <w:t>工程量</w:t>
            </w:r>
          </w:p>
        </w:tc>
        <w:tc>
          <w:tcPr>
            <w:tcW w:w="1928" w:type="dxa"/>
            <w:vAlign w:val="center"/>
          </w:tcPr>
          <w:p>
            <w:pPr>
              <w:spacing w:after="0" w:line="400" w:lineRule="exact"/>
              <w:jc w:val="center"/>
            </w:pPr>
            <w:r>
              <w:rPr>
                <w:rFonts w:ascii="Times New Roman" w:hAnsi="Times New Roman" w:eastAsia="黑体"/>
                <w:b/>
                <w:sz w:val="24"/>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1∶1万精细化调查</w:t>
            </w:r>
          </w:p>
        </w:tc>
        <w:tc>
          <w:tcPr>
            <w:tcW w:w="2381" w:type="dxa"/>
            <w:vAlign w:val="center"/>
          </w:tcPr>
          <w:p>
            <w:pPr>
              <w:spacing w:after="0" w:line="400" w:lineRule="exact"/>
              <w:jc w:val="center"/>
            </w:pPr>
            <w:r>
              <w:rPr>
                <w:rFonts w:ascii="Times New Roman" w:hAnsi="Times New Roman" w:eastAsia="仿宋"/>
                <w:sz w:val="24"/>
              </w:rPr>
              <w:t>50个乡镇</w:t>
            </w:r>
          </w:p>
        </w:tc>
        <w:tc>
          <w:tcPr>
            <w:tcW w:w="1928" w:type="dxa"/>
            <w:vAlign w:val="center"/>
          </w:tcPr>
          <w:p>
            <w:pPr>
              <w:spacing w:after="0" w:line="400" w:lineRule="exact"/>
              <w:jc w:val="center"/>
            </w:pPr>
            <w:r>
              <w:rPr>
                <w:rFonts w:ascii="Times New Roman" w:hAnsi="Times New Roman" w:eastAsia="仿宋"/>
                <w:sz w:val="24"/>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rPr>
                <w:lang w:eastAsia="zh-CN"/>
              </w:rPr>
            </w:pPr>
            <w:r>
              <w:rPr>
                <w:rFonts w:ascii="Times New Roman" w:hAnsi="Times New Roman" w:eastAsia="仿宋"/>
                <w:sz w:val="24"/>
                <w:lang w:eastAsia="zh-CN"/>
              </w:rPr>
              <w:t>监测预警（存量改造+新建）</w:t>
            </w:r>
          </w:p>
        </w:tc>
        <w:tc>
          <w:tcPr>
            <w:tcW w:w="2381" w:type="dxa"/>
            <w:vAlign w:val="center"/>
          </w:tcPr>
          <w:p>
            <w:pPr>
              <w:spacing w:after="0" w:line="400" w:lineRule="exact"/>
              <w:jc w:val="center"/>
            </w:pPr>
            <w:r>
              <w:rPr>
                <w:rFonts w:ascii="Times New Roman" w:hAnsi="Times New Roman" w:eastAsia="仿宋"/>
                <w:sz w:val="24"/>
              </w:rPr>
              <w:t>40处</w:t>
            </w:r>
          </w:p>
        </w:tc>
        <w:tc>
          <w:tcPr>
            <w:tcW w:w="1928" w:type="dxa"/>
            <w:vAlign w:val="center"/>
          </w:tcPr>
          <w:p>
            <w:pPr>
              <w:spacing w:after="0" w:line="400" w:lineRule="exact"/>
              <w:jc w:val="center"/>
            </w:pPr>
            <w:r>
              <w:rPr>
                <w:rFonts w:ascii="Times New Roman" w:hAnsi="Times New Roman" w:eastAsia="仿宋"/>
                <w:sz w:val="24"/>
              </w:rPr>
              <w:t>658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76" w:type="dxa"/>
            <w:vAlign w:val="center"/>
          </w:tcPr>
          <w:p>
            <w:pPr>
              <w:spacing w:after="0" w:line="400" w:lineRule="exact"/>
              <w:jc w:val="center"/>
            </w:pPr>
            <w:r>
              <w:rPr>
                <w:rFonts w:ascii="Times New Roman" w:hAnsi="Times New Roman" w:eastAsia="仿宋"/>
                <w:sz w:val="24"/>
              </w:rPr>
              <w:t>工程治理</w:t>
            </w:r>
          </w:p>
        </w:tc>
        <w:tc>
          <w:tcPr>
            <w:tcW w:w="2381" w:type="dxa"/>
            <w:vAlign w:val="center"/>
          </w:tcPr>
          <w:p>
            <w:pPr>
              <w:spacing w:after="0" w:line="400" w:lineRule="exact"/>
              <w:jc w:val="center"/>
            </w:pPr>
            <w:r>
              <w:rPr>
                <w:rFonts w:ascii="Times New Roman" w:hAnsi="Times New Roman" w:eastAsia="仿宋"/>
                <w:sz w:val="24"/>
              </w:rPr>
              <w:t>约71处</w:t>
            </w:r>
          </w:p>
        </w:tc>
        <w:tc>
          <w:tcPr>
            <w:tcW w:w="1928" w:type="dxa"/>
            <w:vAlign w:val="center"/>
          </w:tcPr>
          <w:p>
            <w:pPr>
              <w:spacing w:after="0" w:line="400" w:lineRule="exact"/>
              <w:jc w:val="center"/>
            </w:pPr>
            <w:r>
              <w:rPr>
                <w:rFonts w:ascii="Times New Roman" w:hAnsi="Times New Roman" w:eastAsia="仿宋"/>
                <w:sz w:val="24"/>
              </w:rPr>
              <w:t>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避险搬迁</w:t>
            </w:r>
          </w:p>
        </w:tc>
        <w:tc>
          <w:tcPr>
            <w:tcW w:w="2381" w:type="dxa"/>
            <w:vAlign w:val="center"/>
          </w:tcPr>
          <w:p>
            <w:pPr>
              <w:spacing w:after="0" w:line="400" w:lineRule="exact"/>
              <w:jc w:val="center"/>
            </w:pPr>
            <w:r>
              <w:rPr>
                <w:rFonts w:ascii="Times New Roman" w:hAnsi="Times New Roman" w:eastAsia="仿宋"/>
                <w:sz w:val="24"/>
              </w:rPr>
              <w:t>96户</w:t>
            </w:r>
          </w:p>
        </w:tc>
        <w:tc>
          <w:tcPr>
            <w:tcW w:w="1928" w:type="dxa"/>
            <w:vAlign w:val="center"/>
          </w:tcPr>
          <w:p>
            <w:pPr>
              <w:spacing w:after="0" w:line="400" w:lineRule="exact"/>
              <w:jc w:val="center"/>
            </w:pPr>
            <w:r>
              <w:rPr>
                <w:rFonts w:ascii="Times New Roman" w:hAnsi="Times New Roman" w:eastAsia="仿宋"/>
                <w:sz w:val="24"/>
              </w:rPr>
              <w:t>499.2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排危除险</w:t>
            </w:r>
          </w:p>
        </w:tc>
        <w:tc>
          <w:tcPr>
            <w:tcW w:w="2381" w:type="dxa"/>
            <w:vAlign w:val="center"/>
          </w:tcPr>
          <w:p>
            <w:pPr>
              <w:spacing w:after="0" w:line="400" w:lineRule="exact"/>
              <w:jc w:val="center"/>
            </w:pPr>
            <w:r>
              <w:rPr>
                <w:rFonts w:ascii="Times New Roman" w:hAnsi="Times New Roman" w:eastAsia="仿宋"/>
                <w:sz w:val="24"/>
              </w:rPr>
              <w:t>160处</w:t>
            </w:r>
          </w:p>
        </w:tc>
        <w:tc>
          <w:tcPr>
            <w:tcW w:w="1928" w:type="dxa"/>
            <w:vAlign w:val="center"/>
          </w:tcPr>
          <w:p>
            <w:pPr>
              <w:spacing w:after="0" w:line="400" w:lineRule="exact"/>
              <w:jc w:val="center"/>
            </w:pPr>
            <w:r>
              <w:rPr>
                <w:rFonts w:ascii="Times New Roman" w:hAnsi="Times New Roman" w:eastAsia="仿宋"/>
                <w:sz w:val="24"/>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rPr>
                <w:lang w:eastAsia="zh-CN"/>
              </w:rPr>
            </w:pPr>
            <w:r>
              <w:rPr>
                <w:rFonts w:ascii="Times New Roman" w:hAnsi="Times New Roman" w:eastAsia="仿宋"/>
                <w:sz w:val="24"/>
                <w:lang w:eastAsia="zh-CN"/>
              </w:rPr>
              <w:t>防灾配套设施（标准化避险场地）</w:t>
            </w:r>
          </w:p>
        </w:tc>
        <w:tc>
          <w:tcPr>
            <w:tcW w:w="2381" w:type="dxa"/>
            <w:vAlign w:val="center"/>
          </w:tcPr>
          <w:p>
            <w:pPr>
              <w:spacing w:after="0" w:line="400" w:lineRule="exact"/>
              <w:jc w:val="center"/>
            </w:pPr>
            <w:r>
              <w:rPr>
                <w:rFonts w:ascii="Times New Roman" w:hAnsi="Times New Roman" w:eastAsia="仿宋"/>
                <w:sz w:val="24"/>
              </w:rPr>
              <w:t>60处</w:t>
            </w:r>
          </w:p>
        </w:tc>
        <w:tc>
          <w:tcPr>
            <w:tcW w:w="1928" w:type="dxa"/>
            <w:vAlign w:val="center"/>
          </w:tcPr>
          <w:p>
            <w:pPr>
              <w:spacing w:after="0" w:line="400" w:lineRule="exact"/>
              <w:jc w:val="center"/>
            </w:pPr>
            <w:r>
              <w:rPr>
                <w:rFonts w:ascii="Times New Roman" w:hAnsi="Times New Roman" w:eastAsia="仿宋"/>
                <w:sz w:val="24"/>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76" w:type="dxa"/>
            <w:vAlign w:val="center"/>
          </w:tcPr>
          <w:p>
            <w:pPr>
              <w:spacing w:after="0" w:line="400" w:lineRule="exact"/>
              <w:jc w:val="center"/>
            </w:pPr>
            <w:r>
              <w:rPr>
                <w:rFonts w:ascii="Times New Roman" w:hAnsi="Times New Roman" w:eastAsia="仿宋"/>
                <w:b/>
                <w:sz w:val="24"/>
              </w:rPr>
              <w:t>一次性工程小计</w:t>
            </w:r>
          </w:p>
        </w:tc>
        <w:tc>
          <w:tcPr>
            <w:tcW w:w="2381" w:type="dxa"/>
            <w:vAlign w:val="center"/>
          </w:tcPr>
          <w:p>
            <w:pPr>
              <w:spacing w:after="0" w:line="400" w:lineRule="exact"/>
              <w:jc w:val="center"/>
            </w:pPr>
            <w:r>
              <w:rPr>
                <w:rFonts w:ascii="Times New Roman" w:hAnsi="Times New Roman" w:eastAsia="仿宋"/>
                <w:sz w:val="24"/>
              </w:rPr>
              <w:t>—</w:t>
            </w:r>
          </w:p>
        </w:tc>
        <w:tc>
          <w:tcPr>
            <w:tcW w:w="1928" w:type="dxa"/>
            <w:vAlign w:val="center"/>
          </w:tcPr>
          <w:p>
            <w:pPr>
              <w:spacing w:after="0" w:line="400" w:lineRule="exact"/>
              <w:jc w:val="center"/>
            </w:pPr>
            <w:r>
              <w:rPr>
                <w:rFonts w:ascii="Times New Roman" w:hAnsi="Times New Roman" w:eastAsia="仿宋"/>
                <w:sz w:val="24"/>
              </w:rPr>
              <w:t>14677.2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监测站点运维</w:t>
            </w:r>
          </w:p>
        </w:tc>
        <w:tc>
          <w:tcPr>
            <w:tcW w:w="2381" w:type="dxa"/>
            <w:vAlign w:val="center"/>
          </w:tcPr>
          <w:p>
            <w:pPr>
              <w:spacing w:after="0" w:line="400" w:lineRule="exact"/>
              <w:jc w:val="center"/>
            </w:pPr>
            <w:r>
              <w:rPr>
                <w:rFonts w:ascii="Times New Roman" w:hAnsi="Times New Roman" w:eastAsia="仿宋"/>
                <w:sz w:val="24"/>
              </w:rPr>
              <w:t>40处站点+市级平台</w:t>
            </w:r>
          </w:p>
        </w:tc>
        <w:tc>
          <w:tcPr>
            <w:tcW w:w="1928" w:type="dxa"/>
            <w:vAlign w:val="center"/>
          </w:tcPr>
          <w:p>
            <w:pPr>
              <w:spacing w:after="0" w:line="400" w:lineRule="exact"/>
              <w:jc w:val="center"/>
            </w:pPr>
            <w:r>
              <w:rPr>
                <w:rFonts w:ascii="Times New Roman" w:hAnsi="Times New Roman" w:eastAsia="仿宋"/>
                <w:sz w:val="24"/>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群测群防员补贴</w:t>
            </w:r>
          </w:p>
        </w:tc>
        <w:tc>
          <w:tcPr>
            <w:tcW w:w="2381" w:type="dxa"/>
            <w:vAlign w:val="center"/>
          </w:tcPr>
          <w:p>
            <w:pPr>
              <w:spacing w:after="0" w:line="400" w:lineRule="exact"/>
              <w:jc w:val="center"/>
            </w:pPr>
            <w:r>
              <w:rPr>
                <w:rFonts w:ascii="Times New Roman" w:hAnsi="Times New Roman" w:eastAsia="仿宋"/>
                <w:sz w:val="24"/>
              </w:rPr>
              <w:t>约1000名</w:t>
            </w:r>
          </w:p>
        </w:tc>
        <w:tc>
          <w:tcPr>
            <w:tcW w:w="1928" w:type="dxa"/>
            <w:vAlign w:val="center"/>
          </w:tcPr>
          <w:p>
            <w:pPr>
              <w:spacing w:after="0" w:line="400" w:lineRule="exact"/>
              <w:jc w:val="center"/>
            </w:pPr>
            <w:r>
              <w:rPr>
                <w:rFonts w:ascii="Times New Roman" w:hAnsi="Times New Roman" w:eastAsia="仿宋"/>
                <w:sz w:val="24"/>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sz w:val="24"/>
              </w:rPr>
              <w:t>避险场地管护</w:t>
            </w:r>
          </w:p>
        </w:tc>
        <w:tc>
          <w:tcPr>
            <w:tcW w:w="2381" w:type="dxa"/>
            <w:vAlign w:val="center"/>
          </w:tcPr>
          <w:p>
            <w:pPr>
              <w:spacing w:after="0" w:line="400" w:lineRule="exact"/>
              <w:jc w:val="center"/>
            </w:pPr>
            <w:r>
              <w:rPr>
                <w:rFonts w:ascii="Times New Roman" w:hAnsi="Times New Roman" w:eastAsia="仿宋"/>
                <w:sz w:val="24"/>
              </w:rPr>
              <w:t>60处</w:t>
            </w:r>
          </w:p>
        </w:tc>
        <w:tc>
          <w:tcPr>
            <w:tcW w:w="1928" w:type="dxa"/>
            <w:vAlign w:val="center"/>
          </w:tcPr>
          <w:p>
            <w:pPr>
              <w:spacing w:after="0" w:line="400" w:lineRule="exact"/>
              <w:jc w:val="center"/>
            </w:pPr>
            <w:r>
              <w:rPr>
                <w:rFonts w:ascii="Times New Roman" w:hAnsi="Times New Roman" w:eastAsia="仿宋"/>
                <w:sz w:val="24"/>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76" w:type="dxa"/>
            <w:vAlign w:val="center"/>
          </w:tcPr>
          <w:p>
            <w:pPr>
              <w:spacing w:after="0" w:line="400" w:lineRule="exact"/>
              <w:jc w:val="center"/>
            </w:pPr>
            <w:r>
              <w:rPr>
                <w:rFonts w:ascii="Times New Roman" w:hAnsi="Times New Roman" w:eastAsia="仿宋"/>
                <w:sz w:val="24"/>
              </w:rPr>
              <w:t>科普培训</w:t>
            </w:r>
          </w:p>
        </w:tc>
        <w:tc>
          <w:tcPr>
            <w:tcW w:w="2381" w:type="dxa"/>
            <w:vAlign w:val="center"/>
          </w:tcPr>
          <w:p>
            <w:pPr>
              <w:spacing w:after="0" w:line="400" w:lineRule="exact"/>
              <w:jc w:val="center"/>
            </w:pPr>
            <w:r>
              <w:rPr>
                <w:rFonts w:ascii="Times New Roman" w:hAnsi="Times New Roman" w:eastAsia="仿宋"/>
                <w:sz w:val="24"/>
              </w:rPr>
              <w:t>14个县区</w:t>
            </w:r>
          </w:p>
        </w:tc>
        <w:tc>
          <w:tcPr>
            <w:tcW w:w="1928" w:type="dxa"/>
            <w:vAlign w:val="center"/>
          </w:tcPr>
          <w:p>
            <w:pPr>
              <w:spacing w:after="0" w:line="400" w:lineRule="exact"/>
              <w:jc w:val="center"/>
            </w:pPr>
            <w:r>
              <w:rPr>
                <w:rFonts w:ascii="Times New Roman" w:hAnsi="Times New Roman" w:eastAsia="仿宋"/>
                <w:sz w:val="24"/>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b/>
                <w:sz w:val="24"/>
              </w:rPr>
              <w:t>常态化运维小计</w:t>
            </w:r>
          </w:p>
        </w:tc>
        <w:tc>
          <w:tcPr>
            <w:tcW w:w="2381" w:type="dxa"/>
            <w:vAlign w:val="center"/>
          </w:tcPr>
          <w:p>
            <w:pPr>
              <w:spacing w:after="0" w:line="400" w:lineRule="exact"/>
              <w:jc w:val="center"/>
            </w:pPr>
            <w:r>
              <w:rPr>
                <w:rFonts w:ascii="Times New Roman" w:hAnsi="Times New Roman" w:eastAsia="仿宋"/>
                <w:sz w:val="24"/>
              </w:rPr>
              <w:t>—</w:t>
            </w:r>
          </w:p>
        </w:tc>
        <w:tc>
          <w:tcPr>
            <w:tcW w:w="1928" w:type="dxa"/>
            <w:vAlign w:val="center"/>
          </w:tcPr>
          <w:p>
            <w:pPr>
              <w:spacing w:after="0" w:line="400" w:lineRule="exact"/>
              <w:jc w:val="center"/>
            </w:pPr>
            <w:r>
              <w:rPr>
                <w:rFonts w:ascii="Times New Roman" w:hAnsi="Times New Roman" w:eastAsia="仿宋"/>
                <w:sz w:val="24"/>
              </w:rPr>
              <w:t>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6" w:type="dxa"/>
            <w:vAlign w:val="center"/>
          </w:tcPr>
          <w:p>
            <w:pPr>
              <w:spacing w:after="0" w:line="400" w:lineRule="exact"/>
              <w:jc w:val="center"/>
            </w:pPr>
            <w:r>
              <w:rPr>
                <w:rFonts w:ascii="Times New Roman" w:hAnsi="Times New Roman" w:eastAsia="仿宋"/>
                <w:b/>
                <w:sz w:val="24"/>
              </w:rPr>
              <w:t>合计</w:t>
            </w:r>
          </w:p>
        </w:tc>
        <w:tc>
          <w:tcPr>
            <w:tcW w:w="2381" w:type="dxa"/>
            <w:vAlign w:val="center"/>
          </w:tcPr>
          <w:p>
            <w:pPr>
              <w:spacing w:after="0" w:line="400" w:lineRule="exact"/>
              <w:jc w:val="center"/>
            </w:pPr>
            <w:r>
              <w:rPr>
                <w:rFonts w:ascii="Times New Roman" w:hAnsi="Times New Roman" w:eastAsia="仿宋"/>
                <w:sz w:val="24"/>
              </w:rPr>
              <w:t>—</w:t>
            </w:r>
          </w:p>
        </w:tc>
        <w:tc>
          <w:tcPr>
            <w:tcW w:w="1928" w:type="dxa"/>
            <w:vAlign w:val="center"/>
          </w:tcPr>
          <w:p>
            <w:pPr>
              <w:spacing w:after="0" w:line="400" w:lineRule="exact"/>
              <w:jc w:val="center"/>
            </w:pPr>
            <w:r>
              <w:rPr>
                <w:rFonts w:ascii="Times New Roman" w:hAnsi="Times New Roman" w:eastAsia="仿宋"/>
                <w:sz w:val="24"/>
              </w:rPr>
              <w:t>17277.2</w:t>
            </w:r>
          </w:p>
        </w:tc>
      </w:tr>
    </w:tbl>
    <w:p>
      <w:pPr>
        <w:spacing w:before="40" w:after="160" w:line="400" w:lineRule="exact"/>
        <w:rPr>
          <w:lang w:eastAsia="zh-CN"/>
        </w:rPr>
      </w:pPr>
      <w:r>
        <w:rPr>
          <w:rFonts w:ascii="Times New Roman" w:hAnsi="Times New Roman" w:eastAsia="仿宋"/>
          <w:sz w:val="24"/>
          <w:lang w:eastAsia="zh-CN"/>
        </w:rPr>
        <w:t>注：表中投资为静态匡算，具体工程项目和资金安排纳入年度地质灾害防治项目库，结合省级项目储备库下达节奏和市、县财政承受能力分年度动态安排、滚动实施。</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（五）“十四五”防治工作基础。</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十四五”期间，全市在册隐患点由2021年的596处核销至2025年末的333处，五年累计消险263处，重大特大隐患基本清零，连续五年未发生地质灾害人员伤亡；完成全市1∶5万全域详查和2个乡镇1∶1万精细化试点，建成标准化监测站点29处，2023年市级地质气象预警平台上线、汛期专项预警123次；落地地质灾害防治专项项目41个、其中中央和国债资金项目13个，总投资13913万元，为“十五五”工作奠定了坚实基础。</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五、需要重点说明的几个问题</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（一）关于风险斜坡917处的口径。</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风险斜坡底数由省厅两轮下发成果衔接形成，普查成果与精细化调查成果不重复计数。上一版省厅共下发805处，其中风险斜坡普查成果720处、1∶1万精细化调查成果85处（洛宁县55处、汝阳县30处）；“十五五”规划意见反馈阶段，省厅更新下发普查成果609处，该清单未包含栾川县、新安县。本次以更新后的609处普查成果为基础，将上一版720处普查清单中的栾川县208处、新安县15处按原值补回，并保留85处精细化调查成果，合计917处，即917处＝609处普查＋栾川县208处＋新安县15处＋85处精细化调查。</w:t>
      </w:r>
    </w:p>
    <w:p>
      <w:pPr>
        <w:keepNext w:val="0"/>
        <w:keepLines w:val="0"/>
        <w:pageBreakBefore w:val="0"/>
        <w:widowControl w:val="0"/>
        <w:kinsoku/>
        <w:wordWrap/>
        <w:overflowPunct w:val="0"/>
        <w:autoSpaceDE/>
        <w:autoSpaceDN/>
        <w:bidi w:val="0"/>
        <w:adjustRightInd w:val="0"/>
        <w:snapToGrid w:val="0"/>
        <w:spacing w:after="0" w:line="600" w:lineRule="exact"/>
        <w:ind w:firstLine="602" w:firstLineChars="200"/>
        <w:jc w:val="both"/>
        <w:textAlignment w:val="auto"/>
        <w:rPr>
          <w:rFonts w:ascii="Times New Roman" w:hAnsi="Times New Roman" w:eastAsia="楷体_GB2312" w:cs="Times New Roman"/>
          <w:b/>
          <w:bCs/>
          <w:color w:val="000000"/>
          <w:sz w:val="30"/>
          <w:szCs w:val="30"/>
          <w:lang w:eastAsia="zh-CN"/>
        </w:rPr>
      </w:pPr>
      <w:r>
        <w:rPr>
          <w:rFonts w:hint="eastAsia" w:ascii="Times New Roman" w:hAnsi="Times New Roman" w:eastAsia="楷体_GB2312" w:cs="Times New Roman"/>
          <w:b/>
          <w:bCs/>
          <w:color w:val="000000"/>
          <w:sz w:val="30"/>
          <w:szCs w:val="30"/>
          <w:lang w:eastAsia="zh-CN"/>
        </w:rPr>
        <w:t>（二）关于受威胁人口口径。</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333处隐患点统计直接威胁人口14717人；917处风险斜坡统计潜在威胁人口163111人，按户籍人口统计；两者合计177828人。隐患点威胁财产为49785万元；风险斜坡财产数据仅85处精细化调查成果具备，普查类成果不统计财产。</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（三）关于防治分区划定。</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因省级地质灾害防治分区矢量图尚未下发市级，《规划》防治分区暂按易发等级就高划定（高易发对应重点防治区Z、中易发对应次重点防治区C、低易发及非易发对应一般防治区Y），最终以省级地质灾害防治分区图校核为准。极高、高风险矢量图层完整接入国土空间总体规划“三区三线”管控体系，落实限制性开发和强制避让要求。</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（四）关于行政区划口径。</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按照全市统一统计口径，涧西区、伊滨区相关数据并入洛龙区统计；全市辖7区7县、188个乡镇（街道），其中151个乡镇（街道）纳入本次分区统计。</w:t>
      </w:r>
    </w:p>
    <w:p>
      <w:pPr>
        <w:keepNext w:val="0"/>
        <w:keepLines w:val="0"/>
        <w:pageBreakBefore w:val="0"/>
        <w:widowControl w:val="0"/>
        <w:kinsoku/>
        <w:wordWrap/>
        <w:overflowPunct w:val="0"/>
        <w:topLinePunct/>
        <w:autoSpaceDE/>
        <w:autoSpaceDN/>
        <w:bidi w:val="0"/>
        <w:spacing w:after="0" w:line="600" w:lineRule="exact"/>
        <w:ind w:firstLine="640" w:firstLineChars="200"/>
        <w:textAlignment w:val="auto"/>
        <w:rPr>
          <w:rFonts w:ascii="黑体" w:hAnsi="黑体" w:eastAsia="黑体" w:cs="黑体"/>
          <w:color w:val="000000"/>
          <w:sz w:val="32"/>
          <w:szCs w:val="32"/>
          <w:lang w:eastAsia="zh-CN" w:bidi="zh-HK"/>
        </w:rPr>
      </w:pPr>
      <w:r>
        <w:rPr>
          <w:rFonts w:hint="eastAsia" w:ascii="黑体" w:hAnsi="黑体" w:eastAsia="黑体" w:cs="黑体"/>
          <w:color w:val="000000"/>
          <w:sz w:val="32"/>
          <w:szCs w:val="32"/>
          <w:lang w:eastAsia="zh-CN" w:bidi="zh-HK"/>
        </w:rPr>
        <w:t>六、《规划》的组织实施和政策衔接</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（一）压实四级责任。</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坚持政府主导、自然资源部门统筹协调、相关部门协同联动，落实市、县、乡、村（含村民小组）五级网格化责任体系和风险双控责任人制度，将防治任务纳入年度考核和督查范围；县区政府履行属地责任，乡镇（街道）、村（社区）落实群测群防和临灾转移具体责任。</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（二）强化部门协同。</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自然资源规划部门牵头统筹，应急、水利、交通、气象、林业、住建、发改、财政等部门按职责分工，在监测预警、水旱灾害防御、交通高边坡整治、气象预警、避险安置、资金保障等方面密切协作、信息共享，共同推进规划落地。</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（三）落实资金保障。</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积极争取中央、省级地质灾害防治专项资金和项目储备库支持，将监测运维、群测群防员补贴、避险场地管护、科普培训等经常性支出纳入市、县年度财政预算；一次性工程纳入年度项目库动态下达，鼓励引导社会力量参与，健全多元化、可持续资金保障机制。</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（四）做好规划衔接和动态管理。</w:t>
      </w:r>
    </w:p>
    <w:p>
      <w:pPr>
        <w:keepNext w:val="0"/>
        <w:keepLines w:val="0"/>
        <w:pageBreakBefore w:val="0"/>
        <w:kinsoku/>
        <w:wordWrap/>
        <w:autoSpaceDE/>
        <w:autoSpaceDN/>
        <w:bidi w:val="0"/>
        <w:spacing w:after="0" w:line="600" w:lineRule="exact"/>
        <w:ind w:firstLine="640" w:firstLineChars="200"/>
        <w:textAlignment w:val="auto"/>
        <w:rPr>
          <w:rFonts w:ascii="Times New Roman" w:hAnsi="Times New Roman" w:eastAsia="方正仿宋_GB2312" w:cs="方正仿宋_GB2312"/>
          <w:kern w:val="2"/>
          <w:sz w:val="32"/>
          <w:szCs w:val="32"/>
          <w:lang w:eastAsia="zh-CN"/>
        </w:rPr>
      </w:pPr>
      <w:r>
        <w:rPr>
          <w:rFonts w:hint="eastAsia" w:ascii="Times New Roman" w:hAnsi="Times New Roman" w:eastAsia="方正仿宋_GB2312" w:cs="方正仿宋_GB2312"/>
          <w:kern w:val="2"/>
          <w:sz w:val="32"/>
          <w:szCs w:val="32"/>
          <w:lang w:eastAsia="zh-CN"/>
        </w:rPr>
        <w:t>做好与国家、省级地质灾害防治规划和市国民经济和社会发展规划纲要、国土空间总体规划及水利、交通、应急等专项规划的衔接，落实风险普查成果在国土空间规划中的应用要求；建立规划实施年度评估和动态更新机制，根据省级防治分区矢量成果下达、隐患“汛前汛中汛后”排查和核销情况及时滚动调整，确保规划管用、可落地。</w:t>
      </w:r>
    </w:p>
    <w:p>
      <w:pPr>
        <w:keepNext w:val="0"/>
        <w:keepLines w:val="0"/>
        <w:pageBreakBefore w:val="0"/>
        <w:widowControl w:val="0"/>
        <w:kinsoku/>
        <w:wordWrap/>
        <w:overflowPunct w:val="0"/>
        <w:autoSpaceDE/>
        <w:autoSpaceDN/>
        <w:bidi w:val="0"/>
        <w:adjustRightInd w:val="0"/>
        <w:snapToGrid w:val="0"/>
        <w:spacing w:after="0" w:line="600" w:lineRule="exact"/>
        <w:ind w:firstLine="562" w:firstLineChars="200"/>
        <w:jc w:val="both"/>
        <w:textAlignment w:val="auto"/>
        <w:rPr>
          <w:rFonts w:ascii="Times New Roman" w:hAnsi="Times New Roman" w:eastAsia="楷体_GB2312" w:cs="Times New Roman"/>
          <w:b/>
          <w:bCs/>
          <w:color w:val="000000"/>
          <w:sz w:val="28"/>
          <w:szCs w:val="28"/>
          <w:lang w:eastAsia="zh-CN"/>
        </w:rPr>
      </w:pPr>
      <w:r>
        <w:rPr>
          <w:rFonts w:hint="eastAsia" w:ascii="Times New Roman" w:hAnsi="Times New Roman" w:eastAsia="楷体_GB2312" w:cs="Times New Roman"/>
          <w:b/>
          <w:bCs/>
          <w:color w:val="000000"/>
          <w:sz w:val="28"/>
          <w:szCs w:val="28"/>
          <w:lang w:eastAsia="zh-CN"/>
        </w:rPr>
        <w:t>（五）关于征求意见。</w:t>
      </w:r>
    </w:p>
    <w:p>
      <w:pPr>
        <w:keepNext w:val="0"/>
        <w:keepLines w:val="0"/>
        <w:pageBreakBefore w:val="0"/>
        <w:kinsoku/>
        <w:wordWrap/>
        <w:autoSpaceDE/>
        <w:autoSpaceDN/>
        <w:bidi w:val="0"/>
        <w:spacing w:after="0" w:line="600" w:lineRule="exact"/>
        <w:ind w:firstLine="640" w:firstLineChars="200"/>
        <w:textAlignment w:val="auto"/>
        <w:rPr>
          <w:lang w:eastAsia="zh-CN"/>
        </w:rPr>
      </w:pPr>
      <w:r>
        <w:rPr>
          <w:rFonts w:hint="eastAsia" w:ascii="Times New Roman" w:hAnsi="Times New Roman" w:eastAsia="方正仿宋_GB2312" w:cs="方正仿宋_GB2312"/>
          <w:kern w:val="2"/>
          <w:sz w:val="32"/>
          <w:szCs w:val="32"/>
          <w:lang w:eastAsia="zh-CN"/>
        </w:rPr>
        <w:t>欢迎社会各界通过信函、电子邮件等方式对《规划》（征求意见稿）提出意见建议，征求意见截止时间、反馈渠道及联系方式以本次征求意见公告为准。</w:t>
      </w:r>
    </w:p>
    <w:sectPr>
      <w:footerReference r:id="rId5" w:type="default"/>
      <w:pgSz w:w="11906" w:h="16838"/>
      <w:pgMar w:top="1701" w:right="1417" w:bottom="1701" w:left="141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ＭＳ 明朝">
    <w:altName w:val="Droid Sans Japanese"/>
    <w:panose1 w:val="00000000000000000000"/>
    <w:charset w:val="86"/>
    <w:family w:val="auto"/>
    <w:pitch w:val="default"/>
    <w:sig w:usb0="00000000" w:usb1="00000000" w:usb2="00000000" w:usb3="00000000" w:csb0="00000000" w:csb1="00000000"/>
  </w:font>
  <w:font w:name="Droid Sans Japanese">
    <w:panose1 w:val="020B0502000000000001"/>
    <w:charset w:val="00"/>
    <w:family w:val="auto"/>
    <w:pitch w:val="default"/>
    <w:sig w:usb0="80000000" w:usb1="08070000" w:usb2="00000010" w:usb3="00000000" w:csb0="00000001" w:csb1="00000000"/>
  </w:font>
  <w:font w:name="ＭＳ ゴシック">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ourier">
    <w:altName w:val="Liberation Mono"/>
    <w:panose1 w:val="02070409020205020404"/>
    <w:charset w:val="00"/>
    <w:family w:val="modern"/>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0000000000000000000"/>
    <w:charset w:val="86"/>
    <w:family w:val="auto"/>
    <w:pitch w:val="default"/>
    <w:sig w:usb0="00000000" w:usb1="00000000" w:usb2="00000012" w:usb3="00000000" w:csb0="00040001" w:csb1="00000000"/>
  </w:font>
  <w:font w:name="ＭＳ 明朝">
    <w:altName w:val="Droid Sans Japanese"/>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2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C2CE5"/>
    <w:rsid w:val="00473AEA"/>
    <w:rsid w:val="00575674"/>
    <w:rsid w:val="00AA1D8D"/>
    <w:rsid w:val="00B47730"/>
    <w:rsid w:val="00CB0664"/>
    <w:rsid w:val="00FC693F"/>
    <w:rsid w:val="05E34453"/>
    <w:rsid w:val="1CD37CCF"/>
    <w:rsid w:val="1D1A2C24"/>
    <w:rsid w:val="208A0FEC"/>
    <w:rsid w:val="437B6009"/>
    <w:rsid w:val="5E788302"/>
    <w:rsid w:val="76BF1B76"/>
    <w:rsid w:val="7ACDFCC2"/>
    <w:rsid w:val="7E2B9F2D"/>
    <w:rsid w:val="7FC43BA2"/>
    <w:rsid w:val="ABD92C4B"/>
    <w:rsid w:val="BD57E510"/>
    <w:rsid w:val="ED57163E"/>
    <w:rsid w:val="FAEBA2E5"/>
    <w:rsid w:val="FD9FC492"/>
    <w:rsid w:val="FED9B6C7"/>
    <w:rsid w:val="FF7DAF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5">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pacing w:line="240" w:lineRule="auto"/>
      <w:ind w:left="200" w:leftChars="200" w:firstLine="200"/>
    </w:pPr>
  </w:style>
  <w:style w:type="paragraph" w:styleId="3">
    <w:name w:val="Body Text Indent"/>
    <w:basedOn w:val="1"/>
    <w:qFormat/>
    <w:uiPriority w:val="99"/>
    <w:pPr>
      <w:spacing w:line="360" w:lineRule="auto"/>
      <w:ind w:firstLine="560" w:firstLineChars="200"/>
    </w:pPr>
    <w:rPr>
      <w:kern w:val="32"/>
      <w:sz w:val="28"/>
    </w:rPr>
  </w:style>
  <w:style w:type="paragraph" w:styleId="4">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8"/>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6"/>
    <w:unhideWhenUsed/>
    <w:qFormat/>
    <w:uiPriority w:val="99"/>
    <w:pPr>
      <w:spacing w:after="120"/>
    </w:pPr>
  </w:style>
  <w:style w:type="paragraph" w:styleId="22">
    <w:name w:val="List Number 3"/>
    <w:basedOn w:val="1"/>
    <w:unhideWhenUsed/>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38"/>
    <w:unhideWhenUsed/>
    <w:uiPriority w:val="99"/>
    <w:pPr>
      <w:tabs>
        <w:tab w:val="center" w:pos="4680"/>
        <w:tab w:val="right" w:pos="9360"/>
      </w:tabs>
      <w:spacing w:after="0" w:line="240" w:lineRule="auto"/>
    </w:pPr>
  </w:style>
  <w:style w:type="paragraph" w:styleId="27">
    <w:name w:val="header"/>
    <w:basedOn w:val="1"/>
    <w:link w:val="137"/>
    <w:unhideWhenUsed/>
    <w:uiPriority w:val="99"/>
    <w:pPr>
      <w:tabs>
        <w:tab w:val="center" w:pos="4680"/>
        <w:tab w:val="right" w:pos="9360"/>
      </w:tabs>
      <w:spacing w:after="0" w:line="240" w:lineRule="auto"/>
    </w:pPr>
  </w:style>
  <w:style w:type="paragraph" w:styleId="28">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uiPriority w:val="99"/>
    <w:pPr>
      <w:ind w:left="360" w:hanging="360"/>
      <w:contextualSpacing/>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页眉 Char"/>
    <w:basedOn w:val="134"/>
    <w:link w:val="27"/>
    <w:qFormat/>
    <w:uiPriority w:val="99"/>
  </w:style>
  <w:style w:type="character" w:customStyle="1" w:styleId="138">
    <w:name w:val="页脚 Char"/>
    <w:basedOn w:val="134"/>
    <w:link w:val="26"/>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Char"/>
    <w:basedOn w:val="134"/>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Char"/>
    <w:basedOn w:val="134"/>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Char"/>
    <w:basedOn w:val="134"/>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Char"/>
    <w:basedOn w:val="134"/>
    <w:link w:val="21"/>
    <w:qFormat/>
    <w:uiPriority w:val="99"/>
  </w:style>
  <w:style w:type="character" w:customStyle="1" w:styleId="147">
    <w:name w:val="正文文本 2 Char"/>
    <w:basedOn w:val="134"/>
    <w:link w:val="30"/>
    <w:qFormat/>
    <w:uiPriority w:val="99"/>
  </w:style>
  <w:style w:type="character" w:customStyle="1" w:styleId="148">
    <w:name w:val="正文文本 3 Char"/>
    <w:basedOn w:val="134"/>
    <w:link w:val="19"/>
    <w:qFormat/>
    <w:uiPriority w:val="99"/>
    <w:rPr>
      <w:sz w:val="16"/>
      <w:szCs w:val="16"/>
    </w:rPr>
  </w:style>
  <w:style w:type="character" w:customStyle="1" w:styleId="149">
    <w:name w:val="宏文本 Char"/>
    <w:basedOn w:val="134"/>
    <w:link w:val="4"/>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Char"/>
    <w:basedOn w:val="134"/>
    <w:link w:val="150"/>
    <w:qFormat/>
    <w:uiPriority w:val="29"/>
    <w:rPr>
      <w:i/>
      <w:iCs/>
      <w:color w:val="000000" w:themeColor="text1"/>
      <w14:textFill>
        <w14:solidFill>
          <w14:schemeClr w14:val="tx1"/>
        </w14:solidFill>
      </w14:textFill>
    </w:rPr>
  </w:style>
  <w:style w:type="character" w:customStyle="1" w:styleId="152">
    <w:name w:val="标题 4 Char"/>
    <w:basedOn w:val="134"/>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Char"/>
    <w:basedOn w:val="134"/>
    <w:link w:val="9"/>
    <w:semiHidden/>
    <w:qFormat/>
    <w:uiPriority w:val="9"/>
    <w:rPr>
      <w:rFonts w:asciiTheme="majorHAnsi" w:hAnsiTheme="majorHAnsi" w:eastAsiaTheme="majorEastAsia" w:cstheme="majorBidi"/>
      <w:color w:val="254061" w:themeColor="accent1" w:themeShade="80"/>
    </w:rPr>
  </w:style>
  <w:style w:type="character" w:customStyle="1" w:styleId="154">
    <w:name w:val="标题 6 Char"/>
    <w:basedOn w:val="134"/>
    <w:link w:val="10"/>
    <w:semiHidden/>
    <w:qFormat/>
    <w:uiPriority w:val="9"/>
    <w:rPr>
      <w:rFonts w:asciiTheme="majorHAnsi" w:hAnsiTheme="majorHAnsi" w:eastAsiaTheme="majorEastAsia" w:cstheme="majorBidi"/>
      <w:i/>
      <w:iCs/>
      <w:color w:val="254061" w:themeColor="accent1" w:themeShade="80"/>
    </w:rPr>
  </w:style>
  <w:style w:type="character" w:customStyle="1" w:styleId="155">
    <w:name w:val="标题 7 Char"/>
    <w:basedOn w:val="134"/>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Char"/>
    <w:basedOn w:val="134"/>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Char"/>
    <w:basedOn w:val="134"/>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Char"/>
    <w:basedOn w:val="134"/>
    <w:link w:val="158"/>
    <w:qFormat/>
    <w:uiPriority w:val="30"/>
    <w:rPr>
      <w:b/>
      <w:bCs/>
      <w:i/>
      <w:iCs/>
      <w:color w:val="4F81BD" w:themeColor="accent1"/>
      <w14:textFill>
        <w14:solidFill>
          <w14:schemeClr w14:val="accent1"/>
        </w14:solidFill>
      </w14:textFill>
    </w:rPr>
  </w:style>
  <w:style w:type="character" w:customStyle="1" w:styleId="160">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4"/>
    <w:qFormat/>
    <w:uiPriority w:val="21"/>
    <w:rPr>
      <w:b/>
      <w:bCs/>
      <w:i/>
      <w:iCs/>
      <w:color w:val="4F81BD" w:themeColor="accent1"/>
      <w14:textFill>
        <w14:solidFill>
          <w14:schemeClr w14:val="accent1"/>
        </w14:solidFill>
      </w14:textFill>
    </w:rPr>
  </w:style>
  <w:style w:type="character" w:customStyle="1" w:styleId="162">
    <w:name w:val="不明显参考1"/>
    <w:basedOn w:val="134"/>
    <w:qFormat/>
    <w:uiPriority w:val="31"/>
    <w:rPr>
      <w:smallCaps/>
      <w:color w:val="C0504D" w:themeColor="accent2"/>
      <w:u w:val="single"/>
      <w14:textFill>
        <w14:solidFill>
          <w14:schemeClr w14:val="accent2"/>
        </w14:solidFill>
      </w14:textFill>
    </w:rPr>
  </w:style>
  <w:style w:type="character" w:customStyle="1" w:styleId="163">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4"/>
    <w:qFormat/>
    <w:uiPriority w:val="33"/>
    <w:rPr>
      <w:b/>
      <w:bCs/>
      <w:smallCaps/>
      <w:spacing w:val="5"/>
    </w:rPr>
  </w:style>
  <w:style w:type="paragraph" w:customStyle="1" w:styleId="165">
    <w:name w:val="TOC 标题1"/>
    <w:basedOn w:val="5"/>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5012</Words>
  <Characters>5385</Characters>
  <Lines>39</Lines>
  <Paragraphs>11</Paragraphs>
  <TotalTime>1</TotalTime>
  <ScaleCrop>false</ScaleCrop>
  <LinksUpToDate>false</LinksUpToDate>
  <CharactersWithSpaces>5387</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greatwall</cp:lastModifiedBy>
  <dcterms:modified xsi:type="dcterms:W3CDTF">2026-09-22T10:40:12Z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eyJoZGlkIjoiMDVmOTkzZjk5ODExYjJiMGU0MzRmZDQ2NjA5MDkzMDUiLCJ1c2VySWQiOiIzNzA4NzIwNTgifQ==</vt:lpwstr>
  </property>
  <property fmtid="{D5CDD505-2E9C-101B-9397-08002B2CF9AE}" pid="3" name="KSOProductBuildVer">
    <vt:lpwstr>2052-11.8.2.11625</vt:lpwstr>
  </property>
  <property fmtid="{D5CDD505-2E9C-101B-9397-08002B2CF9AE}" pid="4" name="ICV">
    <vt:lpwstr>2BABDA3FF1DE496DBED5E5C5889BB564_12</vt:lpwstr>
  </property>
</Properties>
</file>