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1A76B">
      <w:pPr>
        <w:keepNext w:val="0"/>
        <w:keepLines w:val="0"/>
        <w:pageBreakBefore w:val="0"/>
        <w:widowControl w:val="0"/>
        <w:shd w:val="solid" w:color="FFFFFF" w:fill="auto"/>
        <w:kinsoku/>
        <w:wordWrap/>
        <w:overflowPunct/>
        <w:topLinePunct/>
        <w:autoSpaceDE/>
        <w:autoSpaceDN/>
        <w:bidi w:val="0"/>
        <w:adjustRightInd/>
        <w:snapToGrid/>
        <w:spacing w:line="576" w:lineRule="exact"/>
        <w:jc w:val="both"/>
        <w:textAlignment w:val="auto"/>
        <w:rPr>
          <w:rFonts w:hint="eastAsia" w:ascii="方正大标宋简体" w:hAnsi="方正大标宋简体" w:eastAsia="方正大标宋简体" w:cs="方正大标宋简体"/>
          <w:b w:val="0"/>
          <w:bCs w:val="0"/>
          <w:spacing w:val="0"/>
          <w:sz w:val="44"/>
          <w:szCs w:val="44"/>
        </w:rPr>
      </w:pPr>
    </w:p>
    <w:p w14:paraId="67AB4910">
      <w:pPr>
        <w:keepNext w:val="0"/>
        <w:keepLines w:val="0"/>
        <w:pageBreakBefore w:val="0"/>
        <w:widowControl w:val="0"/>
        <w:shd w:val="solid" w:color="FFFFFF" w:fill="auto"/>
        <w:kinsoku/>
        <w:wordWrap/>
        <w:overflowPunct/>
        <w:topLinePunct/>
        <w:autoSpaceDE/>
        <w:autoSpaceDN/>
        <w:bidi w:val="0"/>
        <w:adjustRightInd/>
        <w:snapToGrid/>
        <w:spacing w:line="576" w:lineRule="exact"/>
        <w:jc w:val="both"/>
        <w:textAlignment w:val="auto"/>
        <w:rPr>
          <w:rFonts w:hint="eastAsia" w:ascii="方正大标宋简体" w:hAnsi="方正大标宋简体" w:eastAsia="方正大标宋简体" w:cs="方正大标宋简体"/>
          <w:b w:val="0"/>
          <w:bCs w:val="0"/>
          <w:spacing w:val="0"/>
          <w:sz w:val="44"/>
          <w:szCs w:val="44"/>
        </w:rPr>
      </w:pPr>
      <w:bookmarkStart w:id="0" w:name="_GoBack"/>
      <w:bookmarkEnd w:id="0"/>
    </w:p>
    <w:p w14:paraId="7F1A97E0">
      <w:pPr>
        <w:keepNext w:val="0"/>
        <w:keepLines w:val="0"/>
        <w:pageBreakBefore w:val="0"/>
        <w:widowControl w:val="0"/>
        <w:shd w:val="solid" w:color="FFFFFF" w:fill="auto"/>
        <w:kinsoku/>
        <w:wordWrap/>
        <w:overflowPunct/>
        <w:topLinePunct/>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pacing w:val="0"/>
          <w:sz w:val="44"/>
          <w:szCs w:val="44"/>
          <w:lang w:val="en-US" w:eastAsia="zh-CN"/>
        </w:rPr>
      </w:pPr>
      <w:r>
        <w:rPr>
          <w:rFonts w:hint="eastAsia" w:ascii="方正小标宋简体" w:hAnsi="方正小标宋简体" w:eastAsia="方正小标宋简体" w:cs="方正小标宋简体"/>
          <w:b w:val="0"/>
          <w:bCs w:val="0"/>
          <w:spacing w:val="0"/>
          <w:sz w:val="44"/>
          <w:szCs w:val="44"/>
          <w:lang w:val="en-US" w:eastAsia="zh-CN"/>
        </w:rPr>
        <w:t>栾川县人民政府</w:t>
      </w:r>
    </w:p>
    <w:p w14:paraId="0EB7D142">
      <w:pPr>
        <w:pStyle w:val="6"/>
        <w:keepNext w:val="0"/>
        <w:keepLines w:val="0"/>
        <w:pageBreakBefore w:val="0"/>
        <w:widowControl w:val="0"/>
        <w:kinsoku/>
        <w:wordWrap/>
        <w:overflowPunct/>
        <w:topLinePunct w:val="0"/>
        <w:autoSpaceDE/>
        <w:autoSpaceDN/>
        <w:bidi w:val="0"/>
        <w:adjustRightInd/>
        <w:snapToGrid/>
        <w:spacing w:before="0" w:after="0" w:line="600" w:lineRule="exact"/>
        <w:textAlignment w:val="auto"/>
        <w:rPr>
          <w:rFonts w:hint="eastAsia" w:ascii="方正小标宋简体" w:hAnsi="方正小标宋简体" w:eastAsia="方正小标宋简体" w:cs="方正小标宋简体"/>
          <w:b w:val="0"/>
          <w:bCs w:val="0"/>
          <w:spacing w:val="-11"/>
          <w:kern w:val="0"/>
          <w:sz w:val="44"/>
          <w:szCs w:val="44"/>
          <w:lang w:val="en-US" w:eastAsia="zh-CN" w:bidi="ar-SA"/>
        </w:rPr>
      </w:pPr>
      <w:r>
        <w:rPr>
          <w:rFonts w:hint="eastAsia" w:ascii="方正小标宋简体" w:hAnsi="方正小标宋简体" w:eastAsia="方正小标宋简体" w:cs="方正小标宋简体"/>
          <w:b w:val="0"/>
          <w:bCs w:val="0"/>
          <w:spacing w:val="-11"/>
          <w:kern w:val="0"/>
          <w:sz w:val="44"/>
          <w:szCs w:val="44"/>
          <w:lang w:val="en-US" w:eastAsia="zh-CN" w:bidi="ar-SA"/>
        </w:rPr>
        <w:t>关于行政规范性文件清理结果的决定</w:t>
      </w:r>
    </w:p>
    <w:p w14:paraId="61A2B7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栾政〔2026〕9号</w:t>
      </w:r>
    </w:p>
    <w:p w14:paraId="7059B472">
      <w:pPr>
        <w:keepNext w:val="0"/>
        <w:keepLines w:val="0"/>
        <w:pageBreakBefore w:val="0"/>
        <w:widowControl w:val="0"/>
        <w:shd w:val="solid" w:color="FFFFFF" w:fill="auto"/>
        <w:kinsoku/>
        <w:wordWrap/>
        <w:overflowPunct/>
        <w:topLinePunct/>
        <w:autoSpaceDE/>
        <w:autoSpaceDN/>
        <w:bidi w:val="0"/>
        <w:adjustRightInd/>
        <w:snapToGrid/>
        <w:spacing w:line="600" w:lineRule="exact"/>
        <w:jc w:val="center"/>
        <w:textAlignment w:val="auto"/>
        <w:rPr>
          <w:rFonts w:hint="eastAsia" w:ascii="仿宋_GB2312" w:hAnsi="仿宋_GB2312" w:eastAsia="仿宋_GB2312" w:cs="仿宋_GB2312"/>
          <w:b w:val="0"/>
          <w:bCs w:val="0"/>
          <w:spacing w:val="0"/>
          <w:sz w:val="32"/>
          <w:szCs w:val="32"/>
          <w:lang w:val="en-US" w:eastAsia="zh-CN"/>
        </w:rPr>
      </w:pPr>
    </w:p>
    <w:p w14:paraId="0EB8619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各有关单位：</w:t>
      </w:r>
    </w:p>
    <w:p w14:paraId="392BB431">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洛阳市行政规范性文件管理办法</w:t>
      </w:r>
      <w:r>
        <w:rPr>
          <w:rFonts w:hint="eastAsia" w:ascii="仿宋_GB2312" w:hAnsi="仿宋_GB2312" w:eastAsia="仿宋_GB2312" w:cs="仿宋_GB2312"/>
          <w:sz w:val="32"/>
          <w:szCs w:val="32"/>
        </w:rPr>
        <w:t>》</w:t>
      </w:r>
      <w:r>
        <w:rPr>
          <w:rFonts w:hint="eastAsia" w:ascii="仿宋_GB2312" w:hAnsi="仿宋_GB2312" w:eastAsia="仿宋_GB2312" w:cs="仿宋_GB2312"/>
          <w:kern w:val="2"/>
          <w:sz w:val="32"/>
          <w:szCs w:val="32"/>
          <w:lang w:val="en-US" w:eastAsia="zh-CN" w:bidi="ar-SA"/>
        </w:rPr>
        <w:t>（市政府令第126号）有关</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因《栾川县人民政府办公室关于印发栾川县安全生产领域举报奖励实施办法的通知》（栾政办〔2023〕31号）不适应经济社会发展要求、《栾川县人民政府办公室关于划定禁煤区加强禁煤区管理的通知》（栾政办〔2020〕30号）超过五年时效、《栾川县人民政府办公室关于进一步加强农村宅基地审批管理工作的通知》（栾政办〔2021〕8号）与《栾川县人民政府关于大力促进个转企小升规规改股股上市企转新的意见》（栾政〔2022〕10号）所依据的上级政策调整，报经县人民政府同意，</w:t>
      </w:r>
      <w:r>
        <w:rPr>
          <w:rFonts w:hint="eastAsia" w:ascii="仿宋_GB2312" w:hAnsi="仿宋_GB2312" w:eastAsia="仿宋_GB2312" w:cs="仿宋_GB2312"/>
          <w:color w:val="auto"/>
          <w:sz w:val="32"/>
          <w:szCs w:val="32"/>
          <w:lang w:val="en-US" w:eastAsia="zh-CN"/>
        </w:rPr>
        <w:t>现予以废止</w:t>
      </w:r>
      <w:r>
        <w:rPr>
          <w:rFonts w:hint="eastAsia" w:ascii="仿宋_GB2312" w:hAnsi="仿宋_GB2312" w:eastAsia="仿宋_GB2312" w:cs="仿宋_GB2312"/>
          <w:sz w:val="32"/>
          <w:szCs w:val="32"/>
          <w:lang w:val="en-US" w:eastAsia="zh-CN"/>
        </w:rPr>
        <w:t>。</w:t>
      </w:r>
    </w:p>
    <w:p w14:paraId="2401B710">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以上文件自本决定公布之日起不再执行，不得作为行政管理的依据。</w:t>
      </w:r>
    </w:p>
    <w:p w14:paraId="67656D53">
      <w:pPr>
        <w:pStyle w:val="18"/>
        <w:keepNext w:val="0"/>
        <w:keepLines w:val="0"/>
        <w:pageBreakBefore w:val="0"/>
        <w:widowControl w:val="0"/>
        <w:kinsoku/>
        <w:wordWrap/>
        <w:overflowPunct/>
        <w:topLinePunct w:val="0"/>
        <w:bidi w:val="0"/>
        <w:snapToGrid/>
        <w:spacing w:line="600" w:lineRule="exact"/>
        <w:ind w:left="0" w:leftChars="0" w:firstLine="4800" w:firstLineChars="1500"/>
        <w:textAlignment w:val="auto"/>
        <w:rPr>
          <w:rFonts w:hint="eastAsia" w:ascii="仿宋_GB2312" w:hAnsi="仿宋_GB2312" w:eastAsia="仿宋_GB2312" w:cs="仿宋_GB2312"/>
          <w:sz w:val="32"/>
          <w:szCs w:val="32"/>
          <w:lang w:val="en-US" w:eastAsia="zh-CN"/>
        </w:rPr>
      </w:pPr>
    </w:p>
    <w:p w14:paraId="6ABB06CD">
      <w:pPr>
        <w:pStyle w:val="6"/>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textAlignment w:val="auto"/>
        <w:rPr>
          <w:rFonts w:hint="eastAsia" w:ascii="仿宋_GB2312" w:hAnsi="仿宋_GB2312" w:eastAsia="仿宋_GB2312" w:cs="仿宋_GB2312"/>
          <w:b w:val="0"/>
          <w:bCs w:val="0"/>
          <w:i w:val="0"/>
          <w:iCs w:val="0"/>
          <w:caps w:val="0"/>
          <w:color w:val="121212"/>
          <w:spacing w:val="0"/>
          <w:sz w:val="32"/>
          <w:szCs w:val="32"/>
        </w:rPr>
      </w:pPr>
      <w:r>
        <w:rPr>
          <w:rFonts w:hint="eastAsia" w:ascii="仿宋_GB2312" w:hAnsi="仿宋_GB2312" w:eastAsia="仿宋_GB2312" w:cs="仿宋_GB2312"/>
          <w:b w:val="0"/>
          <w:bCs w:val="0"/>
          <w:sz w:val="32"/>
          <w:szCs w:val="32"/>
          <w:lang w:val="en-US" w:eastAsia="zh-CN"/>
        </w:rPr>
        <w:t>附件：1.</w:t>
      </w:r>
      <w:r>
        <w:rPr>
          <w:rFonts w:hint="eastAsia" w:ascii="仿宋_GB2312" w:hAnsi="仿宋_GB2312" w:eastAsia="仿宋_GB2312" w:cs="仿宋_GB2312"/>
          <w:b w:val="0"/>
          <w:bCs w:val="0"/>
          <w:i w:val="0"/>
          <w:iCs w:val="0"/>
          <w:caps w:val="0"/>
          <w:color w:val="121212"/>
          <w:spacing w:val="0"/>
          <w:sz w:val="32"/>
          <w:szCs w:val="32"/>
        </w:rPr>
        <w:t>栾川县人民政府决定废止</w:t>
      </w:r>
      <w:r>
        <w:rPr>
          <w:rFonts w:hint="eastAsia" w:ascii="仿宋_GB2312" w:hAnsi="仿宋_GB2312" w:eastAsia="仿宋_GB2312" w:cs="仿宋_GB2312"/>
          <w:b w:val="0"/>
          <w:bCs w:val="0"/>
          <w:i w:val="0"/>
          <w:iCs w:val="0"/>
          <w:caps w:val="0"/>
          <w:color w:val="121212"/>
          <w:spacing w:val="0"/>
          <w:sz w:val="32"/>
          <w:szCs w:val="32"/>
          <w:lang w:val="en-US" w:eastAsia="zh-CN"/>
        </w:rPr>
        <w:t>/</w:t>
      </w:r>
      <w:r>
        <w:rPr>
          <w:rFonts w:hint="eastAsia" w:ascii="仿宋_GB2312" w:hAnsi="仿宋_GB2312" w:eastAsia="仿宋_GB2312" w:cs="仿宋_GB2312"/>
          <w:b w:val="0"/>
          <w:bCs w:val="0"/>
          <w:i w:val="0"/>
          <w:iCs w:val="0"/>
          <w:caps w:val="0"/>
          <w:color w:val="121212"/>
          <w:spacing w:val="0"/>
          <w:sz w:val="32"/>
          <w:szCs w:val="32"/>
        </w:rPr>
        <w:t>失效的规范性文件目录</w:t>
      </w:r>
    </w:p>
    <w:p w14:paraId="5B14C615">
      <w:pPr>
        <w:keepNext w:val="0"/>
        <w:keepLines w:val="0"/>
        <w:pageBreakBefore w:val="0"/>
        <w:widowControl w:val="0"/>
        <w:kinsoku/>
        <w:wordWrap/>
        <w:overflowPunct/>
        <w:topLinePunct w:val="0"/>
        <w:autoSpaceDE/>
        <w:autoSpaceDN/>
        <w:bidi w:val="0"/>
        <w:adjustRightInd/>
        <w:snapToGrid/>
        <w:spacing w:line="600" w:lineRule="exact"/>
        <w:ind w:firstLine="1628" w:firstLineChars="509"/>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i w:val="0"/>
          <w:iCs w:val="0"/>
          <w:caps w:val="0"/>
          <w:color w:val="121212"/>
          <w:spacing w:val="0"/>
          <w:sz w:val="32"/>
          <w:szCs w:val="32"/>
          <w:lang w:val="en-US" w:eastAsia="zh-CN"/>
        </w:rPr>
        <w:t>2.</w:t>
      </w:r>
      <w:r>
        <w:rPr>
          <w:rFonts w:hint="eastAsia" w:ascii="仿宋_GB2312" w:hAnsi="仿宋_GB2312" w:eastAsia="仿宋_GB2312" w:cs="仿宋_GB2312"/>
          <w:b w:val="0"/>
          <w:bCs w:val="0"/>
          <w:i w:val="0"/>
          <w:iCs w:val="0"/>
          <w:caps w:val="0"/>
          <w:color w:val="121212"/>
          <w:spacing w:val="0"/>
          <w:sz w:val="32"/>
          <w:szCs w:val="32"/>
        </w:rPr>
        <w:t>栾川县人民政府继续有效的规范性文件目录</w:t>
      </w:r>
    </w:p>
    <w:p w14:paraId="02B45B88">
      <w:pPr>
        <w:pStyle w:val="18"/>
        <w:keepNext w:val="0"/>
        <w:keepLines w:val="0"/>
        <w:pageBreakBefore w:val="0"/>
        <w:widowControl w:val="0"/>
        <w:kinsoku/>
        <w:wordWrap/>
        <w:overflowPunct/>
        <w:topLinePunct w:val="0"/>
        <w:bidi w:val="0"/>
        <w:snapToGrid/>
        <w:spacing w:line="600" w:lineRule="exact"/>
        <w:textAlignment w:val="auto"/>
        <w:rPr>
          <w:rFonts w:hint="eastAsia" w:ascii="仿宋_GB2312" w:hAnsi="仿宋_GB2312" w:eastAsia="仿宋_GB2312" w:cs="仿宋_GB2312"/>
          <w:sz w:val="32"/>
          <w:szCs w:val="32"/>
          <w:lang w:val="en-US" w:eastAsia="zh-CN"/>
        </w:rPr>
      </w:pPr>
    </w:p>
    <w:p w14:paraId="798785C3">
      <w:pPr>
        <w:pStyle w:val="6"/>
        <w:keepNext w:val="0"/>
        <w:keepLines w:val="0"/>
        <w:pageBreakBefore w:val="0"/>
        <w:kinsoku/>
        <w:wordWrap/>
        <w:overflowPunct/>
        <w:bidi w:val="0"/>
        <w:snapToGrid/>
        <w:spacing w:line="600" w:lineRule="exact"/>
        <w:textAlignment w:val="auto"/>
        <w:rPr>
          <w:rFonts w:hint="eastAsia"/>
          <w:lang w:val="en-US" w:eastAsia="zh-CN"/>
        </w:rPr>
      </w:pPr>
    </w:p>
    <w:p w14:paraId="400F14BF">
      <w:pPr>
        <w:pStyle w:val="18"/>
        <w:keepNext w:val="0"/>
        <w:keepLines w:val="0"/>
        <w:pageBreakBefore w:val="0"/>
        <w:widowControl w:val="0"/>
        <w:kinsoku/>
        <w:wordWrap/>
        <w:overflowPunct/>
        <w:topLinePunct w:val="0"/>
        <w:autoSpaceDE w:val="0"/>
        <w:autoSpaceDN/>
        <w:bidi w:val="0"/>
        <w:adjustRightInd w:val="0"/>
        <w:snapToGrid/>
        <w:spacing w:line="600" w:lineRule="exact"/>
        <w:ind w:firstLine="5120" w:firstLineChars="1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2026年9月16日</w:t>
      </w:r>
    </w:p>
    <w:p w14:paraId="3CBBA7E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0641547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235574A0">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0867A55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5BA9198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1C26EBC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6FA7974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0AEF4E2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2CF22EC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56417BF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54A7896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0B2B428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27B26D32">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01422F1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47058DEC">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14:paraId="48DB1B99">
      <w:pPr>
        <w:pStyle w:val="18"/>
        <w:keepNext w:val="0"/>
        <w:keepLines w:val="0"/>
        <w:pageBreakBefore w:val="0"/>
        <w:widowControl w:val="0"/>
        <w:kinsoku/>
        <w:wordWrap/>
        <w:overflowPunct/>
        <w:topLinePunct w:val="0"/>
        <w:bidi w:val="0"/>
        <w:snapToGrid/>
        <w:spacing w:line="592"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4EDBEEAD">
      <w:pPr>
        <w:pStyle w:val="6"/>
        <w:keepNext w:val="0"/>
        <w:keepLines w:val="0"/>
        <w:pageBreakBefore w:val="0"/>
        <w:widowControl w:val="0"/>
        <w:kinsoku/>
        <w:wordWrap/>
        <w:overflowPunct/>
        <w:topLinePunct w:val="0"/>
        <w:autoSpaceDE/>
        <w:autoSpaceDN/>
        <w:bidi w:val="0"/>
        <w:adjustRightInd/>
        <w:snapToGrid/>
        <w:spacing w:before="0" w:after="0" w:line="592" w:lineRule="exact"/>
        <w:textAlignment w:val="auto"/>
        <w:rPr>
          <w:rFonts w:hint="eastAsia"/>
          <w:lang w:val="en-US" w:eastAsia="zh-CN"/>
        </w:rPr>
      </w:pPr>
    </w:p>
    <w:p w14:paraId="3FCED602">
      <w:pPr>
        <w:pStyle w:val="6"/>
        <w:keepNext w:val="0"/>
        <w:keepLines w:val="0"/>
        <w:pageBreakBefore w:val="0"/>
        <w:widowControl w:val="0"/>
        <w:kinsoku/>
        <w:wordWrap/>
        <w:overflowPunct/>
        <w:topLinePunct w:val="0"/>
        <w:bidi w:val="0"/>
        <w:snapToGrid/>
        <w:spacing w:before="0" w:after="0" w:line="592" w:lineRule="exact"/>
        <w:textAlignment w:val="auto"/>
        <w:rPr>
          <w:rFonts w:hint="eastAsia" w:ascii="Nimbus Roman" w:hAnsi="Nimbus Roman" w:eastAsia="方正小标宋简体" w:cs="方正小标宋简体"/>
          <w:b w:val="0"/>
          <w:bCs w:val="0"/>
          <w:i w:val="0"/>
          <w:iCs w:val="0"/>
          <w:caps w:val="0"/>
          <w:color w:val="121212"/>
          <w:spacing w:val="0"/>
          <w:sz w:val="44"/>
          <w:szCs w:val="44"/>
        </w:rPr>
      </w:pPr>
      <w:r>
        <w:rPr>
          <w:rFonts w:hint="eastAsia" w:ascii="Nimbus Roman" w:hAnsi="Nimbus Roman" w:eastAsia="方正小标宋简体" w:cs="方正小标宋简体"/>
          <w:b w:val="0"/>
          <w:bCs w:val="0"/>
          <w:i w:val="0"/>
          <w:iCs w:val="0"/>
          <w:caps w:val="0"/>
          <w:color w:val="121212"/>
          <w:spacing w:val="0"/>
          <w:sz w:val="44"/>
          <w:szCs w:val="44"/>
        </w:rPr>
        <w:t>栾川县人民政府决定废止</w:t>
      </w:r>
      <w:r>
        <w:rPr>
          <w:rFonts w:hint="eastAsia" w:ascii="Nimbus Roman" w:hAnsi="Nimbus Roman" w:eastAsia="方正小标宋简体" w:cs="方正小标宋简体"/>
          <w:b w:val="0"/>
          <w:bCs w:val="0"/>
          <w:i w:val="0"/>
          <w:iCs w:val="0"/>
          <w:caps w:val="0"/>
          <w:color w:val="121212"/>
          <w:spacing w:val="0"/>
          <w:sz w:val="44"/>
          <w:szCs w:val="44"/>
          <w:lang w:val="en-US" w:eastAsia="zh-CN"/>
        </w:rPr>
        <w:t>/</w:t>
      </w:r>
      <w:r>
        <w:rPr>
          <w:rFonts w:hint="eastAsia" w:ascii="Nimbus Roman" w:hAnsi="Nimbus Roman" w:eastAsia="方正小标宋简体" w:cs="方正小标宋简体"/>
          <w:b w:val="0"/>
          <w:bCs w:val="0"/>
          <w:i w:val="0"/>
          <w:iCs w:val="0"/>
          <w:caps w:val="0"/>
          <w:color w:val="121212"/>
          <w:spacing w:val="0"/>
          <w:sz w:val="44"/>
          <w:szCs w:val="44"/>
        </w:rPr>
        <w:t>失效的</w:t>
      </w:r>
    </w:p>
    <w:p w14:paraId="410275CA">
      <w:pPr>
        <w:pStyle w:val="6"/>
        <w:keepNext w:val="0"/>
        <w:keepLines w:val="0"/>
        <w:pageBreakBefore w:val="0"/>
        <w:widowControl w:val="0"/>
        <w:kinsoku/>
        <w:wordWrap/>
        <w:overflowPunct/>
        <w:topLinePunct w:val="0"/>
        <w:bidi w:val="0"/>
        <w:snapToGrid/>
        <w:spacing w:before="0" w:after="0" w:line="592" w:lineRule="exact"/>
        <w:textAlignment w:val="auto"/>
        <w:rPr>
          <w:rFonts w:hint="eastAsia" w:ascii="Nimbus Roman" w:hAnsi="Nimbus Roman" w:eastAsia="方正小标宋简体" w:cs="方正小标宋简体"/>
          <w:b w:val="0"/>
          <w:bCs w:val="0"/>
          <w:i w:val="0"/>
          <w:iCs w:val="0"/>
          <w:caps w:val="0"/>
          <w:color w:val="121212"/>
          <w:spacing w:val="0"/>
          <w:sz w:val="44"/>
          <w:szCs w:val="44"/>
        </w:rPr>
      </w:pPr>
      <w:r>
        <w:rPr>
          <w:rFonts w:hint="eastAsia" w:ascii="Nimbus Roman" w:hAnsi="Nimbus Roman" w:eastAsia="方正小标宋简体" w:cs="方正小标宋简体"/>
          <w:b w:val="0"/>
          <w:bCs w:val="0"/>
          <w:i w:val="0"/>
          <w:iCs w:val="0"/>
          <w:caps w:val="0"/>
          <w:color w:val="121212"/>
          <w:spacing w:val="0"/>
          <w:sz w:val="44"/>
          <w:szCs w:val="44"/>
        </w:rPr>
        <w:t>规范性文件目录</w:t>
      </w:r>
    </w:p>
    <w:p w14:paraId="6B86DEAF">
      <w:pPr>
        <w:keepNext w:val="0"/>
        <w:keepLines w:val="0"/>
        <w:pageBreakBefore w:val="0"/>
        <w:widowControl w:val="0"/>
        <w:kinsoku/>
        <w:wordWrap/>
        <w:overflowPunct/>
        <w:topLinePunct w:val="0"/>
        <w:autoSpaceDE/>
        <w:autoSpaceDN/>
        <w:bidi w:val="0"/>
        <w:adjustRightInd/>
        <w:snapToGrid/>
        <w:spacing w:line="592" w:lineRule="exact"/>
        <w:textAlignment w:val="auto"/>
        <w:rPr>
          <w:rFonts w:hint="eastAsia"/>
          <w:lang w:val="en-US" w:eastAsia="zh-CN"/>
        </w:rPr>
      </w:pPr>
    </w:p>
    <w:tbl>
      <w:tblPr>
        <w:tblStyle w:val="9"/>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3597"/>
        <w:gridCol w:w="2805"/>
        <w:gridCol w:w="2044"/>
      </w:tblGrid>
      <w:tr w14:paraId="4EDF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892" w:type="dxa"/>
            <w:noWrap w:val="0"/>
            <w:vAlign w:val="center"/>
          </w:tcPr>
          <w:p w14:paraId="6955A8F3">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黑体" w:hAnsi="黑体" w:eastAsia="黑体" w:cs="黑体"/>
                <w:b w:val="0"/>
                <w:bCs w:val="0"/>
                <w:color w:val="auto"/>
                <w:spacing w:val="0"/>
                <w:w w:val="100"/>
                <w:sz w:val="28"/>
                <w:szCs w:val="28"/>
                <w:vertAlign w:val="baseline"/>
                <w:lang w:val="en-US" w:eastAsia="zh-CN"/>
              </w:rPr>
            </w:pPr>
            <w:r>
              <w:rPr>
                <w:rFonts w:hint="eastAsia" w:ascii="黑体" w:hAnsi="黑体" w:eastAsia="黑体" w:cs="黑体"/>
                <w:b w:val="0"/>
                <w:bCs w:val="0"/>
                <w:color w:val="auto"/>
                <w:spacing w:val="0"/>
                <w:w w:val="100"/>
                <w:sz w:val="28"/>
                <w:szCs w:val="28"/>
                <w:vertAlign w:val="baseline"/>
                <w:lang w:val="en-US" w:eastAsia="zh-CN"/>
              </w:rPr>
              <w:t>序号</w:t>
            </w:r>
          </w:p>
        </w:tc>
        <w:tc>
          <w:tcPr>
            <w:tcW w:w="3597" w:type="dxa"/>
            <w:noWrap w:val="0"/>
            <w:vAlign w:val="center"/>
          </w:tcPr>
          <w:p w14:paraId="28A921FB">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黑体" w:hAnsi="黑体" w:eastAsia="黑体" w:cs="黑体"/>
                <w:b w:val="0"/>
                <w:bCs w:val="0"/>
                <w:color w:val="auto"/>
                <w:spacing w:val="0"/>
                <w:w w:val="100"/>
                <w:sz w:val="28"/>
                <w:szCs w:val="28"/>
                <w:vertAlign w:val="baseline"/>
                <w:lang w:val="en-US" w:eastAsia="zh-CN"/>
              </w:rPr>
            </w:pPr>
            <w:r>
              <w:rPr>
                <w:rFonts w:hint="eastAsia" w:ascii="黑体" w:hAnsi="黑体" w:eastAsia="黑体" w:cs="黑体"/>
                <w:b w:val="0"/>
                <w:bCs w:val="0"/>
                <w:color w:val="auto"/>
                <w:spacing w:val="0"/>
                <w:w w:val="100"/>
                <w:sz w:val="28"/>
                <w:szCs w:val="28"/>
                <w:vertAlign w:val="baseline"/>
                <w:lang w:val="en-US" w:eastAsia="zh-CN"/>
              </w:rPr>
              <w:t>文件名称</w:t>
            </w:r>
          </w:p>
        </w:tc>
        <w:tc>
          <w:tcPr>
            <w:tcW w:w="2805" w:type="dxa"/>
            <w:noWrap w:val="0"/>
            <w:vAlign w:val="center"/>
          </w:tcPr>
          <w:p w14:paraId="0C6C117A">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黑体" w:hAnsi="黑体" w:eastAsia="黑体" w:cs="黑体"/>
                <w:b w:val="0"/>
                <w:bCs w:val="0"/>
                <w:color w:val="auto"/>
                <w:spacing w:val="0"/>
                <w:w w:val="100"/>
                <w:sz w:val="28"/>
                <w:szCs w:val="28"/>
                <w:vertAlign w:val="baseline"/>
                <w:lang w:val="en-US" w:eastAsia="zh-CN"/>
              </w:rPr>
            </w:pPr>
            <w:r>
              <w:rPr>
                <w:rFonts w:hint="eastAsia" w:ascii="黑体" w:hAnsi="黑体" w:eastAsia="黑体" w:cs="黑体"/>
                <w:b w:val="0"/>
                <w:bCs w:val="0"/>
                <w:color w:val="auto"/>
                <w:spacing w:val="0"/>
                <w:w w:val="100"/>
                <w:sz w:val="28"/>
                <w:szCs w:val="28"/>
                <w:vertAlign w:val="baseline"/>
                <w:lang w:val="en-US" w:eastAsia="zh-CN"/>
              </w:rPr>
              <w:t>文号</w:t>
            </w:r>
          </w:p>
        </w:tc>
        <w:tc>
          <w:tcPr>
            <w:tcW w:w="2044" w:type="dxa"/>
            <w:noWrap w:val="0"/>
            <w:vAlign w:val="center"/>
          </w:tcPr>
          <w:p w14:paraId="5DAE2A7E">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黑体" w:hAnsi="黑体" w:eastAsia="黑体" w:cs="黑体"/>
                <w:b w:val="0"/>
                <w:bCs w:val="0"/>
                <w:color w:val="auto"/>
                <w:spacing w:val="0"/>
                <w:w w:val="100"/>
                <w:sz w:val="28"/>
                <w:szCs w:val="28"/>
                <w:vertAlign w:val="baseline"/>
                <w:lang w:val="en-US" w:eastAsia="zh-CN"/>
              </w:rPr>
            </w:pPr>
            <w:r>
              <w:rPr>
                <w:rFonts w:hint="eastAsia" w:ascii="黑体" w:hAnsi="黑体" w:eastAsia="黑体" w:cs="黑体"/>
                <w:b w:val="0"/>
                <w:bCs w:val="0"/>
                <w:color w:val="auto"/>
                <w:spacing w:val="0"/>
                <w:w w:val="100"/>
                <w:sz w:val="28"/>
                <w:szCs w:val="28"/>
                <w:vertAlign w:val="baseline"/>
                <w:lang w:val="en-US" w:eastAsia="zh-CN"/>
              </w:rPr>
              <w:t>理由</w:t>
            </w:r>
          </w:p>
        </w:tc>
      </w:tr>
      <w:tr w14:paraId="02A0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892" w:type="dxa"/>
            <w:shd w:val="clear" w:color="auto" w:fill="auto"/>
            <w:noWrap w:val="0"/>
            <w:vAlign w:val="center"/>
          </w:tcPr>
          <w:p w14:paraId="3E45F01B">
            <w:pPr>
              <w:keepNext w:val="0"/>
              <w:keepLines w:val="0"/>
              <w:pageBreakBefore w:val="0"/>
              <w:widowControl w:val="0"/>
              <w:kinsoku/>
              <w:wordWrap/>
              <w:overflowPunct/>
              <w:topLinePunct w:val="0"/>
              <w:autoSpaceDE/>
              <w:autoSpaceDN/>
              <w:bidi w:val="0"/>
              <w:adjustRightInd/>
              <w:snapToGrid/>
              <w:spacing w:after="0" w:afterLines="0" w:line="500" w:lineRule="exact"/>
              <w:ind w:right="0" w:rightChars="0"/>
              <w:jc w:val="center"/>
              <w:textAlignment w:val="auto"/>
              <w:rPr>
                <w:rFonts w:hint="eastAsia" w:ascii="仿宋_GB2312" w:hAnsi="仿宋_GB2312" w:eastAsia="仿宋_GB2312" w:cs="仿宋_GB2312"/>
                <w:color w:val="auto"/>
                <w:spacing w:val="0"/>
                <w:w w:val="100"/>
                <w:kern w:val="2"/>
                <w:sz w:val="28"/>
                <w:szCs w:val="28"/>
                <w:vertAlign w:val="baseline"/>
                <w:lang w:val="en-US" w:eastAsia="zh-CN" w:bidi="ar-SA"/>
              </w:rPr>
            </w:pPr>
            <w:r>
              <w:rPr>
                <w:rFonts w:hint="eastAsia" w:ascii="仿宋_GB2312" w:hAnsi="仿宋_GB2312" w:eastAsia="仿宋_GB2312" w:cs="仿宋_GB2312"/>
                <w:color w:val="auto"/>
                <w:spacing w:val="0"/>
                <w:w w:val="100"/>
                <w:sz w:val="28"/>
                <w:szCs w:val="28"/>
                <w:vertAlign w:val="baseline"/>
                <w:lang w:val="en-US" w:eastAsia="zh-CN"/>
              </w:rPr>
              <w:t>1</w:t>
            </w:r>
          </w:p>
        </w:tc>
        <w:tc>
          <w:tcPr>
            <w:tcW w:w="3597" w:type="dxa"/>
            <w:shd w:val="clear" w:color="auto" w:fill="auto"/>
            <w:noWrap w:val="0"/>
            <w:vAlign w:val="center"/>
          </w:tcPr>
          <w:p w14:paraId="4DBF9869">
            <w:pPr>
              <w:keepNext w:val="0"/>
              <w:keepLines w:val="0"/>
              <w:pageBreakBefore w:val="0"/>
              <w:widowControl w:val="0"/>
              <w:kinsoku/>
              <w:wordWrap/>
              <w:overflowPunct/>
              <w:topLinePunct w:val="0"/>
              <w:autoSpaceDE/>
              <w:autoSpaceDN/>
              <w:bidi w:val="0"/>
              <w:adjustRightInd/>
              <w:snapToGrid/>
              <w:spacing w:after="0" w:afterLines="0" w:line="500" w:lineRule="exact"/>
              <w:ind w:right="0" w:rightChars="0"/>
              <w:jc w:val="both"/>
              <w:textAlignment w:val="auto"/>
              <w:rPr>
                <w:rFonts w:hint="eastAsia" w:ascii="仿宋_GB2312" w:hAnsi="仿宋_GB2312" w:eastAsia="仿宋_GB2312" w:cs="仿宋_GB2312"/>
                <w:color w:val="auto"/>
                <w:spacing w:val="0"/>
                <w:w w:val="100"/>
                <w:kern w:val="2"/>
                <w:sz w:val="28"/>
                <w:szCs w:val="28"/>
                <w:vertAlign w:val="baseline"/>
                <w:lang w:val="en-US" w:eastAsia="zh-CN" w:bidi="ar-SA"/>
              </w:rPr>
            </w:pPr>
            <w:r>
              <w:rPr>
                <w:rFonts w:hint="eastAsia" w:ascii="仿宋_GB2312" w:hAnsi="仿宋_GB2312" w:eastAsia="仿宋_GB2312" w:cs="仿宋_GB2312"/>
                <w:color w:val="auto"/>
                <w:spacing w:val="0"/>
                <w:w w:val="100"/>
                <w:sz w:val="28"/>
                <w:szCs w:val="28"/>
                <w:vertAlign w:val="baseline"/>
                <w:lang w:val="en-US" w:eastAsia="zh-CN"/>
              </w:rPr>
              <w:t>栾川县人民政府办公室关于印发栾川县安全生产领域举报奖励实施办法的通知</w:t>
            </w:r>
          </w:p>
        </w:tc>
        <w:tc>
          <w:tcPr>
            <w:tcW w:w="2805" w:type="dxa"/>
            <w:shd w:val="clear" w:color="auto" w:fill="auto"/>
            <w:noWrap w:val="0"/>
            <w:vAlign w:val="center"/>
          </w:tcPr>
          <w:p w14:paraId="0FD21BDB">
            <w:pPr>
              <w:keepNext w:val="0"/>
              <w:keepLines w:val="0"/>
              <w:pageBreakBefore w:val="0"/>
              <w:widowControl w:val="0"/>
              <w:kinsoku/>
              <w:wordWrap/>
              <w:overflowPunct/>
              <w:topLinePunct w:val="0"/>
              <w:autoSpaceDE/>
              <w:autoSpaceDN/>
              <w:bidi w:val="0"/>
              <w:adjustRightInd/>
              <w:snapToGrid/>
              <w:spacing w:after="0" w:afterLines="0" w:line="500" w:lineRule="exact"/>
              <w:ind w:right="0" w:rightChars="0"/>
              <w:jc w:val="center"/>
              <w:textAlignment w:val="auto"/>
              <w:rPr>
                <w:rFonts w:hint="eastAsia" w:ascii="仿宋_GB2312" w:hAnsi="仿宋_GB2312" w:eastAsia="仿宋_GB2312" w:cs="仿宋_GB2312"/>
                <w:color w:val="auto"/>
                <w:spacing w:val="0"/>
                <w:w w:val="100"/>
                <w:kern w:val="2"/>
                <w:sz w:val="28"/>
                <w:szCs w:val="28"/>
                <w:vertAlign w:val="baseline"/>
                <w:lang w:val="en-US" w:eastAsia="zh-CN" w:bidi="ar-SA"/>
              </w:rPr>
            </w:pPr>
            <w:r>
              <w:rPr>
                <w:rFonts w:hint="eastAsia" w:ascii="仿宋_GB2312" w:hAnsi="仿宋_GB2312" w:eastAsia="仿宋_GB2312" w:cs="仿宋_GB2312"/>
                <w:color w:val="auto"/>
                <w:spacing w:val="0"/>
                <w:w w:val="100"/>
                <w:sz w:val="28"/>
                <w:szCs w:val="28"/>
                <w:vertAlign w:val="baseline"/>
                <w:lang w:val="en-US" w:eastAsia="zh-CN"/>
              </w:rPr>
              <w:t>栾政办〔2023〕31号</w:t>
            </w:r>
          </w:p>
        </w:tc>
        <w:tc>
          <w:tcPr>
            <w:tcW w:w="2044" w:type="dxa"/>
            <w:shd w:val="clear" w:color="auto" w:fill="auto"/>
            <w:noWrap w:val="0"/>
            <w:vAlign w:val="center"/>
          </w:tcPr>
          <w:p w14:paraId="5D775B90">
            <w:pPr>
              <w:keepNext w:val="0"/>
              <w:keepLines w:val="0"/>
              <w:pageBreakBefore w:val="0"/>
              <w:widowControl w:val="0"/>
              <w:kinsoku/>
              <w:wordWrap/>
              <w:overflowPunct/>
              <w:topLinePunct w:val="0"/>
              <w:autoSpaceDE/>
              <w:autoSpaceDN/>
              <w:bidi w:val="0"/>
              <w:adjustRightInd/>
              <w:snapToGrid/>
              <w:spacing w:after="0" w:afterLines="0" w:line="500" w:lineRule="exact"/>
              <w:ind w:right="0" w:rightChars="0"/>
              <w:jc w:val="center"/>
              <w:textAlignment w:val="auto"/>
              <w:rPr>
                <w:rFonts w:hint="eastAsia" w:ascii="仿宋_GB2312" w:hAnsi="仿宋_GB2312" w:eastAsia="仿宋_GB2312" w:cs="仿宋_GB2312"/>
                <w:color w:val="auto"/>
                <w:spacing w:val="0"/>
                <w:w w:val="100"/>
                <w:kern w:val="2"/>
                <w:sz w:val="28"/>
                <w:szCs w:val="28"/>
                <w:vertAlign w:val="baseline"/>
                <w:lang w:val="en-US" w:eastAsia="zh-CN" w:bidi="ar-SA"/>
              </w:rPr>
            </w:pPr>
            <w:r>
              <w:rPr>
                <w:rFonts w:hint="eastAsia" w:ascii="仿宋_GB2312" w:hAnsi="仿宋_GB2312" w:eastAsia="仿宋_GB2312" w:cs="仿宋_GB2312"/>
                <w:color w:val="auto"/>
                <w:spacing w:val="0"/>
                <w:w w:val="100"/>
                <w:sz w:val="28"/>
                <w:szCs w:val="28"/>
                <w:vertAlign w:val="baseline"/>
                <w:lang w:val="en-US" w:eastAsia="zh-CN"/>
              </w:rPr>
              <w:t>不适应经济社会发展要求</w:t>
            </w:r>
          </w:p>
        </w:tc>
      </w:tr>
      <w:tr w14:paraId="6C48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892" w:type="dxa"/>
            <w:noWrap w:val="0"/>
            <w:vAlign w:val="center"/>
          </w:tcPr>
          <w:p w14:paraId="1E1E0D69">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2</w:t>
            </w:r>
          </w:p>
        </w:tc>
        <w:tc>
          <w:tcPr>
            <w:tcW w:w="3597" w:type="dxa"/>
            <w:noWrap w:val="0"/>
            <w:vAlign w:val="center"/>
          </w:tcPr>
          <w:p w14:paraId="5FE8D387">
            <w:pPr>
              <w:keepNext w:val="0"/>
              <w:keepLines w:val="0"/>
              <w:pageBreakBefore w:val="0"/>
              <w:widowControl w:val="0"/>
              <w:kinsoku/>
              <w:wordWrap/>
              <w:overflowPunct/>
              <w:topLinePunct w:val="0"/>
              <w:autoSpaceDE/>
              <w:autoSpaceDN/>
              <w:bidi w:val="0"/>
              <w:adjustRightInd/>
              <w:snapToGrid/>
              <w:spacing w:after="0" w:afterLines="0" w:line="500" w:lineRule="exact"/>
              <w:ind w:right="0"/>
              <w:jc w:val="both"/>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栾川县人民政府办公室关于划定禁煤区加强禁煤区管理的通知</w:t>
            </w:r>
          </w:p>
        </w:tc>
        <w:tc>
          <w:tcPr>
            <w:tcW w:w="2805" w:type="dxa"/>
            <w:noWrap w:val="0"/>
            <w:vAlign w:val="center"/>
          </w:tcPr>
          <w:p w14:paraId="0B86ED48">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栾政办〔2020〕30号</w:t>
            </w:r>
          </w:p>
        </w:tc>
        <w:tc>
          <w:tcPr>
            <w:tcW w:w="2044" w:type="dxa"/>
            <w:noWrap w:val="0"/>
            <w:vAlign w:val="center"/>
          </w:tcPr>
          <w:p w14:paraId="7687CEF6">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已过有效期</w:t>
            </w:r>
          </w:p>
        </w:tc>
      </w:tr>
      <w:tr w14:paraId="1F78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892" w:type="dxa"/>
            <w:noWrap w:val="0"/>
            <w:vAlign w:val="center"/>
          </w:tcPr>
          <w:p w14:paraId="16A8C70E">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3</w:t>
            </w:r>
          </w:p>
        </w:tc>
        <w:tc>
          <w:tcPr>
            <w:tcW w:w="3597" w:type="dxa"/>
            <w:noWrap w:val="0"/>
            <w:vAlign w:val="center"/>
          </w:tcPr>
          <w:p w14:paraId="7738583F">
            <w:pPr>
              <w:keepNext w:val="0"/>
              <w:keepLines w:val="0"/>
              <w:pageBreakBefore w:val="0"/>
              <w:widowControl w:val="0"/>
              <w:kinsoku/>
              <w:wordWrap/>
              <w:overflowPunct/>
              <w:topLinePunct w:val="0"/>
              <w:autoSpaceDE/>
              <w:autoSpaceDN/>
              <w:bidi w:val="0"/>
              <w:adjustRightInd/>
              <w:snapToGrid/>
              <w:spacing w:after="0" w:afterLines="0" w:line="500" w:lineRule="exact"/>
              <w:ind w:right="0"/>
              <w:jc w:val="both"/>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栾川县人民政府办公室关于进一步加强农村宅基地审批管理工作的通知</w:t>
            </w:r>
          </w:p>
        </w:tc>
        <w:tc>
          <w:tcPr>
            <w:tcW w:w="2805" w:type="dxa"/>
            <w:noWrap w:val="0"/>
            <w:vAlign w:val="center"/>
          </w:tcPr>
          <w:p w14:paraId="2DF79221">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栾政办〔2021〕8号</w:t>
            </w:r>
          </w:p>
        </w:tc>
        <w:tc>
          <w:tcPr>
            <w:tcW w:w="2044" w:type="dxa"/>
            <w:noWrap w:val="0"/>
            <w:vAlign w:val="center"/>
          </w:tcPr>
          <w:p w14:paraId="696D5500">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所依据的上级政策调整</w:t>
            </w:r>
          </w:p>
        </w:tc>
      </w:tr>
      <w:tr w14:paraId="4EBF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892" w:type="dxa"/>
            <w:noWrap w:val="0"/>
            <w:vAlign w:val="center"/>
          </w:tcPr>
          <w:p w14:paraId="72C300EC">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4</w:t>
            </w:r>
          </w:p>
        </w:tc>
        <w:tc>
          <w:tcPr>
            <w:tcW w:w="3597" w:type="dxa"/>
            <w:noWrap w:val="0"/>
            <w:vAlign w:val="center"/>
          </w:tcPr>
          <w:p w14:paraId="1AB714A9">
            <w:pPr>
              <w:keepNext w:val="0"/>
              <w:keepLines w:val="0"/>
              <w:pageBreakBefore w:val="0"/>
              <w:widowControl w:val="0"/>
              <w:kinsoku/>
              <w:wordWrap/>
              <w:overflowPunct/>
              <w:topLinePunct w:val="0"/>
              <w:autoSpaceDE/>
              <w:autoSpaceDN/>
              <w:bidi w:val="0"/>
              <w:adjustRightInd/>
              <w:snapToGrid/>
              <w:spacing w:after="0" w:afterLines="0" w:line="500" w:lineRule="exact"/>
              <w:ind w:right="0"/>
              <w:jc w:val="both"/>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栾川县人民政府关于大力促进个转企小升规规改股股上市企转新的意见</w:t>
            </w:r>
          </w:p>
        </w:tc>
        <w:tc>
          <w:tcPr>
            <w:tcW w:w="2805" w:type="dxa"/>
            <w:noWrap w:val="0"/>
            <w:vAlign w:val="center"/>
          </w:tcPr>
          <w:p w14:paraId="50418F3B">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栾政〔2022〕10号</w:t>
            </w:r>
          </w:p>
        </w:tc>
        <w:tc>
          <w:tcPr>
            <w:tcW w:w="2044" w:type="dxa"/>
            <w:noWrap w:val="0"/>
            <w:vAlign w:val="center"/>
          </w:tcPr>
          <w:p w14:paraId="46F75E4E">
            <w:pPr>
              <w:keepNext w:val="0"/>
              <w:keepLines w:val="0"/>
              <w:pageBreakBefore w:val="0"/>
              <w:widowControl w:val="0"/>
              <w:kinsoku/>
              <w:wordWrap/>
              <w:overflowPunct/>
              <w:topLinePunct w:val="0"/>
              <w:autoSpaceDE/>
              <w:autoSpaceDN/>
              <w:bidi w:val="0"/>
              <w:adjustRightInd/>
              <w:snapToGrid/>
              <w:spacing w:after="0" w:afterLines="0" w:line="500" w:lineRule="exact"/>
              <w:ind w:right="0"/>
              <w:jc w:val="center"/>
              <w:textAlignment w:val="auto"/>
              <w:rPr>
                <w:rFonts w:hint="eastAsia" w:ascii="仿宋_GB2312" w:hAnsi="仿宋_GB2312" w:eastAsia="仿宋_GB2312" w:cs="仿宋_GB2312"/>
                <w:color w:val="auto"/>
                <w:spacing w:val="0"/>
                <w:w w:val="100"/>
                <w:sz w:val="28"/>
                <w:szCs w:val="28"/>
                <w:vertAlign w:val="baseline"/>
                <w:lang w:val="en-US" w:eastAsia="zh-CN"/>
              </w:rPr>
            </w:pPr>
            <w:r>
              <w:rPr>
                <w:rFonts w:hint="eastAsia" w:ascii="仿宋_GB2312" w:hAnsi="仿宋_GB2312" w:eastAsia="仿宋_GB2312" w:cs="仿宋_GB2312"/>
                <w:color w:val="auto"/>
                <w:spacing w:val="0"/>
                <w:w w:val="100"/>
                <w:sz w:val="28"/>
                <w:szCs w:val="28"/>
                <w:vertAlign w:val="baseline"/>
                <w:lang w:val="en-US" w:eastAsia="zh-CN"/>
              </w:rPr>
              <w:t>所依据的上级政策调整</w:t>
            </w:r>
          </w:p>
        </w:tc>
      </w:tr>
    </w:tbl>
    <w:p w14:paraId="4F9F121C">
      <w:pPr>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sz w:val="32"/>
          <w:szCs w:val="32"/>
          <w:lang w:val="en-US" w:eastAsia="zh-CN"/>
        </w:rPr>
      </w:pPr>
    </w:p>
    <w:p w14:paraId="3ED45184">
      <w:pPr>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sz w:val="32"/>
          <w:szCs w:val="32"/>
          <w:lang w:val="en-US" w:eastAsia="zh-CN"/>
        </w:rPr>
      </w:pPr>
    </w:p>
    <w:p w14:paraId="05996FC9">
      <w:pPr>
        <w:pStyle w:val="18"/>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3BD55008">
      <w:pPr>
        <w:pStyle w:val="6"/>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lang w:val="en-US" w:eastAsia="zh-CN"/>
        </w:rPr>
      </w:pPr>
    </w:p>
    <w:p w14:paraId="72C7F8DD">
      <w:pPr>
        <w:pStyle w:val="6"/>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Nimbus Roman" w:hAnsi="Nimbus Roman" w:eastAsia="方正小标宋简体" w:cs="方正小标宋简体"/>
          <w:b w:val="0"/>
          <w:bCs w:val="0"/>
          <w:i w:val="0"/>
          <w:iCs w:val="0"/>
          <w:caps w:val="0"/>
          <w:color w:val="121212"/>
          <w:spacing w:val="0"/>
          <w:sz w:val="44"/>
          <w:szCs w:val="44"/>
        </w:rPr>
      </w:pPr>
      <w:r>
        <w:rPr>
          <w:rFonts w:hint="eastAsia" w:ascii="Nimbus Roman" w:hAnsi="Nimbus Roman" w:eastAsia="方正小标宋简体" w:cs="方正小标宋简体"/>
          <w:b w:val="0"/>
          <w:bCs w:val="0"/>
          <w:i w:val="0"/>
          <w:iCs w:val="0"/>
          <w:caps w:val="0"/>
          <w:color w:val="121212"/>
          <w:spacing w:val="0"/>
          <w:sz w:val="44"/>
          <w:szCs w:val="44"/>
        </w:rPr>
        <w:t>栾川县人民政府继续有效的规范性文件目录</w:t>
      </w:r>
    </w:p>
    <w:p w14:paraId="60F05DC7">
      <w:pPr>
        <w:keepNext w:val="0"/>
        <w:keepLines w:val="0"/>
        <w:pageBreakBefore w:val="0"/>
        <w:widowControl w:val="0"/>
        <w:kinsoku/>
        <w:wordWrap/>
        <w:overflowPunct/>
        <w:topLinePunct w:val="0"/>
        <w:bidi w:val="0"/>
        <w:snapToGrid/>
        <w:spacing w:line="560" w:lineRule="exact"/>
        <w:textAlignment w:val="auto"/>
        <w:rPr>
          <w:rFonts w:hint="eastAsia"/>
          <w:lang w:val="en-US" w:eastAsia="zh-CN"/>
        </w:rPr>
      </w:pPr>
    </w:p>
    <w:tbl>
      <w:tblPr>
        <w:tblStyle w:val="9"/>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702"/>
        <w:gridCol w:w="5986"/>
        <w:gridCol w:w="2583"/>
      </w:tblGrid>
      <w:tr w14:paraId="0B98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75" w:hRule="atLeast"/>
          <w:jc w:val="center"/>
        </w:trPr>
        <w:tc>
          <w:tcPr>
            <w:tcW w:w="702" w:type="dxa"/>
            <w:noWrap w:val="0"/>
            <w:vAlign w:val="center"/>
          </w:tcPr>
          <w:p w14:paraId="0949CCC6">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黑体" w:hAnsi="黑体" w:eastAsia="黑体" w:cs="黑体"/>
                <w:color w:val="auto"/>
                <w:spacing w:val="0"/>
                <w:w w:val="100"/>
                <w:sz w:val="24"/>
                <w:szCs w:val="24"/>
                <w:vertAlign w:val="baseline"/>
                <w:lang w:val="en-US" w:eastAsia="zh-CN"/>
              </w:rPr>
            </w:pPr>
            <w:r>
              <w:rPr>
                <w:rFonts w:hint="eastAsia" w:ascii="黑体" w:hAnsi="黑体" w:eastAsia="黑体" w:cs="黑体"/>
                <w:color w:val="auto"/>
                <w:spacing w:val="0"/>
                <w:w w:val="100"/>
                <w:sz w:val="24"/>
                <w:szCs w:val="24"/>
                <w:vertAlign w:val="baseline"/>
                <w:lang w:val="en-US" w:eastAsia="zh-CN"/>
              </w:rPr>
              <w:t>序号</w:t>
            </w:r>
          </w:p>
        </w:tc>
        <w:tc>
          <w:tcPr>
            <w:tcW w:w="5986" w:type="dxa"/>
            <w:noWrap w:val="0"/>
            <w:vAlign w:val="center"/>
          </w:tcPr>
          <w:p w14:paraId="50907EBA">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黑体" w:hAnsi="黑体" w:eastAsia="黑体" w:cs="黑体"/>
                <w:color w:val="auto"/>
                <w:spacing w:val="0"/>
                <w:w w:val="100"/>
                <w:sz w:val="24"/>
                <w:szCs w:val="24"/>
                <w:vertAlign w:val="baseline"/>
                <w:lang w:val="en-US" w:eastAsia="zh-CN"/>
              </w:rPr>
            </w:pPr>
            <w:r>
              <w:rPr>
                <w:rFonts w:hint="eastAsia" w:ascii="黑体" w:hAnsi="黑体" w:eastAsia="黑体" w:cs="黑体"/>
                <w:color w:val="auto"/>
                <w:spacing w:val="0"/>
                <w:w w:val="100"/>
                <w:sz w:val="24"/>
                <w:szCs w:val="24"/>
                <w:vertAlign w:val="baseline"/>
                <w:lang w:val="en-US" w:eastAsia="zh-CN"/>
              </w:rPr>
              <w:t>文件名称</w:t>
            </w:r>
          </w:p>
        </w:tc>
        <w:tc>
          <w:tcPr>
            <w:tcW w:w="2583" w:type="dxa"/>
            <w:noWrap w:val="0"/>
            <w:vAlign w:val="center"/>
          </w:tcPr>
          <w:p w14:paraId="2316FF82">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黑体" w:hAnsi="黑体" w:eastAsia="黑体" w:cs="黑体"/>
                <w:color w:val="auto"/>
                <w:spacing w:val="0"/>
                <w:w w:val="100"/>
                <w:sz w:val="24"/>
                <w:szCs w:val="24"/>
                <w:vertAlign w:val="baseline"/>
                <w:lang w:val="en-US" w:eastAsia="zh-CN"/>
              </w:rPr>
            </w:pPr>
            <w:r>
              <w:rPr>
                <w:rFonts w:hint="eastAsia" w:ascii="黑体" w:hAnsi="黑体" w:eastAsia="黑体" w:cs="黑体"/>
                <w:color w:val="auto"/>
                <w:spacing w:val="0"/>
                <w:w w:val="100"/>
                <w:sz w:val="24"/>
                <w:szCs w:val="24"/>
                <w:vertAlign w:val="baseline"/>
                <w:lang w:val="en-US" w:eastAsia="zh-CN"/>
              </w:rPr>
              <w:t>文号</w:t>
            </w:r>
          </w:p>
        </w:tc>
      </w:tr>
      <w:tr w14:paraId="1EAF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12534D06">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1</w:t>
            </w:r>
          </w:p>
        </w:tc>
        <w:tc>
          <w:tcPr>
            <w:tcW w:w="5986" w:type="dxa"/>
            <w:noWrap w:val="0"/>
            <w:vAlign w:val="center"/>
          </w:tcPr>
          <w:p w14:paraId="265130FC">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栾川县人民政府关于在市场监管领域全面推行部门联合“双随机、一公开”监管的实施意见</w:t>
            </w:r>
          </w:p>
        </w:tc>
        <w:tc>
          <w:tcPr>
            <w:tcW w:w="2583" w:type="dxa"/>
            <w:noWrap w:val="0"/>
            <w:vAlign w:val="center"/>
          </w:tcPr>
          <w:p w14:paraId="71705C7E">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栾政〔2020〕9号</w:t>
            </w:r>
          </w:p>
        </w:tc>
      </w:tr>
      <w:tr w14:paraId="7833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6F9A3C3D">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2</w:t>
            </w:r>
          </w:p>
        </w:tc>
        <w:tc>
          <w:tcPr>
            <w:tcW w:w="5986" w:type="dxa"/>
            <w:noWrap w:val="0"/>
            <w:vAlign w:val="center"/>
          </w:tcPr>
          <w:p w14:paraId="7F72D404">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栾川县人民政府关于划定高污染燃料禁燃区及强化管理的通告</w:t>
            </w:r>
          </w:p>
        </w:tc>
        <w:tc>
          <w:tcPr>
            <w:tcW w:w="2583" w:type="dxa"/>
            <w:noWrap w:val="0"/>
            <w:vAlign w:val="center"/>
          </w:tcPr>
          <w:p w14:paraId="181B0ED3">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栾政通〔2021〕5号</w:t>
            </w:r>
          </w:p>
        </w:tc>
      </w:tr>
      <w:tr w14:paraId="5AC34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6033197F">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3</w:t>
            </w:r>
          </w:p>
        </w:tc>
        <w:tc>
          <w:tcPr>
            <w:tcW w:w="5986" w:type="dxa"/>
            <w:noWrap w:val="0"/>
            <w:vAlign w:val="center"/>
          </w:tcPr>
          <w:p w14:paraId="632E14E2">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栾川县人民政府办公室关于印发栾川县市政消火栓建设管理办法的通知</w:t>
            </w:r>
          </w:p>
        </w:tc>
        <w:tc>
          <w:tcPr>
            <w:tcW w:w="2583" w:type="dxa"/>
            <w:noWrap w:val="0"/>
            <w:vAlign w:val="center"/>
          </w:tcPr>
          <w:p w14:paraId="4E659976">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栾政办〔2022〕49号</w:t>
            </w:r>
          </w:p>
        </w:tc>
      </w:tr>
      <w:tr w14:paraId="49CF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1837DEB5">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4</w:t>
            </w:r>
          </w:p>
        </w:tc>
        <w:tc>
          <w:tcPr>
            <w:tcW w:w="5986" w:type="dxa"/>
            <w:noWrap w:val="0"/>
            <w:vAlign w:val="center"/>
          </w:tcPr>
          <w:p w14:paraId="36CC3A84">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栾川县人民政府关于印发栾川县优化生育政策促进人口长期均衡发展实施方案的通知</w:t>
            </w:r>
          </w:p>
        </w:tc>
        <w:tc>
          <w:tcPr>
            <w:tcW w:w="2583" w:type="dxa"/>
            <w:noWrap w:val="0"/>
            <w:vAlign w:val="center"/>
          </w:tcPr>
          <w:p w14:paraId="3777BF05">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栾政〔2023〕18号</w:t>
            </w:r>
          </w:p>
        </w:tc>
      </w:tr>
      <w:tr w14:paraId="46B3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90" w:hRule="exact"/>
          <w:jc w:val="center"/>
        </w:trPr>
        <w:tc>
          <w:tcPr>
            <w:tcW w:w="702" w:type="dxa"/>
            <w:noWrap w:val="0"/>
            <w:vAlign w:val="center"/>
          </w:tcPr>
          <w:p w14:paraId="3B7DC852">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5</w:t>
            </w:r>
          </w:p>
        </w:tc>
        <w:tc>
          <w:tcPr>
            <w:tcW w:w="5986" w:type="dxa"/>
            <w:noWrap w:val="0"/>
            <w:vAlign w:val="center"/>
          </w:tcPr>
          <w:p w14:paraId="3082CD7C">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栾川县人民政府关于公布规范性文件清理结果的决定</w:t>
            </w:r>
          </w:p>
        </w:tc>
        <w:tc>
          <w:tcPr>
            <w:tcW w:w="2583" w:type="dxa"/>
            <w:noWrap w:val="0"/>
            <w:vAlign w:val="center"/>
          </w:tcPr>
          <w:p w14:paraId="3382FEA6">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栾政〔2024〕12号</w:t>
            </w:r>
          </w:p>
        </w:tc>
      </w:tr>
      <w:tr w14:paraId="0F56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331270D8">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6</w:t>
            </w:r>
          </w:p>
        </w:tc>
        <w:tc>
          <w:tcPr>
            <w:tcW w:w="5986" w:type="dxa"/>
            <w:noWrap w:val="0"/>
            <w:vAlign w:val="center"/>
          </w:tcPr>
          <w:p w14:paraId="6A03337E">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栾川县人民政府办公室关于印发栾川县全面推进地方政府专职消防队伍建设发展实施方案的通知</w:t>
            </w:r>
          </w:p>
        </w:tc>
        <w:tc>
          <w:tcPr>
            <w:tcW w:w="2583" w:type="dxa"/>
            <w:noWrap w:val="0"/>
            <w:vAlign w:val="center"/>
          </w:tcPr>
          <w:p w14:paraId="324F57C1">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栾政办〔2025〕19号</w:t>
            </w:r>
          </w:p>
        </w:tc>
      </w:tr>
      <w:tr w14:paraId="33984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2E97B5C7">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7</w:t>
            </w:r>
          </w:p>
        </w:tc>
        <w:tc>
          <w:tcPr>
            <w:tcW w:w="5986" w:type="dxa"/>
            <w:noWrap w:val="0"/>
            <w:vAlign w:val="center"/>
          </w:tcPr>
          <w:p w14:paraId="4C95ACED">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栾川县人民政府办公室关于印发栾川县城市基础设施配套费征收管理办法的通知</w:t>
            </w:r>
          </w:p>
        </w:tc>
        <w:tc>
          <w:tcPr>
            <w:tcW w:w="2583" w:type="dxa"/>
            <w:noWrap w:val="0"/>
            <w:vAlign w:val="center"/>
          </w:tcPr>
          <w:p w14:paraId="17621EB1">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栾政办〔2025〕22号</w:t>
            </w:r>
          </w:p>
        </w:tc>
      </w:tr>
      <w:tr w14:paraId="1F22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59" w:hRule="exact"/>
          <w:jc w:val="center"/>
        </w:trPr>
        <w:tc>
          <w:tcPr>
            <w:tcW w:w="702" w:type="dxa"/>
            <w:noWrap w:val="0"/>
            <w:vAlign w:val="center"/>
          </w:tcPr>
          <w:p w14:paraId="62804502">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8</w:t>
            </w:r>
          </w:p>
        </w:tc>
        <w:tc>
          <w:tcPr>
            <w:tcW w:w="5986" w:type="dxa"/>
            <w:noWrap w:val="0"/>
            <w:vAlign w:val="center"/>
          </w:tcPr>
          <w:p w14:paraId="2D619448">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栾川县人民政府关于发布野生动物禁猎区、禁猎期的通告</w:t>
            </w:r>
          </w:p>
        </w:tc>
        <w:tc>
          <w:tcPr>
            <w:tcW w:w="2583" w:type="dxa"/>
            <w:noWrap w:val="0"/>
            <w:vAlign w:val="center"/>
          </w:tcPr>
          <w:p w14:paraId="2ACB0087">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栾政通〔2025〕16号</w:t>
            </w:r>
          </w:p>
        </w:tc>
      </w:tr>
      <w:tr w14:paraId="7FE8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6A63BC38">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9</w:t>
            </w:r>
          </w:p>
        </w:tc>
        <w:tc>
          <w:tcPr>
            <w:tcW w:w="5986" w:type="dxa"/>
            <w:noWrap w:val="0"/>
            <w:vAlign w:val="center"/>
          </w:tcPr>
          <w:p w14:paraId="54FBABE1">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栾川县人民政府办公室关于印发栾川县进一步推进新能源汽车推广应用及基础设施建设指导方案的</w:t>
            </w:r>
          </w:p>
          <w:p w14:paraId="32326C92">
            <w:pPr>
              <w:keepNext w:val="0"/>
              <w:keepLines w:val="0"/>
              <w:pageBreakBefore w:val="0"/>
              <w:widowControl w:val="0"/>
              <w:kinsoku/>
              <w:wordWrap/>
              <w:overflowPunct/>
              <w:topLinePunct w:val="0"/>
              <w:autoSpaceDE/>
              <w:autoSpaceDN/>
              <w:bidi w:val="0"/>
              <w:adjustRightInd/>
              <w:snapToGrid/>
              <w:spacing w:after="0" w:afterLines="0" w:line="360" w:lineRule="exact"/>
              <w:ind w:right="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通知</w:t>
            </w:r>
          </w:p>
        </w:tc>
        <w:tc>
          <w:tcPr>
            <w:tcW w:w="2583" w:type="dxa"/>
            <w:noWrap w:val="0"/>
            <w:vAlign w:val="center"/>
          </w:tcPr>
          <w:p w14:paraId="4FD6499E">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栾政办〔2025〕7号</w:t>
            </w:r>
          </w:p>
        </w:tc>
      </w:tr>
      <w:tr w14:paraId="0C51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2C772DBD">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10</w:t>
            </w:r>
          </w:p>
        </w:tc>
        <w:tc>
          <w:tcPr>
            <w:tcW w:w="5986" w:type="dxa"/>
            <w:noWrap w:val="0"/>
            <w:vAlign w:val="center"/>
          </w:tcPr>
          <w:p w14:paraId="7AEFB076">
            <w:pPr>
              <w:keepNext w:val="0"/>
              <w:keepLines w:val="0"/>
              <w:pageBreakBefore w:val="0"/>
              <w:widowControl w:val="0"/>
              <w:kinsoku/>
              <w:wordWrap/>
              <w:overflowPunct/>
              <w:topLinePunct w:val="0"/>
              <w:autoSpaceDE/>
              <w:autoSpaceDN/>
              <w:bidi w:val="0"/>
              <w:adjustRightInd/>
              <w:snapToGrid/>
              <w:spacing w:after="0" w:afterLines="0" w:line="360" w:lineRule="exact"/>
              <w:ind w:right="0" w:rightChars="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栾川县人民政府关于印发栾川县工程建设项目审批制度改革实施方案的通知</w:t>
            </w:r>
          </w:p>
        </w:tc>
        <w:tc>
          <w:tcPr>
            <w:tcW w:w="2583" w:type="dxa"/>
            <w:noWrap w:val="0"/>
            <w:vAlign w:val="center"/>
          </w:tcPr>
          <w:p w14:paraId="7671DE90">
            <w:pPr>
              <w:keepNext w:val="0"/>
              <w:keepLines w:val="0"/>
              <w:pageBreakBefore w:val="0"/>
              <w:widowControl w:val="0"/>
              <w:kinsoku/>
              <w:wordWrap/>
              <w:overflowPunct/>
              <w:topLinePunct w:val="0"/>
              <w:autoSpaceDE/>
              <w:autoSpaceDN/>
              <w:bidi w:val="0"/>
              <w:adjustRightInd/>
              <w:snapToGrid/>
              <w:spacing w:after="0" w:afterLines="0" w:line="360" w:lineRule="exact"/>
              <w:ind w:right="0" w:rightChars="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栾政〔2019〕11号</w:t>
            </w:r>
          </w:p>
        </w:tc>
      </w:tr>
      <w:tr w14:paraId="371C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94" w:hRule="exact"/>
          <w:jc w:val="center"/>
        </w:trPr>
        <w:tc>
          <w:tcPr>
            <w:tcW w:w="702" w:type="dxa"/>
            <w:noWrap w:val="0"/>
            <w:vAlign w:val="center"/>
          </w:tcPr>
          <w:p w14:paraId="2350042D">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11</w:t>
            </w:r>
          </w:p>
        </w:tc>
        <w:tc>
          <w:tcPr>
            <w:tcW w:w="5986" w:type="dxa"/>
            <w:noWrap w:val="0"/>
            <w:vAlign w:val="center"/>
          </w:tcPr>
          <w:p w14:paraId="2AC8D173">
            <w:pPr>
              <w:keepNext w:val="0"/>
              <w:keepLines w:val="0"/>
              <w:pageBreakBefore w:val="0"/>
              <w:widowControl w:val="0"/>
              <w:kinsoku/>
              <w:wordWrap/>
              <w:overflowPunct/>
              <w:topLinePunct w:val="0"/>
              <w:autoSpaceDE/>
              <w:autoSpaceDN/>
              <w:bidi w:val="0"/>
              <w:adjustRightInd/>
              <w:snapToGrid/>
              <w:spacing w:after="0" w:afterLines="0" w:line="360" w:lineRule="exact"/>
              <w:ind w:right="0" w:rightChars="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栾川县人民政府办公室关于印发栾川县“中国天然氧吧”品牌标志使用管理规定（试行）的通知</w:t>
            </w:r>
          </w:p>
        </w:tc>
        <w:tc>
          <w:tcPr>
            <w:tcW w:w="2583" w:type="dxa"/>
            <w:noWrap w:val="0"/>
            <w:vAlign w:val="center"/>
          </w:tcPr>
          <w:p w14:paraId="02C80B34">
            <w:pPr>
              <w:keepNext w:val="0"/>
              <w:keepLines w:val="0"/>
              <w:pageBreakBefore w:val="0"/>
              <w:widowControl w:val="0"/>
              <w:kinsoku/>
              <w:wordWrap/>
              <w:overflowPunct/>
              <w:topLinePunct w:val="0"/>
              <w:autoSpaceDE/>
              <w:autoSpaceDN/>
              <w:bidi w:val="0"/>
              <w:adjustRightInd/>
              <w:snapToGrid/>
              <w:spacing w:after="0" w:afterLines="0" w:line="360" w:lineRule="exact"/>
              <w:ind w:right="0" w:rightChars="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栾政办〔2026〕5号</w:t>
            </w:r>
          </w:p>
        </w:tc>
      </w:tr>
      <w:tr w14:paraId="1B20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90" w:hRule="exact"/>
          <w:jc w:val="center"/>
        </w:trPr>
        <w:tc>
          <w:tcPr>
            <w:tcW w:w="702" w:type="dxa"/>
            <w:noWrap w:val="0"/>
            <w:vAlign w:val="center"/>
          </w:tcPr>
          <w:p w14:paraId="7AF88E3F">
            <w:pPr>
              <w:keepNext w:val="0"/>
              <w:keepLines w:val="0"/>
              <w:pageBreakBefore w:val="0"/>
              <w:widowControl w:val="0"/>
              <w:kinsoku/>
              <w:wordWrap/>
              <w:overflowPunct/>
              <w:topLinePunct w:val="0"/>
              <w:autoSpaceDE/>
              <w:autoSpaceDN/>
              <w:bidi w:val="0"/>
              <w:adjustRightInd/>
              <w:snapToGrid/>
              <w:spacing w:after="0" w:afterLines="0" w:line="360" w:lineRule="exact"/>
              <w:ind w:right="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12</w:t>
            </w:r>
          </w:p>
        </w:tc>
        <w:tc>
          <w:tcPr>
            <w:tcW w:w="5986" w:type="dxa"/>
            <w:noWrap w:val="0"/>
            <w:vAlign w:val="center"/>
          </w:tcPr>
          <w:p w14:paraId="5DA22164">
            <w:pPr>
              <w:keepNext w:val="0"/>
              <w:keepLines w:val="0"/>
              <w:pageBreakBefore w:val="0"/>
              <w:widowControl w:val="0"/>
              <w:kinsoku/>
              <w:wordWrap/>
              <w:overflowPunct/>
              <w:topLinePunct w:val="0"/>
              <w:autoSpaceDE/>
              <w:autoSpaceDN/>
              <w:bidi w:val="0"/>
              <w:adjustRightInd/>
              <w:snapToGrid/>
              <w:spacing w:after="0" w:afterLines="0" w:line="360" w:lineRule="exact"/>
              <w:ind w:right="0" w:rightChars="0"/>
              <w:jc w:val="both"/>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栾川县人民政府关于修订清理规范性文件的决定</w:t>
            </w:r>
          </w:p>
        </w:tc>
        <w:tc>
          <w:tcPr>
            <w:tcW w:w="2583" w:type="dxa"/>
            <w:noWrap w:val="0"/>
            <w:vAlign w:val="center"/>
          </w:tcPr>
          <w:p w14:paraId="2539E521">
            <w:pPr>
              <w:keepNext w:val="0"/>
              <w:keepLines w:val="0"/>
              <w:pageBreakBefore w:val="0"/>
              <w:widowControl w:val="0"/>
              <w:kinsoku/>
              <w:wordWrap/>
              <w:overflowPunct/>
              <w:topLinePunct w:val="0"/>
              <w:autoSpaceDE/>
              <w:autoSpaceDN/>
              <w:bidi w:val="0"/>
              <w:adjustRightInd/>
              <w:snapToGrid/>
              <w:spacing w:after="0" w:afterLines="0" w:line="360" w:lineRule="exact"/>
              <w:ind w:right="0" w:rightChars="0"/>
              <w:jc w:val="center"/>
              <w:textAlignment w:val="auto"/>
              <w:rPr>
                <w:rFonts w:hint="eastAsia" w:ascii="仿宋_GB2312" w:hAnsi="仿宋_GB2312" w:eastAsia="仿宋_GB2312" w:cs="仿宋_GB2312"/>
                <w:color w:val="auto"/>
                <w:spacing w:val="0"/>
                <w:w w:val="100"/>
                <w:sz w:val="24"/>
                <w:szCs w:val="24"/>
                <w:vertAlign w:val="baseline"/>
                <w:lang w:val="en-US" w:eastAsia="zh-CN"/>
              </w:rPr>
            </w:pPr>
            <w:r>
              <w:rPr>
                <w:rFonts w:hint="eastAsia" w:ascii="仿宋_GB2312" w:hAnsi="仿宋_GB2312" w:eastAsia="仿宋_GB2312" w:cs="仿宋_GB2312"/>
                <w:color w:val="auto"/>
                <w:spacing w:val="0"/>
                <w:w w:val="100"/>
                <w:sz w:val="24"/>
                <w:szCs w:val="24"/>
                <w:vertAlign w:val="baseline"/>
                <w:lang w:val="en-US" w:eastAsia="zh-CN"/>
              </w:rPr>
              <w:t>栾政〔2026〕2号</w:t>
            </w:r>
          </w:p>
        </w:tc>
      </w:tr>
    </w:tbl>
    <w:p w14:paraId="29A81BD6">
      <w:pPr>
        <w:keepNext w:val="0"/>
        <w:keepLines w:val="0"/>
        <w:pageBreakBefore w:val="0"/>
        <w:widowControl w:val="0"/>
        <w:kinsoku/>
        <w:wordWrap/>
        <w:overflowPunct/>
        <w:topLinePunct w:val="0"/>
        <w:autoSpaceDE/>
        <w:autoSpaceDN/>
        <w:bidi w:val="0"/>
        <w:spacing w:line="600" w:lineRule="exact"/>
        <w:textAlignment w:val="auto"/>
        <w:rPr>
          <w:rFonts w:hint="eastAsia" w:ascii="仿宋" w:hAnsi="仿宋" w:eastAsia="仿宋"/>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EU-BZ">
    <w:altName w:val="宋体"/>
    <w:panose1 w:val="02010600010101010101"/>
    <w:charset w:val="86"/>
    <w:family w:val="auto"/>
    <w:pitch w:val="default"/>
    <w:sig w:usb0="00000000" w:usb1="00000000"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方正书宋简体">
    <w:altName w:val="宋体"/>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 w:name="方正大标宋简体">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康简标题宋">
    <w:altName w:val="宋体"/>
    <w:panose1 w:val="0201060900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Nimbus Roman">
    <w:altName w:val="Segoe Print"/>
    <w:panose1 w:val="00000500000000000000"/>
    <w:charset w:val="00"/>
    <w:family w:val="auto"/>
    <w:pitch w:val="default"/>
    <w:sig w:usb0="00000000" w:usb1="00000000" w:usb2="00000000" w:usb3="00000000" w:csb0="6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BC3E8">
    <w:pPr>
      <w:pStyle w:val="5"/>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B68D9">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8CB68D9">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42A29028">
    <w:pPr>
      <w:pStyle w:val="5"/>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洛洛阳市栾川县</w:t>
    </w:r>
    <w:r>
      <w:rPr>
        <w:rFonts w:hint="eastAsia" w:ascii="宋体" w:hAnsi="宋体" w:eastAsia="宋体" w:cs="宋体"/>
        <w:b/>
        <w:bCs/>
        <w:color w:val="005192"/>
        <w:sz w:val="28"/>
        <w:szCs w:val="44"/>
        <w:lang w:val="en-US" w:eastAsia="zh-CN"/>
      </w:rPr>
      <w:t xml:space="preserve">人民政府发布    </w:t>
    </w:r>
  </w:p>
  <w:p w14:paraId="667FD2A6">
    <w:pPr>
      <w:pStyle w:val="5"/>
      <w:wordWrap w:val="0"/>
      <w:ind w:left="5016"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33736">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4D2C95EB">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洛阳市栾川</w:t>
    </w:r>
    <w:r>
      <w:rPr>
        <w:rFonts w:hint="eastAsia" w:ascii="宋体" w:hAnsi="宋体" w:cs="宋体"/>
        <w:b/>
        <w:bCs/>
        <w:color w:val="005192"/>
        <w:sz w:val="32"/>
        <w:szCs w:val="32"/>
        <w:lang w:val="en-US" w:eastAsia="zh-CN"/>
      </w:rPr>
      <w:t>县人民政府行政规范性文件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jOWE4ZWU0OWFmNDdhMThkMzZiNzliYjZiM2NhNTgifQ=="/>
  </w:docVars>
  <w:rsids>
    <w:rsidRoot w:val="7C9011D9"/>
    <w:rsid w:val="019E71BD"/>
    <w:rsid w:val="05440955"/>
    <w:rsid w:val="066E5641"/>
    <w:rsid w:val="06A67E67"/>
    <w:rsid w:val="080F63D8"/>
    <w:rsid w:val="09006E92"/>
    <w:rsid w:val="09341458"/>
    <w:rsid w:val="09553C02"/>
    <w:rsid w:val="0CE65B2C"/>
    <w:rsid w:val="0D5C5CF8"/>
    <w:rsid w:val="0ED818A4"/>
    <w:rsid w:val="0EE93F10"/>
    <w:rsid w:val="101F0538"/>
    <w:rsid w:val="10254BD6"/>
    <w:rsid w:val="129E7932"/>
    <w:rsid w:val="13A23C39"/>
    <w:rsid w:val="152D2DCA"/>
    <w:rsid w:val="1C86388D"/>
    <w:rsid w:val="1D68623C"/>
    <w:rsid w:val="1E466CFF"/>
    <w:rsid w:val="22440422"/>
    <w:rsid w:val="23F13B42"/>
    <w:rsid w:val="255F65A3"/>
    <w:rsid w:val="287C616C"/>
    <w:rsid w:val="28DE1ED5"/>
    <w:rsid w:val="2FCE575A"/>
    <w:rsid w:val="2FFC7EDE"/>
    <w:rsid w:val="31A15F24"/>
    <w:rsid w:val="39A232A0"/>
    <w:rsid w:val="3A1C636B"/>
    <w:rsid w:val="3B5A6BBB"/>
    <w:rsid w:val="3BE16DE7"/>
    <w:rsid w:val="3E0E7999"/>
    <w:rsid w:val="3EDA13A6"/>
    <w:rsid w:val="3F3C389D"/>
    <w:rsid w:val="3F5730EA"/>
    <w:rsid w:val="423F17DF"/>
    <w:rsid w:val="42F058B7"/>
    <w:rsid w:val="436109F6"/>
    <w:rsid w:val="441A38D4"/>
    <w:rsid w:val="474E2EF2"/>
    <w:rsid w:val="481903DC"/>
    <w:rsid w:val="49B91357"/>
    <w:rsid w:val="4AEC52E8"/>
    <w:rsid w:val="4AFF8CDB"/>
    <w:rsid w:val="4BC77339"/>
    <w:rsid w:val="4C9236C5"/>
    <w:rsid w:val="4E2A37E2"/>
    <w:rsid w:val="50414CBD"/>
    <w:rsid w:val="51E247E8"/>
    <w:rsid w:val="51ED4863"/>
    <w:rsid w:val="526F08CC"/>
    <w:rsid w:val="52F46F0B"/>
    <w:rsid w:val="55274B4C"/>
    <w:rsid w:val="55E064E0"/>
    <w:rsid w:val="5A4F3EF9"/>
    <w:rsid w:val="5AE12FDB"/>
    <w:rsid w:val="5D0D7ECB"/>
    <w:rsid w:val="608816D1"/>
    <w:rsid w:val="67942CB6"/>
    <w:rsid w:val="69D03F98"/>
    <w:rsid w:val="6A7F4576"/>
    <w:rsid w:val="6B68054E"/>
    <w:rsid w:val="6BF75DB0"/>
    <w:rsid w:val="6CD33DD5"/>
    <w:rsid w:val="6D0E3F22"/>
    <w:rsid w:val="6D772313"/>
    <w:rsid w:val="70AF1C83"/>
    <w:rsid w:val="714A2531"/>
    <w:rsid w:val="71C61E01"/>
    <w:rsid w:val="71E9213F"/>
    <w:rsid w:val="75475CD9"/>
    <w:rsid w:val="75AA717D"/>
    <w:rsid w:val="7C9011D9"/>
    <w:rsid w:val="7CFB3184"/>
    <w:rsid w:val="7DC651C5"/>
    <w:rsid w:val="7DFBC28B"/>
    <w:rsid w:val="7FED60B9"/>
    <w:rsid w:val="D5F6BFC8"/>
    <w:rsid w:val="D6DD9B99"/>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NEU-BZ" w:eastAsia="宋体" w:cs="Times New Roman"/>
      <w:sz w:val="22"/>
      <w:szCs w:val="22"/>
      <w:lang w:val="en-US" w:eastAsia="zh-CN" w:bidi="ar-SA"/>
    </w:rPr>
  </w:style>
  <w:style w:type="paragraph" w:styleId="2">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0">
    <w:name w:val="Default Paragraph Font"/>
    <w:autoRedefine/>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99"/>
    <w:rPr>
      <w:rFonts w:ascii="宋体" w:hAnsi="宋体" w:eastAsia="宋体" w:cs="宋体"/>
      <w:sz w:val="21"/>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Subtitle"/>
    <w:basedOn w:val="1"/>
    <w:next w:val="1"/>
    <w:qFormat/>
    <w:uiPriority w:val="0"/>
    <w:pPr>
      <w:spacing w:before="240" w:after="60" w:line="312" w:lineRule="auto"/>
      <w:jc w:val="center"/>
      <w:outlineLvl w:val="1"/>
    </w:pPr>
    <w:rPr>
      <w:rFonts w:ascii="Cambria" w:hAnsi="Cambria" w:eastAsia="Times New Roman"/>
      <w:b/>
      <w:bCs/>
      <w:kern w:val="28"/>
      <w:sz w:val="32"/>
      <w:szCs w:val="32"/>
    </w:rPr>
  </w:style>
  <w:style w:type="paragraph" w:styleId="7">
    <w:name w:val="Normal (Web)"/>
    <w:basedOn w:val="1"/>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paragraph" w:customStyle="1" w:styleId="12">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3">
    <w:name w:val="一级标题（二号小标宋）"/>
    <w:basedOn w:val="1"/>
    <w:link w:val="16"/>
    <w:qFormat/>
    <w:uiPriority w:val="0"/>
    <w:pPr>
      <w:jc w:val="center"/>
    </w:pPr>
    <w:rPr>
      <w:rFonts w:ascii="方正书宋简体" w:hAnsi="方正书宋简体" w:eastAsia="方正小标宋_GBK"/>
      <w:color w:val="000000"/>
      <w:sz w:val="42"/>
      <w:szCs w:val="42"/>
    </w:rPr>
  </w:style>
  <w:style w:type="paragraph" w:customStyle="1" w:styleId="14">
    <w:name w:val="15.5楷体（标题下楷体）"/>
    <w:basedOn w:val="1"/>
    <w:autoRedefine/>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5">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6">
    <w:name w:val="一级标题（二号小标宋） Char"/>
    <w:basedOn w:val="10"/>
    <w:link w:val="13"/>
    <w:autoRedefine/>
    <w:qFormat/>
    <w:uiPriority w:val="0"/>
    <w:rPr>
      <w:rFonts w:ascii="方正书宋简体" w:hAnsi="方正书宋简体" w:eastAsia="方正小标宋_GBK"/>
      <w:color w:val="000000"/>
      <w:sz w:val="42"/>
      <w:szCs w:val="42"/>
    </w:rPr>
  </w:style>
  <w:style w:type="paragraph" w:customStyle="1" w:styleId="17">
    <w:name w:val="p0"/>
    <w:basedOn w:val="1"/>
    <w:qFormat/>
    <w:uiPriority w:val="0"/>
    <w:pPr>
      <w:widowControl/>
    </w:pPr>
    <w:rPr>
      <w:kern w:val="0"/>
      <w:szCs w:val="21"/>
    </w:rPr>
  </w:style>
  <w:style w:type="paragraph" w:customStyle="1" w:styleId="18">
    <w:name w:val="Default"/>
    <w:next w:val="6"/>
    <w:qFormat/>
    <w:uiPriority w:val="0"/>
    <w:pPr>
      <w:widowControl w:val="0"/>
      <w:autoSpaceDE w:val="0"/>
      <w:autoSpaceDN w:val="0"/>
      <w:adjustRightInd w:val="0"/>
    </w:pPr>
    <w:rPr>
      <w:rFonts w:hint="eastAsia" w:ascii="黑体" w:hAnsi="黑体" w:eastAsia="黑体" w:cs="黑体"/>
      <w:color w:val="000000"/>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2614</Words>
  <Characters>2667</Characters>
  <Lines>0</Lines>
  <Paragraphs>0</Paragraphs>
  <TotalTime>0</TotalTime>
  <ScaleCrop>false</ScaleCrop>
  <LinksUpToDate>false</LinksUpToDate>
  <CharactersWithSpaces>2738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2021-09-11T10:41:00Z</dcterms:created>
  <dc:creator>t</dc:creator>
  <cp:lastModifiedBy>伏牛山人</cp:lastModifiedBy>
  <cp:lastPrinted>2021-09-24T09:19:00Z</cp:lastPrinted>
  <dcterms:modified xsi:type="dcterms:W3CDTF">2026-09-20T08:07:51Z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B2730C3DE4B44101801484FFB4A50383</vt:lpwstr>
  </property>
  <property fmtid="{D5CDD505-2E9C-101B-9397-08002B2CF9AE}" pid="4" name="KSOTemplateDocerSaveRecord">
    <vt:lpwstr>eyJoZGlkIjoiMjM1MGFkNjY5NTVjMzZiNGNkOWI4YzRlODc2MWNhMDAiLCJ1c2VySWQiOiIxMDY0MTA4NTE4In0=</vt:lpwstr>
  </property>
</Properties>
</file>