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B1B99">
      <w:pPr>
        <w:pStyle w:val="9"/>
        <w:keepNext w:val="0"/>
        <w:keepLines w:val="0"/>
        <w:pageBreakBefore w:val="0"/>
        <w:widowControl w:val="0"/>
        <w:kinsoku/>
        <w:wordWrap/>
        <w:overflowPunct/>
        <w:topLinePunct w:val="0"/>
        <w:bidi w:val="0"/>
        <w:snapToGrid/>
        <w:spacing w:line="592"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4EDBEEAD">
      <w:pPr>
        <w:pStyle w:val="4"/>
        <w:keepNext w:val="0"/>
        <w:keepLines w:val="0"/>
        <w:pageBreakBefore w:val="0"/>
        <w:widowControl w:val="0"/>
        <w:kinsoku/>
        <w:wordWrap/>
        <w:overflowPunct/>
        <w:topLinePunct w:val="0"/>
        <w:autoSpaceDE/>
        <w:autoSpaceDN/>
        <w:bidi w:val="0"/>
        <w:adjustRightInd/>
        <w:snapToGrid/>
        <w:spacing w:before="0" w:after="0" w:line="592" w:lineRule="exact"/>
        <w:textAlignment w:val="auto"/>
        <w:rPr>
          <w:rFonts w:hint="eastAsia"/>
          <w:lang w:val="en-US" w:eastAsia="zh-CN"/>
        </w:rPr>
      </w:pPr>
    </w:p>
    <w:p w14:paraId="3FCED602">
      <w:pPr>
        <w:pStyle w:val="4"/>
        <w:keepNext w:val="0"/>
        <w:keepLines w:val="0"/>
        <w:pageBreakBefore w:val="0"/>
        <w:widowControl w:val="0"/>
        <w:kinsoku/>
        <w:wordWrap/>
        <w:overflowPunct/>
        <w:topLinePunct w:val="0"/>
        <w:bidi w:val="0"/>
        <w:snapToGrid/>
        <w:spacing w:before="0" w:after="0" w:line="592" w:lineRule="exact"/>
        <w:textAlignment w:val="auto"/>
        <w:rPr>
          <w:rFonts w:hint="eastAsia" w:ascii="Nimbus Roman" w:hAnsi="Nimbus Roman" w:eastAsia="方正小标宋简体" w:cs="方正小标宋简体"/>
          <w:b w:val="0"/>
          <w:bCs w:val="0"/>
          <w:i w:val="0"/>
          <w:iCs w:val="0"/>
          <w:caps w:val="0"/>
          <w:color w:val="121212"/>
          <w:spacing w:val="0"/>
          <w:sz w:val="44"/>
          <w:szCs w:val="44"/>
        </w:rPr>
      </w:pPr>
      <w:r>
        <w:rPr>
          <w:rFonts w:hint="eastAsia" w:ascii="Nimbus Roman" w:hAnsi="Nimbus Roman" w:eastAsia="方正小标宋简体" w:cs="方正小标宋简体"/>
          <w:b w:val="0"/>
          <w:bCs w:val="0"/>
          <w:i w:val="0"/>
          <w:iCs w:val="0"/>
          <w:caps w:val="0"/>
          <w:color w:val="121212"/>
          <w:spacing w:val="0"/>
          <w:sz w:val="44"/>
          <w:szCs w:val="44"/>
        </w:rPr>
        <w:t>栾川县人民政府决定废止</w:t>
      </w:r>
      <w:r>
        <w:rPr>
          <w:rFonts w:hint="eastAsia" w:ascii="Nimbus Roman" w:hAnsi="Nimbus Roman" w:eastAsia="方正小标宋简体" w:cs="方正小标宋简体"/>
          <w:b w:val="0"/>
          <w:bCs w:val="0"/>
          <w:i w:val="0"/>
          <w:iCs w:val="0"/>
          <w:caps w:val="0"/>
          <w:color w:val="121212"/>
          <w:spacing w:val="0"/>
          <w:sz w:val="44"/>
          <w:szCs w:val="44"/>
          <w:lang w:val="en-US" w:eastAsia="zh-CN"/>
        </w:rPr>
        <w:t>/</w:t>
      </w:r>
      <w:r>
        <w:rPr>
          <w:rFonts w:hint="eastAsia" w:ascii="Nimbus Roman" w:hAnsi="Nimbus Roman" w:eastAsia="方正小标宋简体" w:cs="方正小标宋简体"/>
          <w:b w:val="0"/>
          <w:bCs w:val="0"/>
          <w:i w:val="0"/>
          <w:iCs w:val="0"/>
          <w:caps w:val="0"/>
          <w:color w:val="121212"/>
          <w:spacing w:val="0"/>
          <w:sz w:val="44"/>
          <w:szCs w:val="44"/>
        </w:rPr>
        <w:t>失效的</w:t>
      </w:r>
    </w:p>
    <w:p w14:paraId="410275CA">
      <w:pPr>
        <w:pStyle w:val="4"/>
        <w:keepNext w:val="0"/>
        <w:keepLines w:val="0"/>
        <w:pageBreakBefore w:val="0"/>
        <w:widowControl w:val="0"/>
        <w:kinsoku/>
        <w:wordWrap/>
        <w:overflowPunct/>
        <w:topLinePunct w:val="0"/>
        <w:bidi w:val="0"/>
        <w:snapToGrid/>
        <w:spacing w:before="0" w:after="0" w:line="592" w:lineRule="exact"/>
        <w:textAlignment w:val="auto"/>
        <w:rPr>
          <w:rFonts w:hint="eastAsia" w:ascii="Nimbus Roman" w:hAnsi="Nimbus Roman" w:eastAsia="方正小标宋简体" w:cs="方正小标宋简体"/>
          <w:b w:val="0"/>
          <w:bCs w:val="0"/>
          <w:i w:val="0"/>
          <w:iCs w:val="0"/>
          <w:caps w:val="0"/>
          <w:color w:val="121212"/>
          <w:spacing w:val="0"/>
          <w:sz w:val="44"/>
          <w:szCs w:val="44"/>
        </w:rPr>
      </w:pPr>
      <w:r>
        <w:rPr>
          <w:rFonts w:hint="eastAsia" w:ascii="Nimbus Roman" w:hAnsi="Nimbus Roman" w:eastAsia="方正小标宋简体" w:cs="方正小标宋简体"/>
          <w:b w:val="0"/>
          <w:bCs w:val="0"/>
          <w:i w:val="0"/>
          <w:iCs w:val="0"/>
          <w:caps w:val="0"/>
          <w:color w:val="121212"/>
          <w:spacing w:val="0"/>
          <w:sz w:val="44"/>
          <w:szCs w:val="44"/>
        </w:rPr>
        <w:t>规范性文件目录</w:t>
      </w:r>
    </w:p>
    <w:p w14:paraId="6B86DEAF">
      <w:pPr>
        <w:keepNext w:val="0"/>
        <w:keepLines w:val="0"/>
        <w:pageBreakBefore w:val="0"/>
        <w:widowControl w:val="0"/>
        <w:kinsoku/>
        <w:wordWrap/>
        <w:overflowPunct/>
        <w:topLinePunct w:val="0"/>
        <w:autoSpaceDE/>
        <w:autoSpaceDN/>
        <w:bidi w:val="0"/>
        <w:adjustRightInd/>
        <w:snapToGrid/>
        <w:spacing w:line="592" w:lineRule="exact"/>
        <w:textAlignment w:val="auto"/>
        <w:rPr>
          <w:rFonts w:hint="eastAsia"/>
          <w:lang w:val="en-US" w:eastAsia="zh-CN"/>
        </w:rPr>
      </w:pPr>
    </w:p>
    <w:tbl>
      <w:tblPr>
        <w:tblStyle w:val="7"/>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3597"/>
        <w:gridCol w:w="2805"/>
        <w:gridCol w:w="2044"/>
      </w:tblGrid>
      <w:tr w14:paraId="4EDF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892" w:type="dxa"/>
            <w:noWrap w:val="0"/>
            <w:vAlign w:val="center"/>
          </w:tcPr>
          <w:p w14:paraId="6955A8F3">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黑体" w:hAnsi="黑体" w:eastAsia="黑体" w:cs="黑体"/>
                <w:b w:val="0"/>
                <w:bCs w:val="0"/>
                <w:color w:val="auto"/>
                <w:spacing w:val="0"/>
                <w:w w:val="100"/>
                <w:sz w:val="28"/>
                <w:szCs w:val="28"/>
                <w:vertAlign w:val="baseline"/>
                <w:lang w:val="en-US" w:eastAsia="zh-CN"/>
              </w:rPr>
            </w:pPr>
            <w:r>
              <w:rPr>
                <w:rFonts w:hint="eastAsia" w:ascii="黑体" w:hAnsi="黑体" w:eastAsia="黑体" w:cs="黑体"/>
                <w:b w:val="0"/>
                <w:bCs w:val="0"/>
                <w:color w:val="auto"/>
                <w:spacing w:val="0"/>
                <w:w w:val="100"/>
                <w:sz w:val="28"/>
                <w:szCs w:val="28"/>
                <w:vertAlign w:val="baseline"/>
                <w:lang w:val="en-US" w:eastAsia="zh-CN"/>
              </w:rPr>
              <w:t>序号</w:t>
            </w:r>
          </w:p>
        </w:tc>
        <w:tc>
          <w:tcPr>
            <w:tcW w:w="3597" w:type="dxa"/>
            <w:noWrap w:val="0"/>
            <w:vAlign w:val="center"/>
          </w:tcPr>
          <w:p w14:paraId="28A921FB">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黑体" w:hAnsi="黑体" w:eastAsia="黑体" w:cs="黑体"/>
                <w:b w:val="0"/>
                <w:bCs w:val="0"/>
                <w:color w:val="auto"/>
                <w:spacing w:val="0"/>
                <w:w w:val="100"/>
                <w:sz w:val="28"/>
                <w:szCs w:val="28"/>
                <w:vertAlign w:val="baseline"/>
                <w:lang w:val="en-US" w:eastAsia="zh-CN"/>
              </w:rPr>
            </w:pPr>
            <w:r>
              <w:rPr>
                <w:rFonts w:hint="eastAsia" w:ascii="黑体" w:hAnsi="黑体" w:eastAsia="黑体" w:cs="黑体"/>
                <w:b w:val="0"/>
                <w:bCs w:val="0"/>
                <w:color w:val="auto"/>
                <w:spacing w:val="0"/>
                <w:w w:val="100"/>
                <w:sz w:val="28"/>
                <w:szCs w:val="28"/>
                <w:vertAlign w:val="baseline"/>
                <w:lang w:val="en-US" w:eastAsia="zh-CN"/>
              </w:rPr>
              <w:t>文件名称</w:t>
            </w:r>
          </w:p>
        </w:tc>
        <w:tc>
          <w:tcPr>
            <w:tcW w:w="2805" w:type="dxa"/>
            <w:noWrap w:val="0"/>
            <w:vAlign w:val="center"/>
          </w:tcPr>
          <w:p w14:paraId="0C6C117A">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黑体" w:hAnsi="黑体" w:eastAsia="黑体" w:cs="黑体"/>
                <w:b w:val="0"/>
                <w:bCs w:val="0"/>
                <w:color w:val="auto"/>
                <w:spacing w:val="0"/>
                <w:w w:val="100"/>
                <w:sz w:val="28"/>
                <w:szCs w:val="28"/>
                <w:vertAlign w:val="baseline"/>
                <w:lang w:val="en-US" w:eastAsia="zh-CN"/>
              </w:rPr>
            </w:pPr>
            <w:r>
              <w:rPr>
                <w:rFonts w:hint="eastAsia" w:ascii="黑体" w:hAnsi="黑体" w:eastAsia="黑体" w:cs="黑体"/>
                <w:b w:val="0"/>
                <w:bCs w:val="0"/>
                <w:color w:val="auto"/>
                <w:spacing w:val="0"/>
                <w:w w:val="100"/>
                <w:sz w:val="28"/>
                <w:szCs w:val="28"/>
                <w:vertAlign w:val="baseline"/>
                <w:lang w:val="en-US" w:eastAsia="zh-CN"/>
              </w:rPr>
              <w:t>文号</w:t>
            </w:r>
          </w:p>
        </w:tc>
        <w:tc>
          <w:tcPr>
            <w:tcW w:w="2044" w:type="dxa"/>
            <w:noWrap w:val="0"/>
            <w:vAlign w:val="center"/>
          </w:tcPr>
          <w:p w14:paraId="5DAE2A7E">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黑体" w:hAnsi="黑体" w:eastAsia="黑体" w:cs="黑体"/>
                <w:b w:val="0"/>
                <w:bCs w:val="0"/>
                <w:color w:val="auto"/>
                <w:spacing w:val="0"/>
                <w:w w:val="100"/>
                <w:sz w:val="28"/>
                <w:szCs w:val="28"/>
                <w:vertAlign w:val="baseline"/>
                <w:lang w:val="en-US" w:eastAsia="zh-CN"/>
              </w:rPr>
            </w:pPr>
            <w:r>
              <w:rPr>
                <w:rFonts w:hint="eastAsia" w:ascii="黑体" w:hAnsi="黑体" w:eastAsia="黑体" w:cs="黑体"/>
                <w:b w:val="0"/>
                <w:bCs w:val="0"/>
                <w:color w:val="auto"/>
                <w:spacing w:val="0"/>
                <w:w w:val="100"/>
                <w:sz w:val="28"/>
                <w:szCs w:val="28"/>
                <w:vertAlign w:val="baseline"/>
                <w:lang w:val="en-US" w:eastAsia="zh-CN"/>
              </w:rPr>
              <w:t>理由</w:t>
            </w:r>
          </w:p>
        </w:tc>
      </w:tr>
      <w:tr w14:paraId="02A0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jc w:val="center"/>
        </w:trPr>
        <w:tc>
          <w:tcPr>
            <w:tcW w:w="892" w:type="dxa"/>
            <w:shd w:val="clear" w:color="auto" w:fill="auto"/>
            <w:noWrap w:val="0"/>
            <w:vAlign w:val="center"/>
          </w:tcPr>
          <w:p w14:paraId="3E45F01B">
            <w:pPr>
              <w:keepNext w:val="0"/>
              <w:keepLines w:val="0"/>
              <w:pageBreakBefore w:val="0"/>
              <w:widowControl w:val="0"/>
              <w:kinsoku/>
              <w:wordWrap/>
              <w:overflowPunct/>
              <w:topLinePunct w:val="0"/>
              <w:autoSpaceDE/>
              <w:autoSpaceDN/>
              <w:bidi w:val="0"/>
              <w:adjustRightInd/>
              <w:snapToGrid/>
              <w:spacing w:after="0" w:afterLines="0" w:line="500" w:lineRule="exact"/>
              <w:ind w:right="0" w:rightChars="0"/>
              <w:jc w:val="center"/>
              <w:textAlignment w:val="auto"/>
              <w:rPr>
                <w:rFonts w:hint="eastAsia" w:ascii="仿宋_GB2312" w:hAnsi="仿宋_GB2312" w:eastAsia="仿宋_GB2312" w:cs="仿宋_GB2312"/>
                <w:color w:val="auto"/>
                <w:spacing w:val="0"/>
                <w:w w:val="100"/>
                <w:kern w:val="2"/>
                <w:sz w:val="28"/>
                <w:szCs w:val="28"/>
                <w:vertAlign w:val="baseline"/>
                <w:lang w:val="en-US" w:eastAsia="zh-CN" w:bidi="ar-SA"/>
              </w:rPr>
            </w:pPr>
            <w:r>
              <w:rPr>
                <w:rFonts w:hint="eastAsia" w:ascii="仿宋_GB2312" w:hAnsi="仿宋_GB2312" w:eastAsia="仿宋_GB2312" w:cs="仿宋_GB2312"/>
                <w:color w:val="auto"/>
                <w:spacing w:val="0"/>
                <w:w w:val="100"/>
                <w:sz w:val="28"/>
                <w:szCs w:val="28"/>
                <w:vertAlign w:val="baseline"/>
                <w:lang w:val="en-US" w:eastAsia="zh-CN"/>
              </w:rPr>
              <w:t>1</w:t>
            </w:r>
          </w:p>
        </w:tc>
        <w:tc>
          <w:tcPr>
            <w:tcW w:w="3597" w:type="dxa"/>
            <w:shd w:val="clear" w:color="auto" w:fill="auto"/>
            <w:noWrap w:val="0"/>
            <w:vAlign w:val="center"/>
          </w:tcPr>
          <w:p w14:paraId="4DBF9869">
            <w:pPr>
              <w:keepNext w:val="0"/>
              <w:keepLines w:val="0"/>
              <w:pageBreakBefore w:val="0"/>
              <w:widowControl w:val="0"/>
              <w:kinsoku/>
              <w:wordWrap/>
              <w:overflowPunct/>
              <w:topLinePunct w:val="0"/>
              <w:autoSpaceDE/>
              <w:autoSpaceDN/>
              <w:bidi w:val="0"/>
              <w:adjustRightInd/>
              <w:snapToGrid/>
              <w:spacing w:after="0" w:afterLines="0" w:line="500" w:lineRule="exact"/>
              <w:ind w:right="0" w:rightChars="0"/>
              <w:jc w:val="both"/>
              <w:textAlignment w:val="auto"/>
              <w:rPr>
                <w:rFonts w:hint="eastAsia" w:ascii="仿宋_GB2312" w:hAnsi="仿宋_GB2312" w:eastAsia="仿宋_GB2312" w:cs="仿宋_GB2312"/>
                <w:color w:val="auto"/>
                <w:spacing w:val="0"/>
                <w:w w:val="100"/>
                <w:kern w:val="2"/>
                <w:sz w:val="28"/>
                <w:szCs w:val="28"/>
                <w:vertAlign w:val="baseline"/>
                <w:lang w:val="en-US" w:eastAsia="zh-CN" w:bidi="ar-SA"/>
              </w:rPr>
            </w:pPr>
            <w:r>
              <w:rPr>
                <w:rFonts w:hint="eastAsia" w:ascii="仿宋_GB2312" w:hAnsi="仿宋_GB2312" w:eastAsia="仿宋_GB2312" w:cs="仿宋_GB2312"/>
                <w:color w:val="auto"/>
                <w:spacing w:val="0"/>
                <w:w w:val="100"/>
                <w:sz w:val="28"/>
                <w:szCs w:val="28"/>
                <w:vertAlign w:val="baseline"/>
                <w:lang w:val="en-US" w:eastAsia="zh-CN"/>
              </w:rPr>
              <w:t>栾川县人民政府办公室关于印发栾川县安全生产领域举报奖励实施办法的通知</w:t>
            </w:r>
          </w:p>
        </w:tc>
        <w:tc>
          <w:tcPr>
            <w:tcW w:w="2805" w:type="dxa"/>
            <w:shd w:val="clear" w:color="auto" w:fill="auto"/>
            <w:noWrap w:val="0"/>
            <w:vAlign w:val="center"/>
          </w:tcPr>
          <w:p w14:paraId="0FD21BDB">
            <w:pPr>
              <w:keepNext w:val="0"/>
              <w:keepLines w:val="0"/>
              <w:pageBreakBefore w:val="0"/>
              <w:widowControl w:val="0"/>
              <w:kinsoku/>
              <w:wordWrap/>
              <w:overflowPunct/>
              <w:topLinePunct w:val="0"/>
              <w:autoSpaceDE/>
              <w:autoSpaceDN/>
              <w:bidi w:val="0"/>
              <w:adjustRightInd/>
              <w:snapToGrid/>
              <w:spacing w:after="0" w:afterLines="0" w:line="500" w:lineRule="exact"/>
              <w:ind w:right="0" w:rightChars="0"/>
              <w:jc w:val="center"/>
              <w:textAlignment w:val="auto"/>
              <w:rPr>
                <w:rFonts w:hint="eastAsia" w:ascii="仿宋_GB2312" w:hAnsi="仿宋_GB2312" w:eastAsia="仿宋_GB2312" w:cs="仿宋_GB2312"/>
                <w:color w:val="auto"/>
                <w:spacing w:val="0"/>
                <w:w w:val="100"/>
                <w:kern w:val="2"/>
                <w:sz w:val="28"/>
                <w:szCs w:val="28"/>
                <w:vertAlign w:val="baseline"/>
                <w:lang w:val="en-US" w:eastAsia="zh-CN" w:bidi="ar-SA"/>
              </w:rPr>
            </w:pPr>
            <w:r>
              <w:rPr>
                <w:rFonts w:hint="eastAsia" w:ascii="仿宋_GB2312" w:hAnsi="仿宋_GB2312" w:eastAsia="仿宋_GB2312" w:cs="仿宋_GB2312"/>
                <w:color w:val="auto"/>
                <w:spacing w:val="0"/>
                <w:w w:val="100"/>
                <w:sz w:val="28"/>
                <w:szCs w:val="28"/>
                <w:vertAlign w:val="baseline"/>
                <w:lang w:val="en-US" w:eastAsia="zh-CN"/>
              </w:rPr>
              <w:t>栾政办〔2023〕31号</w:t>
            </w:r>
          </w:p>
        </w:tc>
        <w:tc>
          <w:tcPr>
            <w:tcW w:w="2044" w:type="dxa"/>
            <w:shd w:val="clear" w:color="auto" w:fill="auto"/>
            <w:noWrap w:val="0"/>
            <w:vAlign w:val="center"/>
          </w:tcPr>
          <w:p w14:paraId="5D775B90">
            <w:pPr>
              <w:keepNext w:val="0"/>
              <w:keepLines w:val="0"/>
              <w:pageBreakBefore w:val="0"/>
              <w:widowControl w:val="0"/>
              <w:kinsoku/>
              <w:wordWrap/>
              <w:overflowPunct/>
              <w:topLinePunct w:val="0"/>
              <w:autoSpaceDE/>
              <w:autoSpaceDN/>
              <w:bidi w:val="0"/>
              <w:adjustRightInd/>
              <w:snapToGrid/>
              <w:spacing w:after="0" w:afterLines="0" w:line="500" w:lineRule="exact"/>
              <w:ind w:right="0" w:rightChars="0"/>
              <w:jc w:val="center"/>
              <w:textAlignment w:val="auto"/>
              <w:rPr>
                <w:rFonts w:hint="eastAsia" w:ascii="仿宋_GB2312" w:hAnsi="仿宋_GB2312" w:eastAsia="仿宋_GB2312" w:cs="仿宋_GB2312"/>
                <w:color w:val="auto"/>
                <w:spacing w:val="0"/>
                <w:w w:val="100"/>
                <w:kern w:val="2"/>
                <w:sz w:val="28"/>
                <w:szCs w:val="28"/>
                <w:vertAlign w:val="baseline"/>
                <w:lang w:val="en-US" w:eastAsia="zh-CN" w:bidi="ar-SA"/>
              </w:rPr>
            </w:pPr>
            <w:r>
              <w:rPr>
                <w:rFonts w:hint="eastAsia" w:ascii="仿宋_GB2312" w:hAnsi="仿宋_GB2312" w:eastAsia="仿宋_GB2312" w:cs="仿宋_GB2312"/>
                <w:color w:val="auto"/>
                <w:spacing w:val="0"/>
                <w:w w:val="100"/>
                <w:sz w:val="28"/>
                <w:szCs w:val="28"/>
                <w:vertAlign w:val="baseline"/>
                <w:lang w:val="en-US" w:eastAsia="zh-CN"/>
              </w:rPr>
              <w:t>不适应经济社会发展要求</w:t>
            </w:r>
          </w:p>
        </w:tc>
      </w:tr>
      <w:tr w14:paraId="6C482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jc w:val="center"/>
        </w:trPr>
        <w:tc>
          <w:tcPr>
            <w:tcW w:w="892" w:type="dxa"/>
            <w:noWrap w:val="0"/>
            <w:vAlign w:val="center"/>
          </w:tcPr>
          <w:p w14:paraId="1E1E0D69">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仿宋_GB2312" w:hAnsi="仿宋_GB2312" w:eastAsia="仿宋_GB2312" w:cs="仿宋_GB2312"/>
                <w:color w:val="auto"/>
                <w:spacing w:val="0"/>
                <w:w w:val="100"/>
                <w:sz w:val="28"/>
                <w:szCs w:val="28"/>
                <w:vertAlign w:val="baseline"/>
                <w:lang w:val="en-US" w:eastAsia="zh-CN"/>
              </w:rPr>
            </w:pPr>
            <w:r>
              <w:rPr>
                <w:rFonts w:hint="eastAsia" w:ascii="仿宋_GB2312" w:hAnsi="仿宋_GB2312" w:eastAsia="仿宋_GB2312" w:cs="仿宋_GB2312"/>
                <w:color w:val="auto"/>
                <w:spacing w:val="0"/>
                <w:w w:val="100"/>
                <w:sz w:val="28"/>
                <w:szCs w:val="28"/>
                <w:vertAlign w:val="baseline"/>
                <w:lang w:val="en-US" w:eastAsia="zh-CN"/>
              </w:rPr>
              <w:t>2</w:t>
            </w:r>
          </w:p>
        </w:tc>
        <w:tc>
          <w:tcPr>
            <w:tcW w:w="3597" w:type="dxa"/>
            <w:noWrap w:val="0"/>
            <w:vAlign w:val="center"/>
          </w:tcPr>
          <w:p w14:paraId="5FE8D387">
            <w:pPr>
              <w:keepNext w:val="0"/>
              <w:keepLines w:val="0"/>
              <w:pageBreakBefore w:val="0"/>
              <w:widowControl w:val="0"/>
              <w:kinsoku/>
              <w:wordWrap/>
              <w:overflowPunct/>
              <w:topLinePunct w:val="0"/>
              <w:autoSpaceDE/>
              <w:autoSpaceDN/>
              <w:bidi w:val="0"/>
              <w:adjustRightInd/>
              <w:snapToGrid/>
              <w:spacing w:after="0" w:afterLines="0" w:line="500" w:lineRule="exact"/>
              <w:ind w:right="0"/>
              <w:jc w:val="both"/>
              <w:textAlignment w:val="auto"/>
              <w:rPr>
                <w:rFonts w:hint="eastAsia" w:ascii="仿宋_GB2312" w:hAnsi="仿宋_GB2312" w:eastAsia="仿宋_GB2312" w:cs="仿宋_GB2312"/>
                <w:color w:val="auto"/>
                <w:spacing w:val="0"/>
                <w:w w:val="100"/>
                <w:sz w:val="28"/>
                <w:szCs w:val="28"/>
                <w:vertAlign w:val="baseline"/>
                <w:lang w:val="en-US" w:eastAsia="zh-CN"/>
              </w:rPr>
            </w:pPr>
            <w:r>
              <w:rPr>
                <w:rFonts w:hint="eastAsia" w:ascii="仿宋_GB2312" w:hAnsi="仿宋_GB2312" w:eastAsia="仿宋_GB2312" w:cs="仿宋_GB2312"/>
                <w:color w:val="auto"/>
                <w:spacing w:val="0"/>
                <w:w w:val="100"/>
                <w:sz w:val="28"/>
                <w:szCs w:val="28"/>
                <w:vertAlign w:val="baseline"/>
                <w:lang w:val="en-US" w:eastAsia="zh-CN"/>
              </w:rPr>
              <w:t>栾川县人民政府办公室关于划定禁煤区加强禁煤区管理的通知</w:t>
            </w:r>
          </w:p>
        </w:tc>
        <w:tc>
          <w:tcPr>
            <w:tcW w:w="2805" w:type="dxa"/>
            <w:noWrap w:val="0"/>
            <w:vAlign w:val="center"/>
          </w:tcPr>
          <w:p w14:paraId="0B86ED48">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仿宋_GB2312" w:hAnsi="仿宋_GB2312" w:eastAsia="仿宋_GB2312" w:cs="仿宋_GB2312"/>
                <w:color w:val="auto"/>
                <w:spacing w:val="0"/>
                <w:w w:val="100"/>
                <w:sz w:val="28"/>
                <w:szCs w:val="28"/>
                <w:vertAlign w:val="baseline"/>
                <w:lang w:val="en-US" w:eastAsia="zh-CN"/>
              </w:rPr>
            </w:pPr>
            <w:r>
              <w:rPr>
                <w:rFonts w:hint="eastAsia" w:ascii="仿宋_GB2312" w:hAnsi="仿宋_GB2312" w:eastAsia="仿宋_GB2312" w:cs="仿宋_GB2312"/>
                <w:color w:val="auto"/>
                <w:spacing w:val="0"/>
                <w:w w:val="100"/>
                <w:sz w:val="28"/>
                <w:szCs w:val="28"/>
                <w:vertAlign w:val="baseline"/>
                <w:lang w:val="en-US" w:eastAsia="zh-CN"/>
              </w:rPr>
              <w:t>栾政办〔2020〕30号</w:t>
            </w:r>
          </w:p>
        </w:tc>
        <w:tc>
          <w:tcPr>
            <w:tcW w:w="2044" w:type="dxa"/>
            <w:noWrap w:val="0"/>
            <w:vAlign w:val="center"/>
          </w:tcPr>
          <w:p w14:paraId="7687CEF6">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仿宋_GB2312" w:hAnsi="仿宋_GB2312" w:eastAsia="仿宋_GB2312" w:cs="仿宋_GB2312"/>
                <w:color w:val="auto"/>
                <w:spacing w:val="0"/>
                <w:w w:val="100"/>
                <w:sz w:val="28"/>
                <w:szCs w:val="28"/>
                <w:vertAlign w:val="baseline"/>
                <w:lang w:val="en-US" w:eastAsia="zh-CN"/>
              </w:rPr>
            </w:pPr>
            <w:r>
              <w:rPr>
                <w:rFonts w:hint="eastAsia" w:ascii="仿宋_GB2312" w:hAnsi="仿宋_GB2312" w:eastAsia="仿宋_GB2312" w:cs="仿宋_GB2312"/>
                <w:color w:val="auto"/>
                <w:spacing w:val="0"/>
                <w:w w:val="100"/>
                <w:sz w:val="28"/>
                <w:szCs w:val="28"/>
                <w:vertAlign w:val="baseline"/>
                <w:lang w:val="en-US" w:eastAsia="zh-CN"/>
              </w:rPr>
              <w:t>已过有效期</w:t>
            </w:r>
          </w:p>
        </w:tc>
      </w:tr>
      <w:tr w14:paraId="1F78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jc w:val="center"/>
        </w:trPr>
        <w:tc>
          <w:tcPr>
            <w:tcW w:w="892" w:type="dxa"/>
            <w:noWrap w:val="0"/>
            <w:vAlign w:val="center"/>
          </w:tcPr>
          <w:p w14:paraId="16A8C70E">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仿宋_GB2312" w:hAnsi="仿宋_GB2312" w:eastAsia="仿宋_GB2312" w:cs="仿宋_GB2312"/>
                <w:color w:val="auto"/>
                <w:spacing w:val="0"/>
                <w:w w:val="100"/>
                <w:sz w:val="28"/>
                <w:szCs w:val="28"/>
                <w:vertAlign w:val="baseline"/>
                <w:lang w:val="en-US" w:eastAsia="zh-CN"/>
              </w:rPr>
            </w:pPr>
            <w:r>
              <w:rPr>
                <w:rFonts w:hint="eastAsia" w:ascii="仿宋_GB2312" w:hAnsi="仿宋_GB2312" w:eastAsia="仿宋_GB2312" w:cs="仿宋_GB2312"/>
                <w:color w:val="auto"/>
                <w:spacing w:val="0"/>
                <w:w w:val="100"/>
                <w:sz w:val="28"/>
                <w:szCs w:val="28"/>
                <w:vertAlign w:val="baseline"/>
                <w:lang w:val="en-US" w:eastAsia="zh-CN"/>
              </w:rPr>
              <w:t>3</w:t>
            </w:r>
          </w:p>
        </w:tc>
        <w:tc>
          <w:tcPr>
            <w:tcW w:w="3597" w:type="dxa"/>
            <w:noWrap w:val="0"/>
            <w:vAlign w:val="center"/>
          </w:tcPr>
          <w:p w14:paraId="7738583F">
            <w:pPr>
              <w:keepNext w:val="0"/>
              <w:keepLines w:val="0"/>
              <w:pageBreakBefore w:val="0"/>
              <w:widowControl w:val="0"/>
              <w:kinsoku/>
              <w:wordWrap/>
              <w:overflowPunct/>
              <w:topLinePunct w:val="0"/>
              <w:autoSpaceDE/>
              <w:autoSpaceDN/>
              <w:bidi w:val="0"/>
              <w:adjustRightInd/>
              <w:snapToGrid/>
              <w:spacing w:after="0" w:afterLines="0" w:line="500" w:lineRule="exact"/>
              <w:ind w:right="0"/>
              <w:jc w:val="both"/>
              <w:textAlignment w:val="auto"/>
              <w:rPr>
                <w:rFonts w:hint="eastAsia" w:ascii="仿宋_GB2312" w:hAnsi="仿宋_GB2312" w:eastAsia="仿宋_GB2312" w:cs="仿宋_GB2312"/>
                <w:color w:val="auto"/>
                <w:spacing w:val="0"/>
                <w:w w:val="100"/>
                <w:sz w:val="28"/>
                <w:szCs w:val="28"/>
                <w:vertAlign w:val="baseline"/>
                <w:lang w:val="en-US" w:eastAsia="zh-CN"/>
              </w:rPr>
            </w:pPr>
            <w:r>
              <w:rPr>
                <w:rFonts w:hint="eastAsia" w:ascii="仿宋_GB2312" w:hAnsi="仿宋_GB2312" w:eastAsia="仿宋_GB2312" w:cs="仿宋_GB2312"/>
                <w:color w:val="auto"/>
                <w:spacing w:val="0"/>
                <w:w w:val="100"/>
                <w:sz w:val="28"/>
                <w:szCs w:val="28"/>
                <w:vertAlign w:val="baseline"/>
                <w:lang w:val="en-US" w:eastAsia="zh-CN"/>
              </w:rPr>
              <w:t>栾川县人民政府办公室关于进一步加强农村宅基地审批管理工作的通知</w:t>
            </w:r>
          </w:p>
        </w:tc>
        <w:tc>
          <w:tcPr>
            <w:tcW w:w="2805" w:type="dxa"/>
            <w:noWrap w:val="0"/>
            <w:vAlign w:val="center"/>
          </w:tcPr>
          <w:p w14:paraId="2DF79221">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仿宋_GB2312" w:hAnsi="仿宋_GB2312" w:eastAsia="仿宋_GB2312" w:cs="仿宋_GB2312"/>
                <w:color w:val="auto"/>
                <w:spacing w:val="0"/>
                <w:w w:val="100"/>
                <w:sz w:val="28"/>
                <w:szCs w:val="28"/>
                <w:vertAlign w:val="baseline"/>
                <w:lang w:val="en-US" w:eastAsia="zh-CN"/>
              </w:rPr>
            </w:pPr>
            <w:r>
              <w:rPr>
                <w:rFonts w:hint="eastAsia" w:ascii="仿宋_GB2312" w:hAnsi="仿宋_GB2312" w:eastAsia="仿宋_GB2312" w:cs="仿宋_GB2312"/>
                <w:color w:val="auto"/>
                <w:spacing w:val="0"/>
                <w:w w:val="100"/>
                <w:sz w:val="28"/>
                <w:szCs w:val="28"/>
                <w:vertAlign w:val="baseline"/>
                <w:lang w:val="en-US" w:eastAsia="zh-CN"/>
              </w:rPr>
              <w:t>栾政办〔2021〕8号</w:t>
            </w:r>
          </w:p>
        </w:tc>
        <w:tc>
          <w:tcPr>
            <w:tcW w:w="2044" w:type="dxa"/>
            <w:noWrap w:val="0"/>
            <w:vAlign w:val="center"/>
          </w:tcPr>
          <w:p w14:paraId="696D5500">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仿宋_GB2312" w:hAnsi="仿宋_GB2312" w:eastAsia="仿宋_GB2312" w:cs="仿宋_GB2312"/>
                <w:color w:val="auto"/>
                <w:spacing w:val="0"/>
                <w:w w:val="100"/>
                <w:sz w:val="28"/>
                <w:szCs w:val="28"/>
                <w:vertAlign w:val="baseline"/>
                <w:lang w:val="en-US" w:eastAsia="zh-CN"/>
              </w:rPr>
            </w:pPr>
            <w:r>
              <w:rPr>
                <w:rFonts w:hint="eastAsia" w:ascii="仿宋_GB2312" w:hAnsi="仿宋_GB2312" w:eastAsia="仿宋_GB2312" w:cs="仿宋_GB2312"/>
                <w:color w:val="auto"/>
                <w:spacing w:val="0"/>
                <w:w w:val="100"/>
                <w:sz w:val="28"/>
                <w:szCs w:val="28"/>
                <w:vertAlign w:val="baseline"/>
                <w:lang w:val="en-US" w:eastAsia="zh-CN"/>
              </w:rPr>
              <w:t>所依据的上级政策调整</w:t>
            </w:r>
          </w:p>
        </w:tc>
      </w:tr>
      <w:tr w14:paraId="4EBF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9" w:hRule="atLeast"/>
          <w:jc w:val="center"/>
        </w:trPr>
        <w:tc>
          <w:tcPr>
            <w:tcW w:w="892" w:type="dxa"/>
            <w:noWrap w:val="0"/>
            <w:vAlign w:val="center"/>
          </w:tcPr>
          <w:p w14:paraId="72C300EC">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仿宋_GB2312" w:hAnsi="仿宋_GB2312" w:eastAsia="仿宋_GB2312" w:cs="仿宋_GB2312"/>
                <w:color w:val="auto"/>
                <w:spacing w:val="0"/>
                <w:w w:val="100"/>
                <w:sz w:val="28"/>
                <w:szCs w:val="28"/>
                <w:vertAlign w:val="baseline"/>
                <w:lang w:val="en-US" w:eastAsia="zh-CN"/>
              </w:rPr>
            </w:pPr>
            <w:r>
              <w:rPr>
                <w:rFonts w:hint="eastAsia" w:ascii="仿宋_GB2312" w:hAnsi="仿宋_GB2312" w:eastAsia="仿宋_GB2312" w:cs="仿宋_GB2312"/>
                <w:color w:val="auto"/>
                <w:spacing w:val="0"/>
                <w:w w:val="100"/>
                <w:sz w:val="28"/>
                <w:szCs w:val="28"/>
                <w:vertAlign w:val="baseline"/>
                <w:lang w:val="en-US" w:eastAsia="zh-CN"/>
              </w:rPr>
              <w:t>4</w:t>
            </w:r>
          </w:p>
        </w:tc>
        <w:tc>
          <w:tcPr>
            <w:tcW w:w="3597" w:type="dxa"/>
            <w:noWrap w:val="0"/>
            <w:vAlign w:val="center"/>
          </w:tcPr>
          <w:p w14:paraId="1AB714A9">
            <w:pPr>
              <w:keepNext w:val="0"/>
              <w:keepLines w:val="0"/>
              <w:pageBreakBefore w:val="0"/>
              <w:widowControl w:val="0"/>
              <w:kinsoku/>
              <w:wordWrap/>
              <w:overflowPunct/>
              <w:topLinePunct w:val="0"/>
              <w:autoSpaceDE/>
              <w:autoSpaceDN/>
              <w:bidi w:val="0"/>
              <w:adjustRightInd/>
              <w:snapToGrid/>
              <w:spacing w:after="0" w:afterLines="0" w:line="500" w:lineRule="exact"/>
              <w:ind w:right="0"/>
              <w:jc w:val="both"/>
              <w:textAlignment w:val="auto"/>
              <w:rPr>
                <w:rFonts w:hint="eastAsia" w:ascii="仿宋_GB2312" w:hAnsi="仿宋_GB2312" w:eastAsia="仿宋_GB2312" w:cs="仿宋_GB2312"/>
                <w:color w:val="auto"/>
                <w:spacing w:val="0"/>
                <w:w w:val="100"/>
                <w:sz w:val="28"/>
                <w:szCs w:val="28"/>
                <w:vertAlign w:val="baseline"/>
                <w:lang w:val="en-US" w:eastAsia="zh-CN"/>
              </w:rPr>
            </w:pPr>
            <w:r>
              <w:rPr>
                <w:rFonts w:hint="eastAsia" w:ascii="仿宋_GB2312" w:hAnsi="仿宋_GB2312" w:eastAsia="仿宋_GB2312" w:cs="仿宋_GB2312"/>
                <w:color w:val="auto"/>
                <w:spacing w:val="0"/>
                <w:w w:val="100"/>
                <w:sz w:val="28"/>
                <w:szCs w:val="28"/>
                <w:vertAlign w:val="baseline"/>
                <w:lang w:val="en-US" w:eastAsia="zh-CN"/>
              </w:rPr>
              <w:t>栾川县人民政府关于大力促进个转企小升规规改股股上市企转新的意见</w:t>
            </w:r>
          </w:p>
        </w:tc>
        <w:tc>
          <w:tcPr>
            <w:tcW w:w="2805" w:type="dxa"/>
            <w:noWrap w:val="0"/>
            <w:vAlign w:val="center"/>
          </w:tcPr>
          <w:p w14:paraId="50418F3B">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仿宋_GB2312" w:hAnsi="仿宋_GB2312" w:eastAsia="仿宋_GB2312" w:cs="仿宋_GB2312"/>
                <w:color w:val="auto"/>
                <w:spacing w:val="0"/>
                <w:w w:val="100"/>
                <w:sz w:val="28"/>
                <w:szCs w:val="28"/>
                <w:vertAlign w:val="baseline"/>
                <w:lang w:val="en-US" w:eastAsia="zh-CN"/>
              </w:rPr>
            </w:pPr>
            <w:r>
              <w:rPr>
                <w:rFonts w:hint="eastAsia" w:ascii="仿宋_GB2312" w:hAnsi="仿宋_GB2312" w:eastAsia="仿宋_GB2312" w:cs="仿宋_GB2312"/>
                <w:color w:val="auto"/>
                <w:spacing w:val="0"/>
                <w:w w:val="100"/>
                <w:sz w:val="28"/>
                <w:szCs w:val="28"/>
                <w:vertAlign w:val="baseline"/>
                <w:lang w:val="en-US" w:eastAsia="zh-CN"/>
              </w:rPr>
              <w:t>栾政〔2022〕10号</w:t>
            </w:r>
          </w:p>
        </w:tc>
        <w:tc>
          <w:tcPr>
            <w:tcW w:w="2044" w:type="dxa"/>
            <w:noWrap w:val="0"/>
            <w:vAlign w:val="center"/>
          </w:tcPr>
          <w:p w14:paraId="46F75E4E">
            <w:pPr>
              <w:keepNext w:val="0"/>
              <w:keepLines w:val="0"/>
              <w:pageBreakBefore w:val="0"/>
              <w:widowControl w:val="0"/>
              <w:kinsoku/>
              <w:wordWrap/>
              <w:overflowPunct/>
              <w:topLinePunct w:val="0"/>
              <w:autoSpaceDE/>
              <w:autoSpaceDN/>
              <w:bidi w:val="0"/>
              <w:adjustRightInd/>
              <w:snapToGrid/>
              <w:spacing w:after="0" w:afterLines="0" w:line="500" w:lineRule="exact"/>
              <w:ind w:right="0"/>
              <w:jc w:val="center"/>
              <w:textAlignment w:val="auto"/>
              <w:rPr>
                <w:rFonts w:hint="eastAsia" w:ascii="仿宋_GB2312" w:hAnsi="仿宋_GB2312" w:eastAsia="仿宋_GB2312" w:cs="仿宋_GB2312"/>
                <w:color w:val="auto"/>
                <w:spacing w:val="0"/>
                <w:w w:val="100"/>
                <w:sz w:val="28"/>
                <w:szCs w:val="28"/>
                <w:vertAlign w:val="baseline"/>
                <w:lang w:val="en-US" w:eastAsia="zh-CN"/>
              </w:rPr>
            </w:pPr>
            <w:r>
              <w:rPr>
                <w:rFonts w:hint="eastAsia" w:ascii="仿宋_GB2312" w:hAnsi="仿宋_GB2312" w:eastAsia="仿宋_GB2312" w:cs="仿宋_GB2312"/>
                <w:color w:val="auto"/>
                <w:spacing w:val="0"/>
                <w:w w:val="100"/>
                <w:sz w:val="28"/>
                <w:szCs w:val="28"/>
                <w:vertAlign w:val="baseline"/>
                <w:lang w:val="en-US" w:eastAsia="zh-CN"/>
              </w:rPr>
              <w:t>所依据的上级政策调整</w:t>
            </w:r>
          </w:p>
        </w:tc>
      </w:tr>
    </w:tbl>
    <w:p w14:paraId="498C930C">
      <w:pPr>
        <w:pStyle w:val="9"/>
        <w:keepNext w:val="0"/>
        <w:keepLines w:val="0"/>
        <w:pageBreakBefore w:val="0"/>
        <w:widowControl w:val="0"/>
        <w:kinsoku/>
        <w:wordWrap/>
        <w:overflowPunct/>
        <w:topLinePunct w:val="0"/>
        <w:bidi w:val="0"/>
        <w:snapToGrid/>
        <w:spacing w:line="592" w:lineRule="exact"/>
        <w:textAlignment w:val="auto"/>
        <w:rPr>
          <w:rFonts w:hint="eastAsia" w:ascii="黑体" w:hAnsi="黑体" w:eastAsia="黑体" w:cs="黑体"/>
          <w:sz w:val="32"/>
          <w:szCs w:val="32"/>
          <w:lang w:val="en-US" w:eastAsia="zh-CN"/>
        </w:rPr>
      </w:pPr>
    </w:p>
    <w:p w14:paraId="3EA8B662">
      <w:pPr>
        <w:pStyle w:val="9"/>
        <w:keepNext w:val="0"/>
        <w:keepLines w:val="0"/>
        <w:pageBreakBefore w:val="0"/>
        <w:widowControl w:val="0"/>
        <w:kinsoku/>
        <w:wordWrap/>
        <w:overflowPunct/>
        <w:topLinePunct w:val="0"/>
        <w:bidi w:val="0"/>
        <w:snapToGrid/>
        <w:spacing w:line="592" w:lineRule="exact"/>
        <w:textAlignment w:val="auto"/>
        <w:rPr>
          <w:rFonts w:hint="eastAsia" w:ascii="黑体" w:hAnsi="黑体" w:eastAsia="黑体" w:cs="黑体"/>
          <w:sz w:val="32"/>
          <w:szCs w:val="32"/>
          <w:lang w:val="en-US" w:eastAsia="zh-CN"/>
        </w:rPr>
      </w:pPr>
    </w:p>
    <w:p w14:paraId="1542C0CB">
      <w:pPr>
        <w:pStyle w:val="9"/>
        <w:keepNext w:val="0"/>
        <w:keepLines w:val="0"/>
        <w:pageBreakBefore w:val="0"/>
        <w:widowControl w:val="0"/>
        <w:kinsoku/>
        <w:wordWrap/>
        <w:overflowPunct/>
        <w:topLinePunct w:val="0"/>
        <w:bidi w:val="0"/>
        <w:snapToGrid/>
        <w:spacing w:line="560" w:lineRule="exact"/>
        <w:textAlignment w:val="auto"/>
        <w:rPr>
          <w:rFonts w:hint="eastAsia" w:ascii="黑体" w:hAnsi="黑体" w:eastAsia="黑体" w:cs="黑体"/>
          <w:sz w:val="32"/>
          <w:szCs w:val="32"/>
          <w:lang w:val="en-US" w:eastAsia="zh-CN"/>
        </w:rPr>
      </w:pPr>
    </w:p>
    <w:p w14:paraId="05996FC9">
      <w:pPr>
        <w:pStyle w:val="9"/>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3BD55008">
      <w:pPr>
        <w:pStyle w:val="4"/>
        <w:keepNext w:val="0"/>
        <w:keepLines w:val="0"/>
        <w:pageBreakBefore w:val="0"/>
        <w:widowControl w:val="0"/>
        <w:kinsoku/>
        <w:wordWrap/>
        <w:overflowPunct/>
        <w:topLinePunct w:val="0"/>
        <w:autoSpaceDE/>
        <w:autoSpaceDN/>
        <w:bidi w:val="0"/>
        <w:adjustRightInd/>
        <w:snapToGrid/>
        <w:spacing w:before="0" w:after="0" w:line="400" w:lineRule="exact"/>
        <w:textAlignment w:val="auto"/>
        <w:rPr>
          <w:rFonts w:hint="eastAsia"/>
          <w:lang w:val="en-US" w:eastAsia="zh-CN"/>
        </w:rPr>
      </w:pPr>
    </w:p>
    <w:p w14:paraId="72C7F8DD">
      <w:pPr>
        <w:pStyle w:val="4"/>
        <w:keepNext w:val="0"/>
        <w:keepLines w:val="0"/>
        <w:pageBreakBefore w:val="0"/>
        <w:widowControl w:val="0"/>
        <w:kinsoku/>
        <w:wordWrap/>
        <w:overflowPunct/>
        <w:topLinePunct w:val="0"/>
        <w:autoSpaceDE/>
        <w:autoSpaceDN/>
        <w:bidi w:val="0"/>
        <w:adjustRightInd/>
        <w:snapToGrid/>
        <w:spacing w:before="0" w:after="0" w:line="500" w:lineRule="exact"/>
        <w:textAlignment w:val="auto"/>
        <w:rPr>
          <w:rFonts w:hint="eastAsia" w:ascii="Nimbus Roman" w:hAnsi="Nimbus Roman" w:eastAsia="方正小标宋简体" w:cs="方正小标宋简体"/>
          <w:b w:val="0"/>
          <w:bCs w:val="0"/>
          <w:i w:val="0"/>
          <w:iCs w:val="0"/>
          <w:caps w:val="0"/>
          <w:color w:val="121212"/>
          <w:spacing w:val="0"/>
          <w:sz w:val="44"/>
          <w:szCs w:val="44"/>
        </w:rPr>
      </w:pPr>
      <w:r>
        <w:rPr>
          <w:rFonts w:hint="eastAsia" w:ascii="Nimbus Roman" w:hAnsi="Nimbus Roman" w:eastAsia="方正小标宋简体" w:cs="方正小标宋简体"/>
          <w:b w:val="0"/>
          <w:bCs w:val="0"/>
          <w:i w:val="0"/>
          <w:iCs w:val="0"/>
          <w:caps w:val="0"/>
          <w:color w:val="121212"/>
          <w:spacing w:val="0"/>
          <w:sz w:val="44"/>
          <w:szCs w:val="44"/>
        </w:rPr>
        <w:t>栾川县人民政府继续有效的规范性文件目录</w:t>
      </w:r>
    </w:p>
    <w:p w14:paraId="60F05DC7">
      <w:pPr>
        <w:keepNext w:val="0"/>
        <w:keepLines w:val="0"/>
        <w:pageBreakBefore w:val="0"/>
        <w:widowControl w:val="0"/>
        <w:kinsoku/>
        <w:wordWrap/>
        <w:overflowPunct/>
        <w:topLinePunct w:val="0"/>
        <w:bidi w:val="0"/>
        <w:snapToGrid/>
        <w:spacing w:line="560" w:lineRule="exact"/>
        <w:textAlignment w:val="auto"/>
        <w:rPr>
          <w:rFonts w:hint="eastAsia"/>
          <w:lang w:val="en-US" w:eastAsia="zh-CN"/>
        </w:rPr>
      </w:pPr>
    </w:p>
    <w:tbl>
      <w:tblPr>
        <w:tblStyle w:val="7"/>
        <w:tblW w:w="92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702"/>
        <w:gridCol w:w="5986"/>
        <w:gridCol w:w="2583"/>
      </w:tblGrid>
      <w:tr w14:paraId="0B981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75" w:hRule="atLeast"/>
          <w:jc w:val="center"/>
        </w:trPr>
        <w:tc>
          <w:tcPr>
            <w:tcW w:w="702" w:type="dxa"/>
            <w:noWrap w:val="0"/>
            <w:vAlign w:val="center"/>
          </w:tcPr>
          <w:p w14:paraId="0949CCC6">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黑体" w:hAnsi="黑体" w:eastAsia="黑体" w:cs="黑体"/>
                <w:color w:val="auto"/>
                <w:spacing w:val="0"/>
                <w:w w:val="100"/>
                <w:sz w:val="24"/>
                <w:szCs w:val="24"/>
                <w:vertAlign w:val="baseline"/>
                <w:lang w:val="en-US" w:eastAsia="zh-CN"/>
              </w:rPr>
            </w:pPr>
            <w:r>
              <w:rPr>
                <w:rFonts w:hint="eastAsia" w:ascii="黑体" w:hAnsi="黑体" w:eastAsia="黑体" w:cs="黑体"/>
                <w:color w:val="auto"/>
                <w:spacing w:val="0"/>
                <w:w w:val="100"/>
                <w:sz w:val="24"/>
                <w:szCs w:val="24"/>
                <w:vertAlign w:val="baseline"/>
                <w:lang w:val="en-US" w:eastAsia="zh-CN"/>
              </w:rPr>
              <w:t>序号</w:t>
            </w:r>
          </w:p>
        </w:tc>
        <w:tc>
          <w:tcPr>
            <w:tcW w:w="5986" w:type="dxa"/>
            <w:noWrap w:val="0"/>
            <w:vAlign w:val="center"/>
          </w:tcPr>
          <w:p w14:paraId="50907EBA">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黑体" w:hAnsi="黑体" w:eastAsia="黑体" w:cs="黑体"/>
                <w:color w:val="auto"/>
                <w:spacing w:val="0"/>
                <w:w w:val="100"/>
                <w:sz w:val="24"/>
                <w:szCs w:val="24"/>
                <w:vertAlign w:val="baseline"/>
                <w:lang w:val="en-US" w:eastAsia="zh-CN"/>
              </w:rPr>
            </w:pPr>
            <w:r>
              <w:rPr>
                <w:rFonts w:hint="eastAsia" w:ascii="黑体" w:hAnsi="黑体" w:eastAsia="黑体" w:cs="黑体"/>
                <w:color w:val="auto"/>
                <w:spacing w:val="0"/>
                <w:w w:val="100"/>
                <w:sz w:val="24"/>
                <w:szCs w:val="24"/>
                <w:vertAlign w:val="baseline"/>
                <w:lang w:val="en-US" w:eastAsia="zh-CN"/>
              </w:rPr>
              <w:t>文件名称</w:t>
            </w:r>
          </w:p>
        </w:tc>
        <w:tc>
          <w:tcPr>
            <w:tcW w:w="2583" w:type="dxa"/>
            <w:noWrap w:val="0"/>
            <w:vAlign w:val="center"/>
          </w:tcPr>
          <w:p w14:paraId="2316FF82">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黑体" w:hAnsi="黑体" w:eastAsia="黑体" w:cs="黑体"/>
                <w:color w:val="auto"/>
                <w:spacing w:val="0"/>
                <w:w w:val="100"/>
                <w:sz w:val="24"/>
                <w:szCs w:val="24"/>
                <w:vertAlign w:val="baseline"/>
                <w:lang w:val="en-US" w:eastAsia="zh-CN"/>
              </w:rPr>
            </w:pPr>
            <w:r>
              <w:rPr>
                <w:rFonts w:hint="eastAsia" w:ascii="黑体" w:hAnsi="黑体" w:eastAsia="黑体" w:cs="黑体"/>
                <w:color w:val="auto"/>
                <w:spacing w:val="0"/>
                <w:w w:val="100"/>
                <w:sz w:val="24"/>
                <w:szCs w:val="24"/>
                <w:vertAlign w:val="baseline"/>
                <w:lang w:val="en-US" w:eastAsia="zh-CN"/>
              </w:rPr>
              <w:t>文号</w:t>
            </w:r>
          </w:p>
        </w:tc>
      </w:tr>
      <w:tr w14:paraId="1EAF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94" w:hRule="exact"/>
          <w:jc w:val="center"/>
        </w:trPr>
        <w:tc>
          <w:tcPr>
            <w:tcW w:w="702" w:type="dxa"/>
            <w:noWrap w:val="0"/>
            <w:vAlign w:val="center"/>
          </w:tcPr>
          <w:p w14:paraId="12534D06">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1</w:t>
            </w:r>
          </w:p>
        </w:tc>
        <w:tc>
          <w:tcPr>
            <w:tcW w:w="5986" w:type="dxa"/>
            <w:noWrap w:val="0"/>
            <w:vAlign w:val="center"/>
          </w:tcPr>
          <w:p w14:paraId="265130FC">
            <w:pPr>
              <w:keepNext w:val="0"/>
              <w:keepLines w:val="0"/>
              <w:pageBreakBefore w:val="0"/>
              <w:widowControl w:val="0"/>
              <w:kinsoku/>
              <w:wordWrap/>
              <w:overflowPunct/>
              <w:topLinePunct w:val="0"/>
              <w:autoSpaceDE/>
              <w:autoSpaceDN/>
              <w:bidi w:val="0"/>
              <w:adjustRightInd/>
              <w:snapToGrid/>
              <w:spacing w:after="0" w:afterLines="0" w:line="360" w:lineRule="exact"/>
              <w:ind w:right="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栾川县人民政府关于在市场监管领域全面推行部门联合“双随机、一公开”监管的实施意见</w:t>
            </w:r>
          </w:p>
        </w:tc>
        <w:tc>
          <w:tcPr>
            <w:tcW w:w="2583" w:type="dxa"/>
            <w:noWrap w:val="0"/>
            <w:vAlign w:val="center"/>
          </w:tcPr>
          <w:p w14:paraId="71705C7E">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栾政〔2020〕9号</w:t>
            </w:r>
          </w:p>
        </w:tc>
      </w:tr>
      <w:tr w14:paraId="7833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94" w:hRule="exact"/>
          <w:jc w:val="center"/>
        </w:trPr>
        <w:tc>
          <w:tcPr>
            <w:tcW w:w="702" w:type="dxa"/>
            <w:noWrap w:val="0"/>
            <w:vAlign w:val="center"/>
          </w:tcPr>
          <w:p w14:paraId="6F9A3C3D">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2</w:t>
            </w:r>
          </w:p>
        </w:tc>
        <w:tc>
          <w:tcPr>
            <w:tcW w:w="5986" w:type="dxa"/>
            <w:noWrap w:val="0"/>
            <w:vAlign w:val="center"/>
          </w:tcPr>
          <w:p w14:paraId="7F72D404">
            <w:pPr>
              <w:keepNext w:val="0"/>
              <w:keepLines w:val="0"/>
              <w:pageBreakBefore w:val="0"/>
              <w:widowControl w:val="0"/>
              <w:kinsoku/>
              <w:wordWrap/>
              <w:overflowPunct/>
              <w:topLinePunct w:val="0"/>
              <w:autoSpaceDE/>
              <w:autoSpaceDN/>
              <w:bidi w:val="0"/>
              <w:adjustRightInd/>
              <w:snapToGrid/>
              <w:spacing w:after="0" w:afterLines="0" w:line="360" w:lineRule="exact"/>
              <w:ind w:right="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栾川县人民政府关于划定高污染燃料禁燃区及强化管理的通告</w:t>
            </w:r>
          </w:p>
        </w:tc>
        <w:tc>
          <w:tcPr>
            <w:tcW w:w="2583" w:type="dxa"/>
            <w:noWrap w:val="0"/>
            <w:vAlign w:val="center"/>
          </w:tcPr>
          <w:p w14:paraId="181B0ED3">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栾政通〔2021〕5号</w:t>
            </w:r>
          </w:p>
        </w:tc>
      </w:tr>
      <w:tr w14:paraId="5AC3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94" w:hRule="exact"/>
          <w:jc w:val="center"/>
        </w:trPr>
        <w:tc>
          <w:tcPr>
            <w:tcW w:w="702" w:type="dxa"/>
            <w:noWrap w:val="0"/>
            <w:vAlign w:val="center"/>
          </w:tcPr>
          <w:p w14:paraId="6033197F">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3</w:t>
            </w:r>
          </w:p>
        </w:tc>
        <w:tc>
          <w:tcPr>
            <w:tcW w:w="5986" w:type="dxa"/>
            <w:noWrap w:val="0"/>
            <w:vAlign w:val="center"/>
          </w:tcPr>
          <w:p w14:paraId="632E14E2">
            <w:pPr>
              <w:keepNext w:val="0"/>
              <w:keepLines w:val="0"/>
              <w:pageBreakBefore w:val="0"/>
              <w:widowControl w:val="0"/>
              <w:kinsoku/>
              <w:wordWrap/>
              <w:overflowPunct/>
              <w:topLinePunct w:val="0"/>
              <w:autoSpaceDE/>
              <w:autoSpaceDN/>
              <w:bidi w:val="0"/>
              <w:adjustRightInd/>
              <w:snapToGrid/>
              <w:spacing w:after="0" w:afterLines="0" w:line="360" w:lineRule="exact"/>
              <w:ind w:right="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栾川县人民政府办公室关于印发栾川县市政消火栓建设管理办法的通知</w:t>
            </w:r>
          </w:p>
        </w:tc>
        <w:tc>
          <w:tcPr>
            <w:tcW w:w="2583" w:type="dxa"/>
            <w:noWrap w:val="0"/>
            <w:vAlign w:val="center"/>
          </w:tcPr>
          <w:p w14:paraId="4E659976">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栾政办〔2022〕49号</w:t>
            </w:r>
          </w:p>
        </w:tc>
      </w:tr>
      <w:tr w14:paraId="49CF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94" w:hRule="exact"/>
          <w:jc w:val="center"/>
        </w:trPr>
        <w:tc>
          <w:tcPr>
            <w:tcW w:w="702" w:type="dxa"/>
            <w:noWrap w:val="0"/>
            <w:vAlign w:val="center"/>
          </w:tcPr>
          <w:p w14:paraId="1837DEB5">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4</w:t>
            </w:r>
          </w:p>
        </w:tc>
        <w:tc>
          <w:tcPr>
            <w:tcW w:w="5986" w:type="dxa"/>
            <w:noWrap w:val="0"/>
            <w:vAlign w:val="center"/>
          </w:tcPr>
          <w:p w14:paraId="36CC3A84">
            <w:pPr>
              <w:keepNext w:val="0"/>
              <w:keepLines w:val="0"/>
              <w:pageBreakBefore w:val="0"/>
              <w:widowControl w:val="0"/>
              <w:kinsoku/>
              <w:wordWrap/>
              <w:overflowPunct/>
              <w:topLinePunct w:val="0"/>
              <w:autoSpaceDE/>
              <w:autoSpaceDN/>
              <w:bidi w:val="0"/>
              <w:adjustRightInd/>
              <w:snapToGrid/>
              <w:spacing w:after="0" w:afterLines="0" w:line="360" w:lineRule="exact"/>
              <w:ind w:right="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栾川县人民政府关于印发栾川县优化生育政策促进人口长期均衡发展实施方案的通知</w:t>
            </w:r>
          </w:p>
        </w:tc>
        <w:tc>
          <w:tcPr>
            <w:tcW w:w="2583" w:type="dxa"/>
            <w:noWrap w:val="0"/>
            <w:vAlign w:val="center"/>
          </w:tcPr>
          <w:p w14:paraId="3777BF05">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栾政〔2023〕18号</w:t>
            </w:r>
          </w:p>
        </w:tc>
      </w:tr>
      <w:tr w14:paraId="46B3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90" w:hRule="exact"/>
          <w:jc w:val="center"/>
        </w:trPr>
        <w:tc>
          <w:tcPr>
            <w:tcW w:w="702" w:type="dxa"/>
            <w:noWrap w:val="0"/>
            <w:vAlign w:val="center"/>
          </w:tcPr>
          <w:p w14:paraId="3B7DC852">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5</w:t>
            </w:r>
          </w:p>
        </w:tc>
        <w:tc>
          <w:tcPr>
            <w:tcW w:w="5986" w:type="dxa"/>
            <w:noWrap w:val="0"/>
            <w:vAlign w:val="center"/>
          </w:tcPr>
          <w:p w14:paraId="3082CD7C">
            <w:pPr>
              <w:keepNext w:val="0"/>
              <w:keepLines w:val="0"/>
              <w:pageBreakBefore w:val="0"/>
              <w:widowControl w:val="0"/>
              <w:kinsoku/>
              <w:wordWrap/>
              <w:overflowPunct/>
              <w:topLinePunct w:val="0"/>
              <w:autoSpaceDE/>
              <w:autoSpaceDN/>
              <w:bidi w:val="0"/>
              <w:adjustRightInd/>
              <w:snapToGrid/>
              <w:spacing w:after="0" w:afterLines="0" w:line="360" w:lineRule="exact"/>
              <w:ind w:right="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栾川县人民政府关于公布规范性文件清理结果的决定</w:t>
            </w:r>
          </w:p>
        </w:tc>
        <w:tc>
          <w:tcPr>
            <w:tcW w:w="2583" w:type="dxa"/>
            <w:noWrap w:val="0"/>
            <w:vAlign w:val="center"/>
          </w:tcPr>
          <w:p w14:paraId="3382FEA6">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栾政〔2024〕12号</w:t>
            </w:r>
          </w:p>
        </w:tc>
      </w:tr>
      <w:tr w14:paraId="0F56C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94" w:hRule="exact"/>
          <w:jc w:val="center"/>
        </w:trPr>
        <w:tc>
          <w:tcPr>
            <w:tcW w:w="702" w:type="dxa"/>
            <w:noWrap w:val="0"/>
            <w:vAlign w:val="center"/>
          </w:tcPr>
          <w:p w14:paraId="331270D8">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6</w:t>
            </w:r>
          </w:p>
        </w:tc>
        <w:tc>
          <w:tcPr>
            <w:tcW w:w="5986" w:type="dxa"/>
            <w:noWrap w:val="0"/>
            <w:vAlign w:val="center"/>
          </w:tcPr>
          <w:p w14:paraId="6A03337E">
            <w:pPr>
              <w:keepNext w:val="0"/>
              <w:keepLines w:val="0"/>
              <w:pageBreakBefore w:val="0"/>
              <w:widowControl w:val="0"/>
              <w:kinsoku/>
              <w:wordWrap/>
              <w:overflowPunct/>
              <w:topLinePunct w:val="0"/>
              <w:autoSpaceDE/>
              <w:autoSpaceDN/>
              <w:bidi w:val="0"/>
              <w:adjustRightInd/>
              <w:snapToGrid/>
              <w:spacing w:after="0" w:afterLines="0" w:line="360" w:lineRule="exact"/>
              <w:ind w:right="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栾川县人民政府办公室关于印发栾川县全面推进地方政府专职消防队伍建设发展实施方案的通知</w:t>
            </w:r>
          </w:p>
        </w:tc>
        <w:tc>
          <w:tcPr>
            <w:tcW w:w="2583" w:type="dxa"/>
            <w:noWrap w:val="0"/>
            <w:vAlign w:val="center"/>
          </w:tcPr>
          <w:p w14:paraId="324F57C1">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栾政办〔2025〕19号</w:t>
            </w:r>
          </w:p>
        </w:tc>
      </w:tr>
      <w:tr w14:paraId="33984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94" w:hRule="exact"/>
          <w:jc w:val="center"/>
        </w:trPr>
        <w:tc>
          <w:tcPr>
            <w:tcW w:w="702" w:type="dxa"/>
            <w:noWrap w:val="0"/>
            <w:vAlign w:val="center"/>
          </w:tcPr>
          <w:p w14:paraId="2E97B5C7">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7</w:t>
            </w:r>
          </w:p>
        </w:tc>
        <w:tc>
          <w:tcPr>
            <w:tcW w:w="5986" w:type="dxa"/>
            <w:noWrap w:val="0"/>
            <w:vAlign w:val="center"/>
          </w:tcPr>
          <w:p w14:paraId="4C95ACED">
            <w:pPr>
              <w:keepNext w:val="0"/>
              <w:keepLines w:val="0"/>
              <w:pageBreakBefore w:val="0"/>
              <w:widowControl w:val="0"/>
              <w:kinsoku/>
              <w:wordWrap/>
              <w:overflowPunct/>
              <w:topLinePunct w:val="0"/>
              <w:autoSpaceDE/>
              <w:autoSpaceDN/>
              <w:bidi w:val="0"/>
              <w:adjustRightInd/>
              <w:snapToGrid/>
              <w:spacing w:after="0" w:afterLines="0" w:line="360" w:lineRule="exact"/>
              <w:ind w:right="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栾川县人民政府办公室关于印发栾川县城市基础设施配套费征收管理办法的通知</w:t>
            </w:r>
          </w:p>
        </w:tc>
        <w:tc>
          <w:tcPr>
            <w:tcW w:w="2583" w:type="dxa"/>
            <w:noWrap w:val="0"/>
            <w:vAlign w:val="center"/>
          </w:tcPr>
          <w:p w14:paraId="17621EB1">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栾政办〔2025〕22号</w:t>
            </w:r>
          </w:p>
        </w:tc>
      </w:tr>
      <w:tr w14:paraId="1F22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59" w:hRule="exact"/>
          <w:jc w:val="center"/>
        </w:trPr>
        <w:tc>
          <w:tcPr>
            <w:tcW w:w="702" w:type="dxa"/>
            <w:noWrap w:val="0"/>
            <w:vAlign w:val="center"/>
          </w:tcPr>
          <w:p w14:paraId="62804502">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8</w:t>
            </w:r>
          </w:p>
        </w:tc>
        <w:tc>
          <w:tcPr>
            <w:tcW w:w="5986" w:type="dxa"/>
            <w:noWrap w:val="0"/>
            <w:vAlign w:val="center"/>
          </w:tcPr>
          <w:p w14:paraId="2D619448">
            <w:pPr>
              <w:keepNext w:val="0"/>
              <w:keepLines w:val="0"/>
              <w:pageBreakBefore w:val="0"/>
              <w:widowControl w:val="0"/>
              <w:kinsoku/>
              <w:wordWrap/>
              <w:overflowPunct/>
              <w:topLinePunct w:val="0"/>
              <w:autoSpaceDE/>
              <w:autoSpaceDN/>
              <w:bidi w:val="0"/>
              <w:adjustRightInd/>
              <w:snapToGrid/>
              <w:spacing w:after="0" w:afterLines="0" w:line="360" w:lineRule="exact"/>
              <w:ind w:right="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栾川县人民政府关于发布野生动物禁猎区、禁猎期的通告</w:t>
            </w:r>
          </w:p>
        </w:tc>
        <w:tc>
          <w:tcPr>
            <w:tcW w:w="2583" w:type="dxa"/>
            <w:noWrap w:val="0"/>
            <w:vAlign w:val="center"/>
          </w:tcPr>
          <w:p w14:paraId="2ACB0087">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栾政通〔2025〕16号</w:t>
            </w:r>
          </w:p>
        </w:tc>
      </w:tr>
      <w:tr w14:paraId="7FE8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94" w:hRule="exact"/>
          <w:jc w:val="center"/>
        </w:trPr>
        <w:tc>
          <w:tcPr>
            <w:tcW w:w="702" w:type="dxa"/>
            <w:noWrap w:val="0"/>
            <w:vAlign w:val="center"/>
          </w:tcPr>
          <w:p w14:paraId="6A63BC38">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9</w:t>
            </w:r>
          </w:p>
        </w:tc>
        <w:tc>
          <w:tcPr>
            <w:tcW w:w="5986" w:type="dxa"/>
            <w:noWrap w:val="0"/>
            <w:vAlign w:val="center"/>
          </w:tcPr>
          <w:p w14:paraId="54FBABE1">
            <w:pPr>
              <w:keepNext w:val="0"/>
              <w:keepLines w:val="0"/>
              <w:pageBreakBefore w:val="0"/>
              <w:widowControl w:val="0"/>
              <w:kinsoku/>
              <w:wordWrap/>
              <w:overflowPunct/>
              <w:topLinePunct w:val="0"/>
              <w:autoSpaceDE/>
              <w:autoSpaceDN/>
              <w:bidi w:val="0"/>
              <w:adjustRightInd/>
              <w:snapToGrid/>
              <w:spacing w:after="0" w:afterLines="0" w:line="360" w:lineRule="exact"/>
              <w:ind w:right="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栾川县人民政府办公室关于印发栾川县进一步推进新能源汽车推广应用及基础设施建设指导方案的</w:t>
            </w:r>
          </w:p>
          <w:p w14:paraId="32326C92">
            <w:pPr>
              <w:keepNext w:val="0"/>
              <w:keepLines w:val="0"/>
              <w:pageBreakBefore w:val="0"/>
              <w:widowControl w:val="0"/>
              <w:kinsoku/>
              <w:wordWrap/>
              <w:overflowPunct/>
              <w:topLinePunct w:val="0"/>
              <w:autoSpaceDE/>
              <w:autoSpaceDN/>
              <w:bidi w:val="0"/>
              <w:adjustRightInd/>
              <w:snapToGrid/>
              <w:spacing w:after="0" w:afterLines="0" w:line="360" w:lineRule="exact"/>
              <w:ind w:right="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通知</w:t>
            </w:r>
          </w:p>
        </w:tc>
        <w:tc>
          <w:tcPr>
            <w:tcW w:w="2583" w:type="dxa"/>
            <w:noWrap w:val="0"/>
            <w:vAlign w:val="center"/>
          </w:tcPr>
          <w:p w14:paraId="4FD6499E">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栾政办〔2025〕7号</w:t>
            </w:r>
          </w:p>
        </w:tc>
      </w:tr>
      <w:tr w14:paraId="0C51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94" w:hRule="exact"/>
          <w:jc w:val="center"/>
        </w:trPr>
        <w:tc>
          <w:tcPr>
            <w:tcW w:w="702" w:type="dxa"/>
            <w:noWrap w:val="0"/>
            <w:vAlign w:val="center"/>
          </w:tcPr>
          <w:p w14:paraId="2C772DBD">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10</w:t>
            </w:r>
          </w:p>
        </w:tc>
        <w:tc>
          <w:tcPr>
            <w:tcW w:w="5986" w:type="dxa"/>
            <w:noWrap w:val="0"/>
            <w:vAlign w:val="center"/>
          </w:tcPr>
          <w:p w14:paraId="7AEFB076">
            <w:pPr>
              <w:keepNext w:val="0"/>
              <w:keepLines w:val="0"/>
              <w:pageBreakBefore w:val="0"/>
              <w:widowControl w:val="0"/>
              <w:kinsoku/>
              <w:wordWrap/>
              <w:overflowPunct/>
              <w:topLinePunct w:val="0"/>
              <w:autoSpaceDE/>
              <w:autoSpaceDN/>
              <w:bidi w:val="0"/>
              <w:adjustRightInd/>
              <w:snapToGrid/>
              <w:spacing w:after="0" w:afterLines="0" w:line="360" w:lineRule="exact"/>
              <w:ind w:right="0" w:rightChars="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栾川县人民政府关于印发栾川县工程建设项目审批制度改革实施方案的通知</w:t>
            </w:r>
          </w:p>
        </w:tc>
        <w:tc>
          <w:tcPr>
            <w:tcW w:w="2583" w:type="dxa"/>
            <w:noWrap w:val="0"/>
            <w:vAlign w:val="center"/>
          </w:tcPr>
          <w:p w14:paraId="7671DE90">
            <w:pPr>
              <w:keepNext w:val="0"/>
              <w:keepLines w:val="0"/>
              <w:pageBreakBefore w:val="0"/>
              <w:widowControl w:val="0"/>
              <w:kinsoku/>
              <w:wordWrap/>
              <w:overflowPunct/>
              <w:topLinePunct w:val="0"/>
              <w:autoSpaceDE/>
              <w:autoSpaceDN/>
              <w:bidi w:val="0"/>
              <w:adjustRightInd/>
              <w:snapToGrid/>
              <w:spacing w:after="0" w:afterLines="0" w:line="360" w:lineRule="exact"/>
              <w:ind w:right="0" w:rightChars="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栾政〔2019〕11号</w:t>
            </w:r>
          </w:p>
        </w:tc>
      </w:tr>
      <w:tr w14:paraId="371C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94" w:hRule="exact"/>
          <w:jc w:val="center"/>
        </w:trPr>
        <w:tc>
          <w:tcPr>
            <w:tcW w:w="702" w:type="dxa"/>
            <w:noWrap w:val="0"/>
            <w:vAlign w:val="center"/>
          </w:tcPr>
          <w:p w14:paraId="2350042D">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11</w:t>
            </w:r>
          </w:p>
        </w:tc>
        <w:tc>
          <w:tcPr>
            <w:tcW w:w="5986" w:type="dxa"/>
            <w:noWrap w:val="0"/>
            <w:vAlign w:val="center"/>
          </w:tcPr>
          <w:p w14:paraId="2AC8D173">
            <w:pPr>
              <w:keepNext w:val="0"/>
              <w:keepLines w:val="0"/>
              <w:pageBreakBefore w:val="0"/>
              <w:widowControl w:val="0"/>
              <w:kinsoku/>
              <w:wordWrap/>
              <w:overflowPunct/>
              <w:topLinePunct w:val="0"/>
              <w:autoSpaceDE/>
              <w:autoSpaceDN/>
              <w:bidi w:val="0"/>
              <w:adjustRightInd/>
              <w:snapToGrid/>
              <w:spacing w:after="0" w:afterLines="0" w:line="360" w:lineRule="exact"/>
              <w:ind w:right="0" w:rightChars="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栾川县人民政府办公室关于印发栾川县“中国天然氧吧”品牌标志使用管理规定（试行）的通知</w:t>
            </w:r>
          </w:p>
        </w:tc>
        <w:tc>
          <w:tcPr>
            <w:tcW w:w="2583" w:type="dxa"/>
            <w:noWrap w:val="0"/>
            <w:vAlign w:val="center"/>
          </w:tcPr>
          <w:p w14:paraId="02C80B34">
            <w:pPr>
              <w:keepNext w:val="0"/>
              <w:keepLines w:val="0"/>
              <w:pageBreakBefore w:val="0"/>
              <w:widowControl w:val="0"/>
              <w:kinsoku/>
              <w:wordWrap/>
              <w:overflowPunct/>
              <w:topLinePunct w:val="0"/>
              <w:autoSpaceDE/>
              <w:autoSpaceDN/>
              <w:bidi w:val="0"/>
              <w:adjustRightInd/>
              <w:snapToGrid/>
              <w:spacing w:after="0" w:afterLines="0" w:line="360" w:lineRule="exact"/>
              <w:ind w:right="0" w:rightChars="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栾政办〔2026〕5号</w:t>
            </w:r>
          </w:p>
        </w:tc>
      </w:tr>
      <w:tr w14:paraId="1B20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90" w:hRule="exact"/>
          <w:jc w:val="center"/>
        </w:trPr>
        <w:tc>
          <w:tcPr>
            <w:tcW w:w="702" w:type="dxa"/>
            <w:noWrap w:val="0"/>
            <w:vAlign w:val="center"/>
          </w:tcPr>
          <w:p w14:paraId="7AF88E3F">
            <w:pPr>
              <w:keepNext w:val="0"/>
              <w:keepLines w:val="0"/>
              <w:pageBreakBefore w:val="0"/>
              <w:widowControl w:val="0"/>
              <w:kinsoku/>
              <w:wordWrap/>
              <w:overflowPunct/>
              <w:topLinePunct w:val="0"/>
              <w:autoSpaceDE/>
              <w:autoSpaceDN/>
              <w:bidi w:val="0"/>
              <w:adjustRightInd/>
              <w:snapToGrid/>
              <w:spacing w:after="0" w:afterLines="0" w:line="360" w:lineRule="exact"/>
              <w:ind w:right="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12</w:t>
            </w:r>
          </w:p>
        </w:tc>
        <w:tc>
          <w:tcPr>
            <w:tcW w:w="5986" w:type="dxa"/>
            <w:noWrap w:val="0"/>
            <w:vAlign w:val="center"/>
          </w:tcPr>
          <w:p w14:paraId="5DA22164">
            <w:pPr>
              <w:keepNext w:val="0"/>
              <w:keepLines w:val="0"/>
              <w:pageBreakBefore w:val="0"/>
              <w:widowControl w:val="0"/>
              <w:kinsoku/>
              <w:wordWrap/>
              <w:overflowPunct/>
              <w:topLinePunct w:val="0"/>
              <w:autoSpaceDE/>
              <w:autoSpaceDN/>
              <w:bidi w:val="0"/>
              <w:adjustRightInd/>
              <w:snapToGrid/>
              <w:spacing w:after="0" w:afterLines="0" w:line="360" w:lineRule="exact"/>
              <w:ind w:right="0" w:rightChars="0"/>
              <w:jc w:val="both"/>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栾川县人民政府关于修订清理规范性文件的决定</w:t>
            </w:r>
          </w:p>
        </w:tc>
        <w:tc>
          <w:tcPr>
            <w:tcW w:w="2583" w:type="dxa"/>
            <w:noWrap w:val="0"/>
            <w:vAlign w:val="center"/>
          </w:tcPr>
          <w:p w14:paraId="2539E521">
            <w:pPr>
              <w:keepNext w:val="0"/>
              <w:keepLines w:val="0"/>
              <w:pageBreakBefore w:val="0"/>
              <w:widowControl w:val="0"/>
              <w:kinsoku/>
              <w:wordWrap/>
              <w:overflowPunct/>
              <w:topLinePunct w:val="0"/>
              <w:autoSpaceDE/>
              <w:autoSpaceDN/>
              <w:bidi w:val="0"/>
              <w:adjustRightInd/>
              <w:snapToGrid/>
              <w:spacing w:after="0" w:afterLines="0" w:line="360" w:lineRule="exact"/>
              <w:ind w:right="0" w:rightChars="0"/>
              <w:jc w:val="center"/>
              <w:textAlignment w:val="auto"/>
              <w:rPr>
                <w:rFonts w:hint="eastAsia" w:ascii="仿宋_GB2312" w:hAnsi="仿宋_GB2312" w:eastAsia="仿宋_GB2312" w:cs="仿宋_GB2312"/>
                <w:color w:val="auto"/>
                <w:spacing w:val="0"/>
                <w:w w:val="100"/>
                <w:sz w:val="24"/>
                <w:szCs w:val="24"/>
                <w:vertAlign w:val="baseline"/>
                <w:lang w:val="en-US" w:eastAsia="zh-CN"/>
              </w:rPr>
            </w:pPr>
            <w:r>
              <w:rPr>
                <w:rFonts w:hint="eastAsia" w:ascii="仿宋_GB2312" w:hAnsi="仿宋_GB2312" w:eastAsia="仿宋_GB2312" w:cs="仿宋_GB2312"/>
                <w:color w:val="auto"/>
                <w:spacing w:val="0"/>
                <w:w w:val="100"/>
                <w:sz w:val="24"/>
                <w:szCs w:val="24"/>
                <w:vertAlign w:val="baseline"/>
                <w:lang w:val="en-US" w:eastAsia="zh-CN"/>
              </w:rPr>
              <w:t>栾政〔2026〕2号</w:t>
            </w:r>
          </w:p>
        </w:tc>
      </w:tr>
    </w:tbl>
    <w:p w14:paraId="172C28C5">
      <w:pPr>
        <w:pStyle w:val="9"/>
        <w:keepNext w:val="0"/>
        <w:keepLines w:val="0"/>
        <w:pageBreakBefore w:val="0"/>
        <w:widowControl w:val="0"/>
        <w:kinsoku/>
        <w:wordWrap/>
        <w:overflowPunct/>
        <w:topLinePunct w:val="0"/>
        <w:autoSpaceDE w:val="0"/>
        <w:autoSpaceDN w:val="0"/>
        <w:bidi w:val="0"/>
        <w:adjustRightInd w:val="0"/>
        <w:snapToGrid/>
        <w:spacing w:line="592" w:lineRule="exact"/>
        <w:ind w:left="0" w:leftChars="0" w:firstLine="240" w:firstLineChars="100"/>
        <w:textAlignment w:val="auto"/>
        <w:rPr>
          <w:rFonts w:hint="default"/>
          <w:lang w:val="en-US" w:eastAsia="zh-CN"/>
        </w:rPr>
      </w:pPr>
      <w:bookmarkStart w:id="0" w:name="_GoBack"/>
      <w:bookmarkEnd w:id="0"/>
    </w:p>
    <w:sectPr>
      <w:footerReference r:id="rId3" w:type="default"/>
      <w:footerReference r:id="rId4" w:type="even"/>
      <w:type w:val="continuous"/>
      <w:pgSz w:w="11906" w:h="16838"/>
      <w:pgMar w:top="1928" w:right="1474" w:bottom="1871" w:left="1587"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Nimbus Roman">
    <w:altName w:val="Segoe Print"/>
    <w:panose1 w:val="00000500000000000000"/>
    <w:charset w:val="00"/>
    <w:family w:val="auto"/>
    <w:pitch w:val="default"/>
    <w:sig w:usb0="00000000" w:usb1="00000000" w:usb2="00000000" w:usb3="00000000" w:csb0="6000009F" w:csb1="00000000"/>
  </w:font>
  <w:font w:name="平方怀古体">
    <w:altName w:val="Yu Gothic UI"/>
    <w:panose1 w:val="02000500000000000000"/>
    <w:charset w:val="80"/>
    <w:family w:val="auto"/>
    <w:pitch w:val="default"/>
    <w:sig w:usb0="00000000" w:usb1="00000000" w:usb2="00000010" w:usb3="00000000" w:csb0="00020001" w:csb1="00000000"/>
  </w:font>
  <w:font w:name="方正黑体简体">
    <w:altName w:val="微软雅黑"/>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77146">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4781550</wp:posOffset>
              </wp:positionH>
              <wp:positionV relativeFrom="paragraph">
                <wp:posOffset>-372745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BF9D">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76.5pt;margin-top:-29.35pt;height:144pt;width:144pt;mso-position-horizontal-relative:margin;mso-wrap-style:none;z-index:251659264;mso-width-relative:page;mso-height-relative:page;" filled="f" stroked="f" coordsize="21600,21600" o:gfxdata="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YX9cz9oAAAAMAQAADwAAAAAAAAABACAAAAAiAAAAZHJzL2Rvd25yZXYu&#10;eG1sUEsBAhQAFAAAAAgAh07iQPWLh2QyAgAAYQQAAA4AAAAAAAAAAQAgAAAAKQEAAGRycy9lMm9E&#10;b2MueG1sUEsFBgAAAAAGAAYAWQEAAM0FAAAAAA==&#10;">
              <v:fill on="f" focussize="0,0"/>
              <v:stroke on="f" weight="0.5pt"/>
              <v:imagedata o:title=""/>
              <o:lock v:ext="edit" aspectratio="f"/>
              <v:textbox inset="0mm,0mm,0mm,0mm" style="mso-fit-shape-to-text:t;">
                <w:txbxContent>
                  <w:p w14:paraId="55F0BF9D">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58FCC">
    <w:pPr>
      <w:pStyle w:val="2"/>
    </w:pPr>
    <w:r>
      <w:rPr>
        <w:sz w:val="18"/>
      </w:rPr>
      <mc:AlternateContent>
        <mc:Choice Requires="wps">
          <w:drawing>
            <wp:anchor distT="0" distB="0" distL="114300" distR="114300" simplePos="0" relativeHeight="251660288" behindDoc="0" locked="0" layoutInCell="1" allowOverlap="1">
              <wp:simplePos x="0" y="0"/>
              <wp:positionH relativeFrom="margin">
                <wp:posOffset>153035</wp:posOffset>
              </wp:positionH>
              <wp:positionV relativeFrom="paragraph">
                <wp:posOffset>-393065</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49C5BC">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2.05pt;margin-top:-30.95pt;height:144pt;width:144pt;mso-position-horizontal-relative:margin;mso-wrap-style:none;z-index:251660288;mso-width-relative:page;mso-height-relative:page;" filled="f" stroked="f" coordsize="21600,21600" o:gfxdata="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Pj5Np1wAAAAoBAAAPAAAAAAAAAAEAIAAAACIAAABkcnMvZG93bnJldi54bWxQ&#10;SwECFAAUAAAACACHTuJAx5e1zjECAABhBAAADgAAAAAAAAABACAAAAAmAQAAZHJzL2Uyb0RvYy54&#10;bWxQSwUGAAAAAAYABgBZAQAAyQUAAAAA&#10;">
              <v:fill on="f" focussize="0,0"/>
              <v:stroke on="f" weight="0.5pt"/>
              <v:imagedata o:title=""/>
              <o:lock v:ext="edit" aspectratio="f"/>
              <v:textbox inset="0mm,0mm,0mm,0mm" style="mso-fit-shape-to-text:t;">
                <w:txbxContent>
                  <w:p w14:paraId="7549C5BC">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403B86"/>
    <w:rsid w:val="02020CA1"/>
    <w:rsid w:val="03BB7FBE"/>
    <w:rsid w:val="05543AFA"/>
    <w:rsid w:val="05D14C25"/>
    <w:rsid w:val="05E05ABA"/>
    <w:rsid w:val="08132F82"/>
    <w:rsid w:val="0AA54E8A"/>
    <w:rsid w:val="0ABD286D"/>
    <w:rsid w:val="0C16540D"/>
    <w:rsid w:val="0C6F178C"/>
    <w:rsid w:val="0C985340"/>
    <w:rsid w:val="0DD203DE"/>
    <w:rsid w:val="0E3966AF"/>
    <w:rsid w:val="0F9718DF"/>
    <w:rsid w:val="117030C0"/>
    <w:rsid w:val="11D230A2"/>
    <w:rsid w:val="176D73C9"/>
    <w:rsid w:val="17982698"/>
    <w:rsid w:val="19960E59"/>
    <w:rsid w:val="1C6074FD"/>
    <w:rsid w:val="1DE43DCF"/>
    <w:rsid w:val="218D2B42"/>
    <w:rsid w:val="238356C0"/>
    <w:rsid w:val="242268B8"/>
    <w:rsid w:val="266D5C8A"/>
    <w:rsid w:val="26EA2CC8"/>
    <w:rsid w:val="2B194FFC"/>
    <w:rsid w:val="2BAA609E"/>
    <w:rsid w:val="2E755089"/>
    <w:rsid w:val="30403B86"/>
    <w:rsid w:val="30C72117"/>
    <w:rsid w:val="3428494C"/>
    <w:rsid w:val="358D0F0B"/>
    <w:rsid w:val="35BB76F2"/>
    <w:rsid w:val="37A20571"/>
    <w:rsid w:val="39A60CBB"/>
    <w:rsid w:val="39F86214"/>
    <w:rsid w:val="3A304A1A"/>
    <w:rsid w:val="3B1A1976"/>
    <w:rsid w:val="40ED6D01"/>
    <w:rsid w:val="419E1DAA"/>
    <w:rsid w:val="43A538C3"/>
    <w:rsid w:val="45A42F3B"/>
    <w:rsid w:val="45A823BC"/>
    <w:rsid w:val="45AC718B"/>
    <w:rsid w:val="45B918A8"/>
    <w:rsid w:val="475F3D89"/>
    <w:rsid w:val="4C2630C7"/>
    <w:rsid w:val="4DB7491F"/>
    <w:rsid w:val="4FE87055"/>
    <w:rsid w:val="503009B9"/>
    <w:rsid w:val="52A5743C"/>
    <w:rsid w:val="53563E20"/>
    <w:rsid w:val="55E53FF3"/>
    <w:rsid w:val="560B5B9C"/>
    <w:rsid w:val="560C77D2"/>
    <w:rsid w:val="57792C45"/>
    <w:rsid w:val="5BD9240A"/>
    <w:rsid w:val="5C983B6D"/>
    <w:rsid w:val="5EC0115A"/>
    <w:rsid w:val="5F2E078E"/>
    <w:rsid w:val="5FFAE8EE"/>
    <w:rsid w:val="67A5B2C1"/>
    <w:rsid w:val="67F87C60"/>
    <w:rsid w:val="682D3D04"/>
    <w:rsid w:val="68774F7F"/>
    <w:rsid w:val="698E1994"/>
    <w:rsid w:val="6AF705F9"/>
    <w:rsid w:val="6C0A6A46"/>
    <w:rsid w:val="6E712470"/>
    <w:rsid w:val="70251764"/>
    <w:rsid w:val="709541E7"/>
    <w:rsid w:val="71015D2D"/>
    <w:rsid w:val="71EA57B9"/>
    <w:rsid w:val="731E2BC7"/>
    <w:rsid w:val="73F456D6"/>
    <w:rsid w:val="74607793"/>
    <w:rsid w:val="752B5127"/>
    <w:rsid w:val="7548217D"/>
    <w:rsid w:val="764A782F"/>
    <w:rsid w:val="7880578A"/>
    <w:rsid w:val="7A70749C"/>
    <w:rsid w:val="7B7673C5"/>
    <w:rsid w:val="7C492337"/>
    <w:rsid w:val="7C4F864B"/>
    <w:rsid w:val="7E265025"/>
    <w:rsid w:val="7F7E602B"/>
    <w:rsid w:val="7F9BF9E6"/>
    <w:rsid w:val="F9FBABA0"/>
    <w:rsid w:val="FEF61A27"/>
    <w:rsid w:val="FFCB8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Subtitle"/>
    <w:basedOn w:val="1"/>
    <w:next w:val="1"/>
    <w:qFormat/>
    <w:uiPriority w:val="0"/>
    <w:pPr>
      <w:spacing w:before="240" w:after="60" w:line="312" w:lineRule="auto"/>
      <w:jc w:val="center"/>
      <w:outlineLvl w:val="1"/>
    </w:pPr>
    <w:rPr>
      <w:rFonts w:ascii="Cambria" w:hAnsi="Cambria" w:eastAsia="Times New Roman"/>
      <w:b/>
      <w:bCs/>
      <w:kern w:val="28"/>
      <w:sz w:val="32"/>
      <w:szCs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next w:val="4"/>
    <w:qFormat/>
    <w:uiPriority w:val="0"/>
    <w:pPr>
      <w:widowControl w:val="0"/>
      <w:autoSpaceDE w:val="0"/>
      <w:autoSpaceDN w:val="0"/>
      <w:adjustRightInd w:val="0"/>
    </w:pPr>
    <w:rPr>
      <w:rFonts w:hint="eastAsia" w:ascii="黑体" w:hAnsi="黑体" w:eastAsia="黑体" w:cs="黑体"/>
      <w:color w:val="00000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1156</Words>
  <Characters>1252</Characters>
  <Lines>0</Lines>
  <Paragraphs>0</Paragraphs>
  <TotalTime>15</TotalTime>
  <ScaleCrop>false</ScaleCrop>
  <LinksUpToDate>false</LinksUpToDate>
  <CharactersWithSpaces>1311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2026-07-11T01:28:00Z</dcterms:created>
  <dc:creator>搓园</dc:creator>
  <cp:lastModifiedBy>伏牛山人</cp:lastModifiedBy>
  <cp:lastPrinted>2026-09-16T02:20:00Z</cp:lastPrinted>
  <dcterms:modified xsi:type="dcterms:W3CDTF">2026-09-20T08:54:01Z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5D33BB9CA27F440596C29B0BFCDD1216_11</vt:lpwstr>
  </property>
  <property fmtid="{D5CDD505-2E9C-101B-9397-08002B2CF9AE}" pid="4" name="KSOTemplateDocerSaveRecord">
    <vt:lpwstr>eyJoZGlkIjoiMjM1MGFkNjY5NTVjMzZiNGNkOWI4YzRlODc2MWNhMDAiLCJ1c2VySWQiOiIxMDY0MTA4NTE4In0=</vt:lpwstr>
  </property>
</Properties>
</file>