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AADBF">
      <w:pPr>
        <w:keepNext w:val="0"/>
        <w:keepLines w:val="0"/>
        <w:pageBreakBefore w:val="0"/>
        <w:widowControl w:val="0"/>
        <w:kinsoku/>
        <w:overflowPunct/>
        <w:topLinePunct w:val="0"/>
        <w:bidi w:val="0"/>
        <w:spacing w:line="600" w:lineRule="exact"/>
        <w:ind w:left="0" w:leftChars="0"/>
        <w:jc w:val="center"/>
        <w:textAlignment w:val="auto"/>
        <w:rPr>
          <w:rFonts w:hint="eastAsia" w:eastAsia="方正小标宋简体"/>
          <w:b w:val="0"/>
          <w:bCs w:val="0"/>
          <w:sz w:val="44"/>
          <w:szCs w:val="44"/>
        </w:rPr>
      </w:pPr>
    </w:p>
    <w:p w14:paraId="037EC943">
      <w:pPr>
        <w:keepNext w:val="0"/>
        <w:keepLines w:val="0"/>
        <w:pageBreakBefore w:val="0"/>
        <w:widowControl w:val="0"/>
        <w:kinsoku/>
        <w:overflowPunct/>
        <w:topLinePunct w:val="0"/>
        <w:bidi w:val="0"/>
        <w:spacing w:line="600" w:lineRule="exact"/>
        <w:ind w:left="0" w:leftChars="0"/>
        <w:jc w:val="center"/>
        <w:textAlignment w:val="auto"/>
        <w:rPr>
          <w:rFonts w:eastAsia="方正小标宋简体"/>
          <w:b w:val="0"/>
          <w:bCs w:val="0"/>
          <w:sz w:val="44"/>
          <w:szCs w:val="44"/>
        </w:rPr>
      </w:pPr>
    </w:p>
    <w:p w14:paraId="2A4FC280">
      <w:pPr>
        <w:keepNext w:val="0"/>
        <w:keepLines w:val="0"/>
        <w:pageBreakBefore w:val="0"/>
        <w:widowControl w:val="0"/>
        <w:kinsoku/>
        <w:overflowPunct/>
        <w:topLinePunct w:val="0"/>
        <w:bidi w:val="0"/>
        <w:spacing w:line="600" w:lineRule="exact"/>
        <w:ind w:left="0" w:leftChars="0"/>
        <w:jc w:val="center"/>
        <w:textAlignment w:val="auto"/>
        <w:rPr>
          <w:rFonts w:eastAsia="方正小标宋简体"/>
          <w:b w:val="0"/>
          <w:bCs w:val="0"/>
          <w:sz w:val="44"/>
          <w:szCs w:val="44"/>
        </w:rPr>
      </w:pPr>
    </w:p>
    <w:p w14:paraId="2339EA30">
      <w:pPr>
        <w:keepNext w:val="0"/>
        <w:keepLines w:val="0"/>
        <w:pageBreakBefore w:val="0"/>
        <w:widowControl w:val="0"/>
        <w:kinsoku/>
        <w:overflowPunct/>
        <w:topLinePunct w:val="0"/>
        <w:bidi w:val="0"/>
        <w:spacing w:line="600" w:lineRule="exact"/>
        <w:ind w:left="0" w:leftChars="0"/>
        <w:jc w:val="center"/>
        <w:textAlignment w:val="auto"/>
        <w:rPr>
          <w:rFonts w:eastAsia="方正小标宋简体"/>
          <w:b w:val="0"/>
          <w:bCs w:val="0"/>
          <w:sz w:val="44"/>
          <w:szCs w:val="44"/>
        </w:rPr>
      </w:pPr>
    </w:p>
    <w:p w14:paraId="4B7DFB44">
      <w:pPr>
        <w:pStyle w:val="2"/>
        <w:keepNext w:val="0"/>
        <w:keepLines w:val="0"/>
        <w:pageBreakBefore w:val="0"/>
        <w:widowControl w:val="0"/>
        <w:kinsoku/>
        <w:overflowPunct/>
        <w:topLinePunct w:val="0"/>
        <w:bidi w:val="0"/>
        <w:spacing w:line="600" w:lineRule="exact"/>
        <w:ind w:left="0" w:leftChars="0"/>
        <w:textAlignment w:val="auto"/>
        <w:rPr>
          <w:rFonts w:ascii="Times New Roman"/>
          <w:b w:val="0"/>
          <w:bCs w:val="0"/>
          <w:color w:val="auto"/>
        </w:rPr>
      </w:pPr>
    </w:p>
    <w:p w14:paraId="0669ED7F">
      <w:pPr>
        <w:pStyle w:val="2"/>
        <w:keepNext w:val="0"/>
        <w:keepLines w:val="0"/>
        <w:pageBreakBefore w:val="0"/>
        <w:widowControl w:val="0"/>
        <w:kinsoku/>
        <w:overflowPunct/>
        <w:topLinePunct w:val="0"/>
        <w:bidi w:val="0"/>
        <w:spacing w:line="600" w:lineRule="exact"/>
        <w:ind w:left="0" w:leftChars="0"/>
        <w:textAlignment w:val="auto"/>
        <w:rPr>
          <w:rFonts w:ascii="Times New Roman"/>
          <w:b w:val="0"/>
          <w:bCs w:val="0"/>
          <w:color w:val="auto"/>
        </w:rPr>
      </w:pPr>
    </w:p>
    <w:p w14:paraId="40229319">
      <w:pPr>
        <w:pStyle w:val="2"/>
        <w:keepNext w:val="0"/>
        <w:keepLines w:val="0"/>
        <w:pageBreakBefore w:val="0"/>
        <w:widowControl w:val="0"/>
        <w:kinsoku/>
        <w:overflowPunct/>
        <w:topLinePunct w:val="0"/>
        <w:bidi w:val="0"/>
        <w:spacing w:line="600" w:lineRule="exact"/>
        <w:ind w:left="0" w:leftChars="0"/>
        <w:jc w:val="center"/>
        <w:textAlignment w:val="auto"/>
        <w:rPr>
          <w:rFonts w:ascii="Times New Roman"/>
          <w:b w:val="0"/>
          <w:bCs w:val="0"/>
          <w:color w:val="auto"/>
        </w:rPr>
      </w:pPr>
    </w:p>
    <w:p w14:paraId="148B3E74">
      <w:pPr>
        <w:pStyle w:val="2"/>
        <w:keepNext w:val="0"/>
        <w:keepLines w:val="0"/>
        <w:pageBreakBefore w:val="0"/>
        <w:widowControl w:val="0"/>
        <w:kinsoku/>
        <w:wordWrap/>
        <w:overflowPunct/>
        <w:topLinePunct w:val="0"/>
        <w:autoSpaceDE w:val="0"/>
        <w:autoSpaceDN w:val="0"/>
        <w:bidi w:val="0"/>
        <w:adjustRightInd w:val="0"/>
        <w:snapToGrid/>
        <w:spacing w:line="240" w:lineRule="exact"/>
        <w:ind w:left="0" w:leftChars="0"/>
        <w:jc w:val="center"/>
        <w:textAlignment w:val="auto"/>
        <w:rPr>
          <w:rFonts w:ascii="Times New Roman"/>
          <w:b w:val="0"/>
          <w:bCs w:val="0"/>
          <w:color w:val="auto"/>
        </w:rPr>
      </w:pPr>
    </w:p>
    <w:p w14:paraId="214DC33F">
      <w:pPr>
        <w:keepNext w:val="0"/>
        <w:keepLines w:val="0"/>
        <w:pageBreakBefore w:val="0"/>
        <w:widowControl w:val="0"/>
        <w:kinsoku/>
        <w:overflowPunct/>
        <w:topLinePunct w:val="0"/>
        <w:bidi w:val="0"/>
        <w:spacing w:line="600" w:lineRule="exact"/>
        <w:ind w:left="0" w:leftChars="0" w:firstLine="0" w:firstLineChars="0"/>
        <w:jc w:val="center"/>
        <w:textAlignment w:val="auto"/>
        <w:rPr>
          <w:rFonts w:hint="eastAsia" w:ascii="楷体_GB2312" w:hAnsi="楷体_GB2312" w:eastAsia="楷体_GB2312" w:cs="楷体_GB2312"/>
          <w:b w:val="0"/>
          <w:bCs w:val="0"/>
          <w:sz w:val="32"/>
          <w:szCs w:val="32"/>
        </w:rPr>
      </w:pPr>
      <w:r>
        <w:rPr>
          <w:rFonts w:hint="eastAsia" w:ascii="仿宋_GB2312" w:hAnsi="仿宋_GB2312" w:eastAsia="仿宋_GB2312" w:cs="仿宋_GB2312"/>
          <w:b w:val="0"/>
          <w:bCs w:val="0"/>
          <w:sz w:val="32"/>
          <w:szCs w:val="32"/>
        </w:rPr>
        <w:t>洛示范管〔20</w:t>
      </w:r>
      <w:r>
        <w:rPr>
          <w:rFonts w:hint="eastAsia" w:ascii="仿宋_GB2312" w:hAnsi="仿宋_GB2312" w:eastAsia="仿宋_GB2312" w:cs="仿宋_GB2312"/>
          <w:b w:val="0"/>
          <w:bCs w:val="0"/>
          <w:sz w:val="32"/>
          <w:szCs w:val="32"/>
          <w:lang w:val="en-US" w:eastAsia="zh-CN"/>
        </w:rPr>
        <w:t>26</w:t>
      </w:r>
      <w:r>
        <w:rPr>
          <w:rFonts w:hint="eastAsia" w:ascii="仿宋_GB2312" w:hAnsi="仿宋_GB2312" w:eastAsia="仿宋_GB2312" w:cs="仿宋_GB2312"/>
          <w:b w:val="0"/>
          <w:bCs w:val="0"/>
          <w:sz w:val="32"/>
          <w:szCs w:val="32"/>
        </w:rPr>
        <w:t>〕</w:t>
      </w:r>
      <w:r>
        <w:rPr>
          <w:rFonts w:hint="eastAsia" w:ascii="仿宋_GB2312" w:hAnsi="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号</w:t>
      </w:r>
    </w:p>
    <w:p w14:paraId="1F916627">
      <w:pPr>
        <w:pStyle w:val="2"/>
        <w:keepNext w:val="0"/>
        <w:keepLines w:val="0"/>
        <w:pageBreakBefore w:val="0"/>
        <w:widowControl w:val="0"/>
        <w:kinsoku/>
        <w:wordWrap/>
        <w:overflowPunct/>
        <w:topLinePunct w:val="0"/>
        <w:bidi w:val="0"/>
        <w:snapToGrid/>
        <w:spacing w:line="600" w:lineRule="exact"/>
        <w:ind w:left="0" w:leftChars="0"/>
        <w:textAlignment w:val="auto"/>
        <w:rPr>
          <w:rFonts w:hint="eastAsia"/>
          <w:b w:val="0"/>
          <w:bCs w:val="0"/>
        </w:rPr>
      </w:pPr>
    </w:p>
    <w:p w14:paraId="5E988A80">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Times New Roman" w:hAnsi="Times New Roman" w:eastAsia="方正小标宋简体"/>
          <w:b w:val="0"/>
          <w:bCs w:val="0"/>
          <w:sz w:val="44"/>
          <w:szCs w:val="44"/>
        </w:rPr>
      </w:pPr>
    </w:p>
    <w:p w14:paraId="16737247">
      <w:pPr>
        <w:keepNext w:val="0"/>
        <w:keepLines w:val="0"/>
        <w:pageBreakBefore w:val="0"/>
        <w:widowControl w:val="0"/>
        <w:kinsoku/>
        <w:wordWrap/>
        <w:overflowPunct/>
        <w:topLinePunct w:val="0"/>
        <w:bidi w:val="0"/>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洛阳市城乡一体化示范区管委会</w:t>
      </w:r>
    </w:p>
    <w:p w14:paraId="25FF20DC">
      <w:pPr>
        <w:pStyle w:val="6"/>
        <w:keepNext w:val="0"/>
        <w:keepLines w:val="0"/>
        <w:pageBreakBefore w:val="0"/>
        <w:widowControl w:val="0"/>
        <w:kinsoku/>
        <w:wordWrap/>
        <w:overflowPunct/>
        <w:topLinePunct w:val="0"/>
        <w:bidi w:val="0"/>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关于印发洛阳市城乡一体化示范区国民经济和社会发展第十五个五年规划纲要的通知</w:t>
      </w:r>
    </w:p>
    <w:p w14:paraId="7598BBF4">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both"/>
        <w:textAlignment w:val="auto"/>
        <w:outlineLvl w:val="9"/>
        <w:rPr>
          <w:rFonts w:hint="default" w:ascii="Times New Roman" w:hAnsi="Times New Roman" w:eastAsia="仿宋_GB2312" w:cs="Times New Roman"/>
          <w:b w:val="0"/>
          <w:bCs w:val="0"/>
          <w:sz w:val="32"/>
          <w:szCs w:val="32"/>
          <w:lang w:val="en-US" w:eastAsia="zh-CN"/>
        </w:rPr>
      </w:pPr>
    </w:p>
    <w:p w14:paraId="401C67DD">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各镇（街道）人</w:t>
      </w:r>
      <w:r>
        <w:rPr>
          <w:rFonts w:hint="eastAsia" w:ascii="仿宋_GB2312" w:hAnsi="仿宋_GB2312" w:eastAsia="仿宋_GB2312" w:cs="仿宋_GB2312"/>
          <w:b w:val="0"/>
          <w:bCs w:val="0"/>
          <w:sz w:val="32"/>
          <w:szCs w:val="32"/>
          <w:lang w:val="en-US" w:eastAsia="zh-CN"/>
        </w:rPr>
        <w:t>民政府（办事处），区直各单位：</w:t>
      </w:r>
    </w:p>
    <w:p w14:paraId="3C1FE9D8">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《洛阳市城乡一体化示范区国民经济和社会发展第十五个五年规划纲要》已经区人大政协工作会议审查批准，现印发给你们，请认真组织实施。</w:t>
      </w:r>
    </w:p>
    <w:p w14:paraId="5939CECF">
      <w:pPr>
        <w:pStyle w:val="32"/>
        <w:keepNext w:val="0"/>
        <w:keepLines w:val="0"/>
        <w:pageBreakBefore w:val="0"/>
        <w:widowControl w:val="0"/>
        <w:kinsoku/>
        <w:wordWrap/>
        <w:overflowPunct/>
        <w:topLinePunct w:val="0"/>
        <w:bidi w:val="0"/>
        <w:snapToGrid/>
        <w:spacing w:line="600" w:lineRule="exact"/>
        <w:ind w:left="0" w:leftChars="0" w:firstLine="0" w:firstLineChars="0"/>
        <w:textAlignment w:val="auto"/>
        <w:rPr>
          <w:rFonts w:hint="eastAsia" w:ascii="仿宋_GB2312" w:hAnsi="仿宋_GB2312" w:eastAsia="仿宋_GB2312" w:cs="仿宋_GB2312"/>
          <w:b w:val="0"/>
          <w:bCs w:val="0"/>
          <w:sz w:val="32"/>
          <w:szCs w:val="32"/>
          <w:lang w:val="en-US" w:eastAsia="zh-CN"/>
        </w:rPr>
      </w:pPr>
    </w:p>
    <w:p w14:paraId="58120FD7">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洛阳市城乡一体化示范区管委会</w:t>
      </w:r>
    </w:p>
    <w:p w14:paraId="5BA419C6">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2026年7月</w:t>
      </w:r>
      <w:r>
        <w:rPr>
          <w:rFonts w:hint="eastAsia" w:ascii="仿宋_GB2312" w:hAnsi="仿宋_GB2312" w:cs="仿宋_GB2312"/>
          <w:b w:val="0"/>
          <w:bCs w:val="0"/>
          <w:sz w:val="32"/>
          <w:szCs w:val="32"/>
          <w:lang w:val="en-US" w:eastAsia="zh-CN"/>
        </w:rPr>
        <w:t>22</w:t>
      </w:r>
      <w:bookmarkStart w:id="2488" w:name="_GoBack"/>
      <w:bookmarkEnd w:id="2488"/>
      <w:r>
        <w:rPr>
          <w:rFonts w:hint="eastAsia" w:ascii="仿宋_GB2312" w:hAnsi="仿宋_GB2312" w:eastAsia="仿宋_GB2312" w:cs="仿宋_GB2312"/>
          <w:b w:val="0"/>
          <w:bCs w:val="0"/>
          <w:sz w:val="32"/>
          <w:szCs w:val="32"/>
          <w:lang w:val="en-US" w:eastAsia="zh-CN"/>
        </w:rPr>
        <w:t>日</w:t>
      </w:r>
    </w:p>
    <w:p w14:paraId="1EBD440D">
      <w:pPr>
        <w:pStyle w:val="28"/>
        <w:keepNext w:val="0"/>
        <w:keepLines w:val="0"/>
        <w:pageBreakBefore w:val="0"/>
        <w:widowControl w:val="0"/>
        <w:tabs>
          <w:tab w:val="right" w:leader="dot" w:pos="8844"/>
        </w:tabs>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仿宋" w:cs="Times New Roman"/>
          <w:b w:val="0"/>
          <w:bCs w:val="0"/>
          <w:color w:val="000000"/>
          <w:sz w:val="28"/>
          <w:szCs w:val="28"/>
          <w:lang w:val="en-US" w:eastAsia="zh-CN"/>
        </w:rPr>
        <w:sectPr>
          <w:headerReference r:id="rId5" w:type="default"/>
          <w:footerReference r:id="rId6" w:type="default"/>
          <w:pgSz w:w="11906" w:h="16838"/>
          <w:pgMar w:top="1871" w:right="1474" w:bottom="1757" w:left="1531" w:header="708" w:footer="709" w:gutter="0"/>
          <w:pgNumType w:fmt="decimal" w:start="1"/>
          <w:cols w:space="0" w:num="1"/>
          <w:rtlGutter w:val="0"/>
          <w:docGrid w:linePitch="360" w:charSpace="0"/>
        </w:sectPr>
      </w:pPr>
    </w:p>
    <w:p w14:paraId="41FCA71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b w:val="0"/>
          <w:bCs w:val="0"/>
          <w:color w:val="auto"/>
          <w:kern w:val="2"/>
          <w:sz w:val="44"/>
          <w:szCs w:val="44"/>
        </w:rPr>
      </w:pPr>
    </w:p>
    <w:p w14:paraId="2A971FE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b w:val="0"/>
          <w:bCs w:val="0"/>
          <w:color w:val="auto"/>
          <w:kern w:val="2"/>
          <w:sz w:val="44"/>
          <w:szCs w:val="44"/>
        </w:rPr>
      </w:pPr>
      <w:r>
        <w:rPr>
          <w:rFonts w:hint="default" w:ascii="Times New Roman" w:hAnsi="Times New Roman" w:eastAsia="方正小标宋简体" w:cs="Times New Roman"/>
          <w:b w:val="0"/>
          <w:bCs w:val="0"/>
          <w:color w:val="auto"/>
          <w:kern w:val="2"/>
          <w:sz w:val="44"/>
          <w:szCs w:val="44"/>
        </w:rPr>
        <w:t>洛阳市城乡一体化示范区</w:t>
      </w:r>
    </w:p>
    <w:p w14:paraId="32496BF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b w:val="0"/>
          <w:bCs w:val="0"/>
          <w:color w:val="auto"/>
          <w:kern w:val="2"/>
          <w:sz w:val="44"/>
          <w:szCs w:val="44"/>
        </w:rPr>
      </w:pPr>
      <w:r>
        <w:rPr>
          <w:rFonts w:hint="default" w:ascii="Times New Roman" w:hAnsi="Times New Roman" w:eastAsia="方正小标宋简体" w:cs="Times New Roman"/>
          <w:b w:val="0"/>
          <w:bCs w:val="0"/>
          <w:color w:val="auto"/>
          <w:kern w:val="2"/>
          <w:sz w:val="44"/>
          <w:szCs w:val="44"/>
        </w:rPr>
        <w:t>国民经济和社会发展第十五个五年规划纲要</w:t>
      </w:r>
    </w:p>
    <w:p w14:paraId="45BEBB0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b w:val="0"/>
          <w:bCs w:val="0"/>
          <w:color w:val="auto"/>
          <w:sz w:val="44"/>
          <w:szCs w:val="44"/>
        </w:rPr>
      </w:pPr>
    </w:p>
    <w:p w14:paraId="1ED68AB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洛阳市城乡一体化示范区国民经济和社会发展第十五个五年（2026</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2030年）规划纲要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根据《中共洛阳市城乡一体化示范区工委关于制定国民经济和社会发展第十五个五年规划的建议》编制，主要阐明“十五五”时期</w:t>
      </w:r>
      <w:r>
        <w:rPr>
          <w:rFonts w:hint="eastAsia" w:ascii="仿宋_GB2312" w:hAnsi="仿宋_GB2312" w:eastAsia="仿宋_GB2312" w:cs="仿宋_GB2312"/>
          <w:b w:val="0"/>
          <w:bCs w:val="0"/>
          <w:lang w:val="en-US" w:eastAsia="zh-CN"/>
        </w:rPr>
        <w:t>洛阳市城乡一体化示范区</w:t>
      </w:r>
      <w:r>
        <w:rPr>
          <w:rFonts w:hint="eastAsia" w:ascii="仿宋_GB2312" w:hAnsi="仿宋_GB2312" w:eastAsia="仿宋_GB2312" w:cs="仿宋_GB2312"/>
          <w:b w:val="0"/>
          <w:bCs w:val="0"/>
        </w:rPr>
        <w:t>战略意图、明确</w:t>
      </w:r>
      <w:r>
        <w:rPr>
          <w:rFonts w:hint="eastAsia" w:ascii="仿宋_GB2312" w:hAnsi="仿宋_GB2312" w:eastAsia="仿宋_GB2312" w:cs="仿宋_GB2312"/>
          <w:b w:val="0"/>
          <w:bCs w:val="0"/>
          <w:lang w:val="en-US" w:eastAsia="zh-CN"/>
        </w:rPr>
        <w:t>管委会</w:t>
      </w:r>
      <w:r>
        <w:rPr>
          <w:rFonts w:hint="eastAsia" w:ascii="仿宋_GB2312" w:hAnsi="仿宋_GB2312" w:eastAsia="仿宋_GB2312" w:cs="仿宋_GB2312"/>
          <w:b w:val="0"/>
          <w:bCs w:val="0"/>
        </w:rPr>
        <w:t>工作重点、引导规范经营主体行为，是今后五年全</w:t>
      </w:r>
      <w:r>
        <w:rPr>
          <w:rFonts w:hint="eastAsia" w:ascii="仿宋_GB2312" w:hAnsi="仿宋_GB2312" w:eastAsia="仿宋_GB2312" w:cs="仿宋_GB2312"/>
          <w:b w:val="0"/>
          <w:bCs w:val="0"/>
          <w:lang w:val="en-US" w:eastAsia="zh-CN"/>
        </w:rPr>
        <w:t>区</w:t>
      </w:r>
      <w:r>
        <w:rPr>
          <w:rFonts w:hint="eastAsia" w:ascii="仿宋_GB2312" w:hAnsi="仿宋_GB2312" w:eastAsia="仿宋_GB2312" w:cs="仿宋_GB2312"/>
          <w:b w:val="0"/>
          <w:bCs w:val="0"/>
        </w:rPr>
        <w:t>经济社会发展的蓝图和行动纲领，是</w:t>
      </w:r>
      <w:r>
        <w:rPr>
          <w:rFonts w:hint="eastAsia" w:ascii="仿宋_GB2312" w:hAnsi="仿宋_GB2312" w:eastAsia="仿宋_GB2312" w:cs="仿宋_GB2312"/>
          <w:b w:val="0"/>
          <w:bCs w:val="0"/>
          <w:lang w:val="en-US" w:eastAsia="zh-CN"/>
        </w:rPr>
        <w:t>管委会</w:t>
      </w:r>
      <w:r>
        <w:rPr>
          <w:rFonts w:hint="eastAsia" w:ascii="仿宋_GB2312" w:hAnsi="仿宋_GB2312" w:eastAsia="仿宋_GB2312" w:cs="仿宋_GB2312"/>
          <w:b w:val="0"/>
          <w:bCs w:val="0"/>
        </w:rPr>
        <w:t>履行经济调节、市场监管、社会管理、公共服务、生态环境保护等职能的重要依据。</w:t>
      </w:r>
      <w:bookmarkStart w:id="0" w:name="_Toc215857821"/>
      <w:bookmarkStart w:id="1" w:name="_Toc4509"/>
      <w:bookmarkStart w:id="2" w:name="_Toc19877"/>
      <w:bookmarkStart w:id="3" w:name="_Toc8021"/>
      <w:bookmarkStart w:id="4" w:name="_Toc4076"/>
      <w:bookmarkStart w:id="5" w:name="_Toc12927"/>
      <w:bookmarkStart w:id="6" w:name="_Toc3077"/>
    </w:p>
    <w:p w14:paraId="0F577512">
      <w:pPr>
        <w:rPr>
          <w:rFonts w:hint="default" w:ascii="Times New Roman" w:hAnsi="Times New Roman" w:cs="Times New Roman"/>
          <w:b w:val="0"/>
          <w:bCs w:val="0"/>
        </w:rPr>
      </w:pPr>
      <w:r>
        <w:rPr>
          <w:rFonts w:hint="default" w:ascii="Times New Roman" w:hAnsi="Times New Roman" w:cs="Times New Roman"/>
          <w:b w:val="0"/>
          <w:bCs w:val="0"/>
        </w:rPr>
        <w:br w:type="page"/>
      </w:r>
    </w:p>
    <w:p w14:paraId="3BD69540">
      <w:pPr>
        <w:pStyle w:val="6"/>
        <w:pageBreakBefore w:val="0"/>
        <w:widowControl w:val="0"/>
        <w:kinsoku/>
        <w:wordWrap/>
        <w:topLinePunct w:val="0"/>
        <w:bidi w:val="0"/>
        <w:spacing w:line="600" w:lineRule="exact"/>
        <w:ind w:left="0" w:leftChars="0" w:firstLine="0" w:firstLineChars="0"/>
        <w:jc w:val="both"/>
        <w:rPr>
          <w:rFonts w:hint="eastAsia" w:ascii="仿宋_GB2312" w:hAnsi="仿宋_GB2312" w:eastAsia="仿宋_GB2312" w:cs="仿宋_GB2312"/>
          <w:b w:val="0"/>
          <w:bCs w:val="0"/>
        </w:rPr>
      </w:pPr>
      <w:bookmarkStart w:id="7" w:name="_Toc2063985886"/>
      <w:bookmarkStart w:id="8" w:name="_Toc23907"/>
      <w:bookmarkStart w:id="9" w:name="_Toc5012"/>
      <w:bookmarkStart w:id="10" w:name="_Toc3353"/>
      <w:bookmarkStart w:id="11" w:name="_Toc8741"/>
      <w:bookmarkStart w:id="12" w:name="_Toc10577"/>
      <w:bookmarkStart w:id="13" w:name="_Toc16546"/>
      <w:bookmarkStart w:id="14" w:name="_Toc27515"/>
    </w:p>
    <w:p w14:paraId="2B29BB4D">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第一章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乘势而上，开启高质量发展新征程</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47BF161E">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p>
    <w:p w14:paraId="74FCC0D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十四五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时期，洛阳市城乡一体化示范区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伊滨区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在</w:t>
      </w:r>
      <w:r>
        <w:rPr>
          <w:rFonts w:hint="eastAsia" w:ascii="仿宋_GB2312" w:hAnsi="仿宋_GB2312" w:eastAsia="仿宋_GB2312" w:cs="仿宋_GB2312"/>
          <w:b w:val="0"/>
          <w:bCs w:val="0"/>
          <w:lang w:val="en-US" w:eastAsia="zh-CN"/>
        </w:rPr>
        <w:t>市</w:t>
      </w:r>
      <w:r>
        <w:rPr>
          <w:rFonts w:hint="eastAsia" w:ascii="仿宋_GB2312" w:hAnsi="仿宋_GB2312" w:eastAsia="仿宋_GB2312" w:cs="仿宋_GB2312"/>
          <w:b w:val="0"/>
          <w:bCs w:val="0"/>
        </w:rPr>
        <w:t>委、</w:t>
      </w:r>
      <w:r>
        <w:rPr>
          <w:rFonts w:hint="eastAsia" w:ascii="仿宋_GB2312" w:hAnsi="仿宋_GB2312" w:eastAsia="仿宋_GB2312" w:cs="仿宋_GB2312"/>
          <w:b w:val="0"/>
          <w:bCs w:val="0"/>
          <w:lang w:val="en-US" w:eastAsia="zh-CN"/>
        </w:rPr>
        <w:t>市政府</w:t>
      </w:r>
      <w:r>
        <w:rPr>
          <w:rFonts w:hint="eastAsia" w:ascii="仿宋_GB2312" w:hAnsi="仿宋_GB2312" w:eastAsia="仿宋_GB2312" w:cs="仿宋_GB2312"/>
          <w:b w:val="0"/>
          <w:bCs w:val="0"/>
        </w:rPr>
        <w:t>领导下，全区上下共同努力，围绕现代化建设总目标，全力以赴拼经济、</w:t>
      </w:r>
      <w:r>
        <w:rPr>
          <w:rFonts w:hint="eastAsia" w:ascii="仿宋_GB2312" w:hAnsi="仿宋_GB2312" w:eastAsia="仿宋_GB2312" w:cs="仿宋_GB2312"/>
          <w:b w:val="0"/>
          <w:bCs w:val="0"/>
          <w:lang w:eastAsia="zh-CN"/>
        </w:rPr>
        <w:t>扩</w:t>
      </w:r>
      <w:r>
        <w:rPr>
          <w:rFonts w:hint="eastAsia" w:ascii="仿宋_GB2312" w:hAnsi="仿宋_GB2312" w:eastAsia="仿宋_GB2312" w:cs="仿宋_GB2312"/>
          <w:b w:val="0"/>
          <w:bCs w:val="0"/>
        </w:rPr>
        <w:t>优势、稳增长，经济社会发展取得开创性进展、突破性变革、历史性成就，为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期间经济社会发展奠定了良好基础。</w:t>
      </w:r>
    </w:p>
    <w:p w14:paraId="31C436F4">
      <w:pPr>
        <w:pStyle w:val="6"/>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5" w:name="_Toc7193"/>
      <w:bookmarkStart w:id="16" w:name="_Toc8863"/>
      <w:bookmarkStart w:id="17" w:name="_Toc215857822"/>
      <w:bookmarkStart w:id="18" w:name="_Toc9774"/>
      <w:bookmarkStart w:id="19" w:name="_Toc925438349"/>
      <w:bookmarkStart w:id="20" w:name="_Toc31992"/>
      <w:bookmarkStart w:id="21" w:name="_Toc13257"/>
      <w:bookmarkStart w:id="22" w:name="_Toc18899"/>
      <w:bookmarkStart w:id="23" w:name="_Toc10527"/>
      <w:bookmarkStart w:id="24" w:name="_Toc28521"/>
      <w:bookmarkStart w:id="25" w:name="_Toc2520"/>
      <w:bookmarkStart w:id="26" w:name="_Toc2621"/>
      <w:bookmarkStart w:id="27" w:name="_Toc30967"/>
      <w:bookmarkStart w:id="28" w:name="_Toc5864"/>
      <w:bookmarkStart w:id="29" w:name="_Toc28084"/>
      <w:bookmarkStart w:id="30" w:name="_Toc4723"/>
    </w:p>
    <w:p w14:paraId="449080A8">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lang w:val="en-US" w:eastAsia="zh-CN"/>
        </w:rPr>
        <w:t xml:space="preserve">第一节  </w:t>
      </w:r>
      <w:r>
        <w:rPr>
          <w:rFonts w:hint="eastAsia" w:ascii="黑体" w:hAnsi="黑体" w:eastAsia="黑体" w:cs="黑体"/>
          <w:b w:val="0"/>
          <w:bCs w:val="0"/>
        </w:rPr>
        <w:t>发展基础</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296CFEE">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eastAsia="zh-CN"/>
        </w:rPr>
      </w:pPr>
    </w:p>
    <w:p w14:paraId="276915DC">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十四五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期间，伊滨</w:t>
      </w:r>
      <w:r>
        <w:rPr>
          <w:rFonts w:hint="eastAsia" w:ascii="仿宋_GB2312" w:hAnsi="仿宋_GB2312" w:eastAsia="仿宋_GB2312" w:cs="仿宋_GB2312"/>
          <w:b w:val="0"/>
          <w:bCs w:val="0"/>
          <w:color w:val="auto"/>
          <w:shd w:val="clear" w:color="auto" w:fill="FFFFFF"/>
        </w:rPr>
        <w:t>经济社会高质量发展取得新成就，现代化建设迈出坚实步伐。</w:t>
      </w:r>
    </w:p>
    <w:p w14:paraId="76A47AE1">
      <w:pPr>
        <w:pStyle w:val="8"/>
        <w:pageBreakBefore w:val="0"/>
        <w:widowControl w:val="0"/>
        <w:kinsoku/>
        <w:wordWrap/>
        <w:topLinePunct w:val="0"/>
        <w:bidi w:val="0"/>
        <w:spacing w:line="600" w:lineRule="exact"/>
        <w:ind w:left="0" w:leftChars="0" w:firstLine="640" w:firstLineChars="200"/>
        <w:rPr>
          <w:rFonts w:hint="eastAsia" w:ascii="仿宋_GB2312" w:hAnsi="仿宋_GB2312" w:eastAsia="仿宋_GB2312" w:cs="仿宋_GB2312"/>
          <w:b w:val="0"/>
          <w:bCs w:val="0"/>
        </w:rPr>
      </w:pPr>
      <w:bookmarkStart w:id="31" w:name="_Toc148"/>
      <w:bookmarkStart w:id="32" w:name="_Toc31585"/>
      <w:bookmarkStart w:id="33" w:name="_Toc31383"/>
      <w:bookmarkStart w:id="34" w:name="_Toc3463"/>
      <w:bookmarkStart w:id="35" w:name="_Toc10254"/>
      <w:bookmarkStart w:id="36" w:name="_Toc22067"/>
      <w:bookmarkStart w:id="37" w:name="_Toc18792"/>
      <w:bookmarkStart w:id="38" w:name="_Toc23946"/>
      <w:bookmarkStart w:id="39" w:name="_Toc14615"/>
      <w:bookmarkStart w:id="40" w:name="_Toc30676"/>
      <w:bookmarkStart w:id="41" w:name="_Toc16034"/>
      <w:bookmarkStart w:id="42" w:name="_Toc10386"/>
      <w:bookmarkStart w:id="43" w:name="_Toc215857823"/>
      <w:bookmarkStart w:id="44" w:name="_Toc4698"/>
      <w:bookmarkStart w:id="45" w:name="_Toc24371"/>
      <w:bookmarkStart w:id="46" w:name="_Toc1953133959"/>
      <w:bookmarkStart w:id="47" w:name="_Toc24262"/>
      <w:bookmarkStart w:id="48" w:name="_Toc28390"/>
      <w:bookmarkStart w:id="49" w:name="_Toc2811"/>
      <w:bookmarkStart w:id="50" w:name="_Toc19326"/>
      <w:bookmarkStart w:id="51" w:name="_Toc9169"/>
      <w:bookmarkStart w:id="52" w:name="_Toc4756"/>
      <w:bookmarkStart w:id="53" w:name="_Toc24835"/>
      <w:bookmarkStart w:id="54" w:name="_Toc29296"/>
      <w:bookmarkStart w:id="55" w:name="_Toc19617"/>
      <w:bookmarkStart w:id="56" w:name="_Toc16547"/>
      <w:bookmarkStart w:id="57" w:name="_Toc13141"/>
      <w:bookmarkStart w:id="58" w:name="_Toc29580"/>
      <w:bookmarkStart w:id="59" w:name="_Toc22354"/>
      <w:bookmarkStart w:id="60" w:name="_Toc6724"/>
      <w:r>
        <w:rPr>
          <w:rFonts w:hint="eastAsia" w:ascii="仿宋_GB2312" w:hAnsi="仿宋_GB2312" w:eastAsia="仿宋_GB2312" w:cs="仿宋_GB2312"/>
          <w:b w:val="0"/>
          <w:bCs w:val="0"/>
        </w:rPr>
        <w:t>一</w:t>
      </w:r>
      <w:bookmarkEnd w:id="31"/>
      <w:bookmarkEnd w:id="32"/>
      <w:r>
        <w:rPr>
          <w:rFonts w:hint="eastAsia" w:ascii="仿宋_GB2312" w:hAnsi="仿宋_GB2312" w:eastAsia="仿宋_GB2312" w:cs="仿宋_GB2312"/>
          <w:b w:val="0"/>
          <w:bCs w:val="0"/>
        </w:rPr>
        <w:t>、发展成就</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1F0AFF61">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十四五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时期，伊滨紧紧围绕市委赋予的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创新发展主平台、风口产业主阵地、城市拓展主空间</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功能定位，以产城融合高质量发展为主线，扎实推进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三项重点工作</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，着力用好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三个重要抓手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，在产业发展、科技创新、项目建设、乡村振兴、城市建设、生态建设、社会民生等方面实现了长足进步，推动经济社会发展取得了显著成效，综合实力迈上了新台阶。</w:t>
      </w:r>
    </w:p>
    <w:p w14:paraId="39621C76">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color w:val="auto"/>
        </w:rPr>
        <w:t>综合实力持续增强。</w:t>
      </w:r>
      <w:r>
        <w:rPr>
          <w:rFonts w:hint="eastAsia" w:ascii="仿宋_GB2312" w:hAnsi="仿宋_GB2312" w:eastAsia="仿宋_GB2312" w:cs="仿宋_GB2312"/>
          <w:b w:val="0"/>
          <w:bCs w:val="0"/>
        </w:rPr>
        <w:t>全力以赴拼经济、促增长，经济实力稳步提升。2025年，</w:t>
      </w:r>
      <w:r>
        <w:rPr>
          <w:rFonts w:hint="eastAsia" w:ascii="仿宋_GB2312" w:hAnsi="仿宋_GB2312" w:eastAsia="仿宋_GB2312" w:cs="仿宋_GB2312"/>
          <w:b w:val="0"/>
          <w:bCs w:val="0"/>
          <w:lang w:val="en-US" w:eastAsia="zh-CN"/>
        </w:rPr>
        <w:t>经济总量达到</w:t>
      </w:r>
      <w:r>
        <w:rPr>
          <w:rFonts w:hint="eastAsia" w:ascii="仿宋_GB2312" w:hAnsi="仿宋_GB2312" w:eastAsia="仿宋_GB2312" w:cs="仿宋_GB2312"/>
          <w:b w:val="0"/>
          <w:bCs w:val="0"/>
        </w:rPr>
        <w:t>240</w:t>
      </w:r>
      <w:r>
        <w:rPr>
          <w:rFonts w:hint="eastAsia" w:ascii="仿宋_GB2312" w:hAnsi="仿宋_GB2312" w:eastAsia="仿宋_GB2312" w:cs="仿宋_GB2312"/>
          <w:b w:val="0"/>
          <w:bCs w:val="0"/>
          <w:lang w:val="en-US" w:eastAsia="zh-CN"/>
        </w:rPr>
        <w:t>.6</w:t>
      </w:r>
      <w:r>
        <w:rPr>
          <w:rFonts w:hint="eastAsia" w:ascii="仿宋_GB2312" w:hAnsi="仿宋_GB2312" w:eastAsia="仿宋_GB2312" w:cs="仿宋_GB2312"/>
          <w:b w:val="0"/>
          <w:bCs w:val="0"/>
        </w:rPr>
        <w:t>亿元，增速10</w:t>
      </w:r>
      <w:r>
        <w:rPr>
          <w:rFonts w:hint="eastAsia" w:ascii="仿宋_GB2312" w:hAnsi="仿宋_GB2312" w:eastAsia="仿宋_GB2312" w:cs="仿宋_GB2312"/>
          <w:b w:val="0"/>
          <w:bCs w:val="0"/>
          <w:lang w:val="en-US" w:eastAsia="zh-CN"/>
        </w:rPr>
        <w:t>.7</w:t>
      </w:r>
      <w:r>
        <w:rPr>
          <w:rFonts w:hint="eastAsia" w:ascii="仿宋_GB2312" w:hAnsi="仿宋_GB2312" w:eastAsia="仿宋_GB2312" w:cs="仿宋_GB2312"/>
          <w:b w:val="0"/>
          <w:bCs w:val="0"/>
        </w:rPr>
        <w:t>%；社会消费品零售额完成135.8亿元，同比增长6.1%</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十四五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期间，</w:t>
      </w:r>
      <w:r>
        <w:rPr>
          <w:rFonts w:hint="eastAsia" w:ascii="仿宋_GB2312" w:hAnsi="仿宋_GB2312" w:eastAsia="仿宋_GB2312" w:cs="仿宋_GB2312"/>
          <w:b w:val="0"/>
          <w:bCs w:val="0"/>
        </w:rPr>
        <w:t>一般公共预算收入年均增长21.3%；全社会固定资产投资</w:t>
      </w:r>
      <w:r>
        <w:rPr>
          <w:rFonts w:hint="eastAsia" w:ascii="仿宋_GB2312" w:hAnsi="仿宋_GB2312" w:eastAsia="仿宋_GB2312" w:cs="仿宋_GB2312"/>
          <w:b w:val="0"/>
          <w:bCs w:val="0"/>
          <w:lang w:val="en-US" w:eastAsia="zh-CN"/>
        </w:rPr>
        <w:t>年均</w:t>
      </w:r>
      <w:r>
        <w:rPr>
          <w:rFonts w:hint="eastAsia" w:ascii="仿宋_GB2312" w:hAnsi="仿宋_GB2312" w:eastAsia="仿宋_GB2312" w:cs="仿宋_GB2312"/>
          <w:b w:val="0"/>
          <w:bCs w:val="0"/>
          <w:color w:val="auto"/>
          <w:sz w:val="32"/>
          <w:szCs w:val="32"/>
          <w:lang w:val="en-US" w:eastAsia="zh-CN"/>
        </w:rPr>
        <w:t>增长17.7%</w:t>
      </w:r>
      <w:r>
        <w:rPr>
          <w:rFonts w:hint="eastAsia" w:ascii="仿宋_GB2312" w:hAnsi="仿宋_GB2312" w:eastAsia="仿宋_GB2312" w:cs="仿宋_GB2312"/>
          <w:b w:val="0"/>
          <w:bCs w:val="0"/>
        </w:rPr>
        <w:t>；规上工业增加值年均增长18.7%</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主要经济指标增长率均位居全市第一方阵。</w:t>
      </w:r>
    </w:p>
    <w:p w14:paraId="4E091B7F">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产业发展质效齐升。</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十四五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以来，新能源、</w:t>
      </w:r>
      <w:r>
        <w:rPr>
          <w:rFonts w:hint="eastAsia" w:ascii="仿宋_GB2312" w:hAnsi="仿宋_GB2312" w:eastAsia="仿宋_GB2312" w:cs="仿宋_GB2312"/>
          <w:b w:val="0"/>
          <w:bCs w:val="0"/>
          <w:color w:val="auto"/>
          <w:lang w:val="en-US" w:eastAsia="zh-CN"/>
        </w:rPr>
        <w:t>钢制家具两大产业集群迅速崛起</w:t>
      </w:r>
      <w:r>
        <w:rPr>
          <w:rFonts w:hint="eastAsia" w:ascii="仿宋_GB2312" w:hAnsi="仿宋_GB2312" w:eastAsia="仿宋_GB2312" w:cs="仿宋_GB2312"/>
          <w:b w:val="0"/>
          <w:bCs w:val="0"/>
          <w:color w:val="auto"/>
        </w:rPr>
        <w:t>，中州时代、中信重工、轴研</w:t>
      </w:r>
      <w:r>
        <w:rPr>
          <w:rFonts w:hint="eastAsia" w:ascii="仿宋_GB2312" w:hAnsi="仿宋_GB2312" w:eastAsia="仿宋_GB2312" w:cs="仿宋_GB2312"/>
          <w:b w:val="0"/>
          <w:bCs w:val="0"/>
          <w:color w:val="auto"/>
          <w:lang w:val="en-US" w:eastAsia="zh-CN"/>
        </w:rPr>
        <w:t>所</w:t>
      </w:r>
      <w:r>
        <w:rPr>
          <w:rFonts w:hint="eastAsia" w:ascii="仿宋_GB2312" w:hAnsi="仿宋_GB2312" w:eastAsia="仿宋_GB2312" w:cs="仿宋_GB2312"/>
          <w:b w:val="0"/>
          <w:bCs w:val="0"/>
          <w:color w:val="auto"/>
        </w:rPr>
        <w:t>等一批龙头企业纷纷落地，伊滨已成为洛阳经济发展的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新风口</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。随着中州时代产能逐步释放，2025年规上工业增加值</w:t>
      </w:r>
      <w:r>
        <w:rPr>
          <w:rFonts w:hint="eastAsia" w:ascii="仿宋_GB2312" w:hAnsi="仿宋_GB2312" w:eastAsia="仿宋_GB2312" w:cs="仿宋_GB2312"/>
          <w:b w:val="0"/>
          <w:bCs w:val="0"/>
          <w:color w:val="auto"/>
          <w:lang w:val="en-US" w:eastAsia="zh-CN"/>
        </w:rPr>
        <w:t>完成93.9亿元，同比增长6</w:t>
      </w:r>
      <w:r>
        <w:rPr>
          <w:rFonts w:hint="eastAsia" w:ascii="仿宋_GB2312" w:hAnsi="仿宋_GB2312" w:eastAsia="仿宋_GB2312" w:cs="仿宋_GB2312"/>
          <w:b w:val="0"/>
          <w:bCs w:val="0"/>
          <w:color w:val="auto"/>
        </w:rPr>
        <w:t>0</w:t>
      </w:r>
      <w:r>
        <w:rPr>
          <w:rFonts w:hint="eastAsia" w:ascii="仿宋_GB2312" w:hAnsi="仿宋_GB2312" w:eastAsia="仿宋_GB2312" w:cs="仿宋_GB2312"/>
          <w:b w:val="0"/>
          <w:bCs w:val="0"/>
          <w:color w:val="auto"/>
          <w:lang w:val="en-US" w:eastAsia="zh-CN"/>
        </w:rPr>
        <w:t>.8</w:t>
      </w:r>
      <w:r>
        <w:rPr>
          <w:rFonts w:hint="eastAsia" w:ascii="仿宋_GB2312" w:hAnsi="仿宋_GB2312" w:eastAsia="仿宋_GB2312" w:cs="仿宋_GB2312"/>
          <w:b w:val="0"/>
          <w:bCs w:val="0"/>
          <w:color w:val="auto"/>
        </w:rPr>
        <w:t>%</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工业投资完成104.6亿元，同比增长139.6%，成为全区及全市</w:t>
      </w:r>
      <w:r>
        <w:rPr>
          <w:rFonts w:hint="eastAsia" w:ascii="仿宋_GB2312" w:hAnsi="仿宋_GB2312" w:eastAsia="仿宋_GB2312" w:cs="仿宋_GB2312"/>
          <w:b w:val="0"/>
          <w:bCs w:val="0"/>
          <w:color w:val="auto"/>
          <w:lang w:eastAsia="zh-CN"/>
        </w:rPr>
        <w:t>经济</w:t>
      </w:r>
      <w:r>
        <w:rPr>
          <w:rFonts w:hint="eastAsia" w:ascii="仿宋_GB2312" w:hAnsi="仿宋_GB2312" w:eastAsia="仿宋_GB2312" w:cs="仿宋_GB2312"/>
          <w:b w:val="0"/>
          <w:bCs w:val="0"/>
          <w:color w:val="auto"/>
        </w:rPr>
        <w:t>的重要支撑。</w:t>
      </w:r>
    </w:p>
    <w:p w14:paraId="1A505C80">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科技创新动能强劲。聚力打造引领洛阳创新发展的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主引擎</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成龙门实验室和国家农机装备创新中心等高能级创新平台，完成伊滨智慧岛TOP企业港科技孵化平台建设，引入洛阳中科信息产业研究院、清洛研究院、洛阳理工学院国家大学科技园三家创新服务平台，成功创建省级高新区，获批省级科技成果转移转化示范区、省级转型升级试点开发区。高素质创新主体倍增。全区拥有国家高新技术企业1</w:t>
      </w:r>
      <w:r>
        <w:rPr>
          <w:rFonts w:hint="eastAsia" w:ascii="仿宋_GB2312" w:hAnsi="仿宋_GB2312" w:eastAsia="仿宋_GB2312" w:cs="仿宋_GB2312"/>
          <w:b w:val="0"/>
          <w:bCs w:val="0"/>
          <w:color w:val="auto"/>
          <w:lang w:val="en-US" w:eastAsia="zh-CN"/>
        </w:rPr>
        <w:t>35</w:t>
      </w:r>
      <w:r>
        <w:rPr>
          <w:rFonts w:hint="eastAsia" w:ascii="仿宋_GB2312" w:hAnsi="仿宋_GB2312" w:eastAsia="仿宋_GB2312" w:cs="仿宋_GB2312"/>
          <w:b w:val="0"/>
          <w:bCs w:val="0"/>
          <w:color w:val="auto"/>
        </w:rPr>
        <w:t>家、国家科技型中小企业</w:t>
      </w:r>
      <w:r>
        <w:rPr>
          <w:rFonts w:hint="eastAsia" w:ascii="仿宋_GB2312" w:hAnsi="仿宋_GB2312" w:eastAsia="仿宋_GB2312" w:cs="仿宋_GB2312"/>
          <w:b w:val="0"/>
          <w:bCs w:val="0"/>
          <w:color w:val="auto"/>
          <w:lang w:val="en-US" w:eastAsia="zh-CN"/>
        </w:rPr>
        <w:t>310</w:t>
      </w:r>
      <w:r>
        <w:rPr>
          <w:rFonts w:hint="eastAsia" w:ascii="仿宋_GB2312" w:hAnsi="仿宋_GB2312" w:eastAsia="仿宋_GB2312" w:cs="仿宋_GB2312"/>
          <w:b w:val="0"/>
          <w:bCs w:val="0"/>
          <w:color w:val="auto"/>
        </w:rPr>
        <w:t>家、省级创新龙头企业1家、省级瞪羚企业2家、省级以上</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专精特新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中小企业25家、专精特新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小巨人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企业3家、省级智能车间（工厂）3家，省级绿色工厂3家，创新平台总数达到</w:t>
      </w:r>
      <w:r>
        <w:rPr>
          <w:rFonts w:hint="eastAsia" w:ascii="仿宋_GB2312" w:hAnsi="仿宋_GB2312" w:eastAsia="仿宋_GB2312" w:cs="仿宋_GB2312"/>
          <w:b w:val="0"/>
          <w:bCs w:val="0"/>
          <w:color w:val="auto"/>
          <w:lang w:val="en-US" w:eastAsia="zh-CN"/>
        </w:rPr>
        <w:t>300</w:t>
      </w:r>
      <w:r>
        <w:rPr>
          <w:rFonts w:hint="eastAsia" w:ascii="仿宋_GB2312" w:hAnsi="仿宋_GB2312" w:eastAsia="仿宋_GB2312" w:cs="仿宋_GB2312"/>
          <w:b w:val="0"/>
          <w:bCs w:val="0"/>
          <w:color w:val="auto"/>
        </w:rPr>
        <w:t>个，累计实现技术合同成交额5</w:t>
      </w:r>
      <w:r>
        <w:rPr>
          <w:rFonts w:hint="eastAsia" w:ascii="仿宋_GB2312" w:hAnsi="仿宋_GB2312" w:eastAsia="仿宋_GB2312" w:cs="仿宋_GB2312"/>
          <w:b w:val="0"/>
          <w:bCs w:val="0"/>
          <w:color w:val="auto"/>
          <w:lang w:val="en-US" w:eastAsia="zh-CN"/>
        </w:rPr>
        <w:t>6.85</w:t>
      </w:r>
      <w:r>
        <w:rPr>
          <w:rFonts w:hint="eastAsia" w:ascii="仿宋_GB2312" w:hAnsi="仿宋_GB2312" w:eastAsia="仿宋_GB2312" w:cs="仿宋_GB2312"/>
          <w:b w:val="0"/>
          <w:bCs w:val="0"/>
          <w:color w:val="auto"/>
        </w:rPr>
        <w:t>亿元。建成伊滨</w:t>
      </w:r>
      <w:r>
        <w:rPr>
          <w:rFonts w:hint="eastAsia" w:ascii="仿宋_GB2312" w:hAnsi="仿宋_GB2312" w:eastAsia="仿宋_GB2312" w:cs="仿宋_GB2312"/>
          <w:b w:val="0"/>
          <w:bCs w:val="0"/>
          <w:color w:val="auto"/>
          <w:kern w:val="2"/>
        </w:rPr>
        <w:t>智慧岛TOP企业港，</w:t>
      </w:r>
      <w:r>
        <w:rPr>
          <w:rFonts w:hint="eastAsia" w:ascii="仿宋_GB2312" w:hAnsi="仿宋_GB2312" w:eastAsia="仿宋_GB2312" w:cs="仿宋_GB2312"/>
          <w:b w:val="0"/>
          <w:bCs w:val="0"/>
          <w:color w:val="auto"/>
        </w:rPr>
        <w:t>已入驻企业54家，其中高新技术企业4家、国家科技型中小企业9家。</w:t>
      </w:r>
      <w:r>
        <w:rPr>
          <w:rFonts w:hint="eastAsia" w:ascii="仿宋_GB2312" w:hAnsi="仿宋_GB2312" w:eastAsia="仿宋_GB2312" w:cs="仿宋_GB2312"/>
          <w:b w:val="0"/>
          <w:bCs w:val="0"/>
          <w:color w:val="auto"/>
          <w:lang w:bidi="ar"/>
        </w:rPr>
        <w:t>国宏智能装备、中德、联东U谷、均和云谷4家科技产业社区已建成面积约52万</w:t>
      </w:r>
      <w:r>
        <w:rPr>
          <w:rFonts w:hint="eastAsia" w:ascii="仿宋_GB2312" w:hAnsi="仿宋_GB2312" w:eastAsia="仿宋_GB2312" w:cs="仿宋_GB2312"/>
          <w:b w:val="0"/>
          <w:bCs w:val="0"/>
          <w:color w:val="auto"/>
          <w:lang w:val="en-US" w:eastAsia="zh-CN" w:bidi="ar"/>
        </w:rPr>
        <w:t>平方米</w:t>
      </w:r>
      <w:r>
        <w:rPr>
          <w:rFonts w:hint="eastAsia" w:ascii="仿宋_GB2312" w:hAnsi="仿宋_GB2312" w:eastAsia="仿宋_GB2312" w:cs="仿宋_GB2312"/>
          <w:b w:val="0"/>
          <w:bCs w:val="0"/>
          <w:color w:val="auto"/>
          <w:lang w:bidi="ar"/>
        </w:rPr>
        <w:t>，签约企业面积约3</w:t>
      </w:r>
      <w:r>
        <w:rPr>
          <w:rFonts w:hint="eastAsia" w:ascii="仿宋_GB2312" w:hAnsi="仿宋_GB2312" w:eastAsia="仿宋_GB2312" w:cs="仿宋_GB2312"/>
          <w:b w:val="0"/>
          <w:bCs w:val="0"/>
          <w:color w:val="auto"/>
          <w:lang w:val="en-US" w:eastAsia="zh-CN" w:bidi="ar"/>
        </w:rPr>
        <w:t>8</w:t>
      </w:r>
      <w:r>
        <w:rPr>
          <w:rFonts w:hint="eastAsia" w:ascii="仿宋_GB2312" w:hAnsi="仿宋_GB2312" w:eastAsia="仿宋_GB2312" w:cs="仿宋_GB2312"/>
          <w:b w:val="0"/>
          <w:bCs w:val="0"/>
          <w:color w:val="auto"/>
          <w:lang w:bidi="ar"/>
        </w:rPr>
        <w:t>万</w:t>
      </w:r>
      <w:r>
        <w:rPr>
          <w:rFonts w:hint="eastAsia" w:ascii="仿宋_GB2312" w:hAnsi="仿宋_GB2312" w:eastAsia="仿宋_GB2312" w:cs="仿宋_GB2312"/>
          <w:b w:val="0"/>
          <w:bCs w:val="0"/>
          <w:color w:val="auto"/>
          <w:lang w:val="en-US" w:eastAsia="zh-CN" w:bidi="ar"/>
        </w:rPr>
        <w:t>平方米</w:t>
      </w:r>
      <w:r>
        <w:rPr>
          <w:rFonts w:hint="eastAsia" w:ascii="仿宋_GB2312" w:hAnsi="仿宋_GB2312" w:eastAsia="仿宋_GB2312" w:cs="仿宋_GB2312"/>
          <w:b w:val="0"/>
          <w:bCs w:val="0"/>
          <w:color w:val="auto"/>
          <w:highlight w:val="none"/>
          <w:lang w:bidi="ar"/>
        </w:rPr>
        <w:t>，完成注册</w:t>
      </w:r>
      <w:r>
        <w:rPr>
          <w:rFonts w:hint="eastAsia" w:ascii="仿宋_GB2312" w:hAnsi="仿宋_GB2312" w:eastAsia="仿宋_GB2312" w:cs="仿宋_GB2312"/>
          <w:b w:val="0"/>
          <w:bCs w:val="0"/>
          <w:color w:val="auto"/>
          <w:highlight w:val="none"/>
          <w:lang w:val="en-US" w:eastAsia="zh-CN" w:bidi="ar"/>
        </w:rPr>
        <w:t>并通过入园评审、联审</w:t>
      </w:r>
      <w:r>
        <w:rPr>
          <w:rFonts w:hint="eastAsia" w:ascii="仿宋_GB2312" w:hAnsi="仿宋_GB2312" w:eastAsia="仿宋_GB2312" w:cs="仿宋_GB2312"/>
          <w:b w:val="0"/>
          <w:bCs w:val="0"/>
          <w:color w:val="auto"/>
          <w:highlight w:val="none"/>
          <w:lang w:bidi="ar"/>
        </w:rPr>
        <w:t>企业1</w:t>
      </w:r>
      <w:r>
        <w:rPr>
          <w:rFonts w:hint="eastAsia" w:ascii="仿宋_GB2312" w:hAnsi="仿宋_GB2312" w:eastAsia="仿宋_GB2312" w:cs="仿宋_GB2312"/>
          <w:b w:val="0"/>
          <w:bCs w:val="0"/>
          <w:color w:val="auto"/>
          <w:highlight w:val="none"/>
          <w:lang w:val="en-US" w:eastAsia="zh-CN" w:bidi="ar"/>
        </w:rPr>
        <w:t>9</w:t>
      </w:r>
      <w:r>
        <w:rPr>
          <w:rFonts w:hint="eastAsia" w:ascii="仿宋_GB2312" w:hAnsi="仿宋_GB2312" w:eastAsia="仿宋_GB2312" w:cs="仿宋_GB2312"/>
          <w:b w:val="0"/>
          <w:bCs w:val="0"/>
          <w:color w:val="auto"/>
          <w:highlight w:val="none"/>
          <w:lang w:bidi="ar"/>
        </w:rPr>
        <w:t>9家。</w:t>
      </w:r>
      <w:r>
        <w:rPr>
          <w:rFonts w:hint="eastAsia" w:ascii="仿宋_GB2312" w:hAnsi="仿宋_GB2312" w:eastAsia="仿宋_GB2312" w:cs="仿宋_GB2312"/>
          <w:b w:val="0"/>
          <w:bCs w:val="0"/>
          <w:color w:val="auto"/>
        </w:rPr>
        <w:t>构建高水平科技创新生态。先后组织和承办省级以上科技创新活动7</w:t>
      </w:r>
      <w:r>
        <w:rPr>
          <w:rFonts w:hint="eastAsia" w:ascii="仿宋_GB2312" w:hAnsi="仿宋_GB2312" w:eastAsia="仿宋_GB2312" w:cs="仿宋_GB2312"/>
          <w:b w:val="0"/>
          <w:bCs w:val="0"/>
          <w:color w:val="auto"/>
          <w:kern w:val="2"/>
          <w:lang w:val="zh-CN"/>
        </w:rPr>
        <w:t>次，市级及以上双创活动61项，签约项目近30个，累计投资额近200亿元。</w:t>
      </w:r>
      <w:r>
        <w:rPr>
          <w:rFonts w:hint="eastAsia" w:ascii="仿宋_GB2312" w:hAnsi="仿宋_GB2312" w:eastAsia="仿宋_GB2312" w:cs="仿宋_GB2312"/>
          <w:b w:val="0"/>
          <w:bCs w:val="0"/>
          <w:color w:val="auto"/>
        </w:rPr>
        <w:t>引进银行机构8家，为科技型企业提供资金支持近2亿元；参与设立并引进产业基金6支，基金管理规模达到20亿元。</w:t>
      </w:r>
    </w:p>
    <w:p w14:paraId="17F964D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重大项目稳步推进。坚持</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项目为王</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理念，深入推进</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转作风、大攻坚、建新功</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行动，投资</w:t>
      </w:r>
      <w:r>
        <w:rPr>
          <w:rFonts w:hint="eastAsia" w:ascii="仿宋_GB2312" w:hAnsi="仿宋_GB2312" w:eastAsia="仿宋_GB2312" w:cs="仿宋_GB2312"/>
          <w:b w:val="0"/>
          <w:bCs w:val="0"/>
          <w:color w:val="auto"/>
          <w:lang w:val="en-US" w:eastAsia="zh-CN"/>
        </w:rPr>
        <w:t>1133</w:t>
      </w:r>
      <w:r>
        <w:rPr>
          <w:rFonts w:hint="eastAsia" w:ascii="仿宋_GB2312" w:hAnsi="仿宋_GB2312" w:eastAsia="仿宋_GB2312" w:cs="仿宋_GB2312"/>
          <w:b w:val="0"/>
          <w:bCs w:val="0"/>
          <w:color w:val="auto"/>
        </w:rPr>
        <w:t>亿元建设省、市重点项目164个，中州时代一期、二期投产，国宏智能装备产业园一期、国创动力电池产业园一期竣工，中科信息产业园一期项目</w:t>
      </w:r>
      <w:r>
        <w:rPr>
          <w:rFonts w:hint="eastAsia" w:ascii="仿宋_GB2312" w:hAnsi="仿宋_GB2312" w:eastAsia="仿宋_GB2312" w:cs="仿宋_GB2312"/>
          <w:b w:val="0"/>
          <w:bCs w:val="0"/>
          <w:color w:val="auto"/>
          <w:lang w:val="en-US" w:eastAsia="zh-CN"/>
        </w:rPr>
        <w:t>已投入使用</w:t>
      </w:r>
      <w:r>
        <w:rPr>
          <w:rFonts w:hint="eastAsia" w:ascii="仿宋_GB2312" w:hAnsi="仿宋_GB2312" w:eastAsia="仿宋_GB2312" w:cs="仿宋_GB2312"/>
          <w:b w:val="0"/>
          <w:bCs w:val="0"/>
          <w:color w:val="auto"/>
        </w:rPr>
        <w:t>，庞村智能家居产业园一期、二期实现完工投产，中航电光产业基地、轴研所科技产业园建成投用，洛阳国家光伏检验平台及综合检测中心已完工。一系列打基础</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利长远的重点项目落地见效，一大批在建项目进入产能集中释放期，为培育新质生产力、构建现代化产业体系</w:t>
      </w:r>
      <w:r>
        <w:rPr>
          <w:rFonts w:hint="eastAsia" w:ascii="仿宋_GB2312" w:hAnsi="仿宋_GB2312" w:eastAsia="仿宋_GB2312" w:cs="仿宋_GB2312"/>
          <w:b w:val="0"/>
          <w:bCs w:val="0"/>
          <w:color w:val="auto"/>
          <w:lang w:val="en-US" w:eastAsia="zh-CN"/>
        </w:rPr>
        <w:t>奠定</w:t>
      </w:r>
      <w:r>
        <w:rPr>
          <w:rFonts w:hint="eastAsia" w:ascii="仿宋_GB2312" w:hAnsi="仿宋_GB2312" w:eastAsia="仿宋_GB2312" w:cs="仿宋_GB2312"/>
          <w:b w:val="0"/>
          <w:bCs w:val="0"/>
          <w:color w:val="auto"/>
        </w:rPr>
        <w:t>坚实基础。</w:t>
      </w:r>
    </w:p>
    <w:p w14:paraId="559DFA0C">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乡村振兴纵深推进。</w:t>
      </w:r>
      <w:r>
        <w:rPr>
          <w:rFonts w:hint="eastAsia" w:ascii="仿宋_GB2312" w:hAnsi="仿宋_GB2312" w:eastAsia="仿宋_GB2312" w:cs="仿宋_GB2312"/>
          <w:b w:val="0"/>
          <w:bCs w:val="0"/>
          <w:color w:val="auto"/>
          <w:lang w:eastAsia="zh-CN"/>
        </w:rPr>
        <w:t>落实</w:t>
      </w:r>
      <w:r>
        <w:rPr>
          <w:rFonts w:hint="eastAsia" w:ascii="仿宋_GB2312" w:hAnsi="仿宋_GB2312" w:eastAsia="仿宋_GB2312" w:cs="仿宋_GB2312"/>
          <w:b w:val="0"/>
          <w:bCs w:val="0"/>
          <w:color w:val="auto"/>
        </w:rPr>
        <w:t>乡村振兴</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151</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工作举措，围绕城乡融合及</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城郊型乡村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建设</w:t>
      </w:r>
      <w:r>
        <w:rPr>
          <w:rFonts w:hint="eastAsia" w:ascii="仿宋_GB2312" w:hAnsi="仿宋_GB2312" w:eastAsia="仿宋_GB2312" w:cs="仿宋_GB2312"/>
          <w:b w:val="0"/>
          <w:bCs w:val="0"/>
          <w:color w:val="auto"/>
          <w:highlight w:val="none"/>
        </w:rPr>
        <w:t>，积极探索以特色产业为抓手，以现代农业产业园为平台，以乡村农文旅融合为纽带的发展新路径。</w:t>
      </w:r>
      <w:r>
        <w:rPr>
          <w:rFonts w:hint="eastAsia" w:ascii="仿宋_GB2312" w:hAnsi="仿宋_GB2312" w:eastAsia="仿宋_GB2312" w:cs="仿宋_GB2312"/>
          <w:b w:val="0"/>
          <w:bCs w:val="0"/>
          <w:color w:val="auto"/>
        </w:rPr>
        <w:t>乡村基础设施建设不断</w:t>
      </w:r>
      <w:r>
        <w:rPr>
          <w:rFonts w:hint="eastAsia" w:ascii="仿宋_GB2312" w:hAnsi="仿宋_GB2312" w:eastAsia="仿宋_GB2312" w:cs="仿宋_GB2312"/>
          <w:b w:val="0"/>
          <w:bCs w:val="0"/>
          <w:color w:val="auto"/>
          <w:lang w:val="en-US" w:eastAsia="zh-CN"/>
        </w:rPr>
        <w:t>完善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和美乡村建设水平持续提升，全区实现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达标村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全覆盖，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示范村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精品村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建设卓有成效，荣获</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乡村振兴先进县区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。垃圾治理分类推进，农村改厕清零见底。农文旅产业融合发展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打造23.8公里万安山旅游环线，串联倒盏村等6个景点、6个美丽乡村</w:t>
      </w:r>
      <w:r>
        <w:rPr>
          <w:rFonts w:hint="eastAsia" w:ascii="仿宋_GB2312" w:hAnsi="仿宋_GB2312" w:eastAsia="仿宋_GB2312" w:cs="仿宋_GB2312"/>
          <w:b w:val="0"/>
          <w:bCs w:val="0"/>
          <w:color w:val="auto"/>
          <w:highlight w:val="none"/>
        </w:rPr>
        <w:t>、6个精品</w:t>
      </w:r>
      <w:r>
        <w:rPr>
          <w:rFonts w:hint="eastAsia" w:ascii="仿宋_GB2312" w:hAnsi="仿宋_GB2312" w:eastAsia="仿宋_GB2312" w:cs="仿宋_GB2312"/>
          <w:b w:val="0"/>
          <w:bCs w:val="0"/>
          <w:color w:val="auto"/>
        </w:rPr>
        <w:t>民宿，实现全域景区化运营。洛阳国际现代农业示范园一期、洛阳国展智能化农业产业示范园投入运营；龙门实验室农业智慧化生产示范基地一期运营投用。金融支持持续发力。87个社区整村授信全部完成，在全市最早实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信用村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全覆盖。设立农户信贷风险补充资金池，撬动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惠农e贷</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投放1.5亿元。</w:t>
      </w:r>
    </w:p>
    <w:p w14:paraId="1A2CA0F1">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城市功能持续完善。按照</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一轴两廊三带九组团</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规划布局，坚持</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建轴线即建城市</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，高标准建设伊滨中央轴</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城市路网逐步完善，打通断头路53条</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段</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公园绿地遍布城区，新增绿化面积453公顷、绿廊4.05万米，建成北国花城44处，完成城市乐道建设40余公里。建成区体育公园100个、邻里中心14个，成为全省样板。城市功能配套不断完善，拥有高等院校7所、高中2所、青年人才公寓近千套</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3处家长驿站建设完成，全市领先。完成3个街道养老服务中心建设，打造3个完整社区。安置小区</w:t>
      </w:r>
      <w:r>
        <w:rPr>
          <w:rFonts w:hint="eastAsia" w:ascii="仿宋_GB2312" w:hAnsi="仿宋_GB2312" w:eastAsia="仿宋_GB2312" w:cs="仿宋_GB2312"/>
          <w:b w:val="0"/>
          <w:bCs w:val="0"/>
          <w:color w:val="auto"/>
          <w:lang w:val="en-US" w:eastAsia="zh-CN"/>
        </w:rPr>
        <w:t>项目建成安置房102栋</w:t>
      </w:r>
      <w:r>
        <w:rPr>
          <w:rFonts w:hint="eastAsia" w:ascii="仿宋_GB2312" w:hAnsi="仿宋_GB2312" w:eastAsia="仿宋_GB2312" w:cs="仿宋_GB2312"/>
          <w:b w:val="0"/>
          <w:bCs w:val="0"/>
          <w:color w:val="auto"/>
        </w:rPr>
        <w:t>，</w:t>
      </w:r>
      <w:r>
        <w:rPr>
          <w:rFonts w:hint="eastAsia" w:ascii="仿宋_GB2312" w:hAnsi="仿宋_GB2312" w:eastAsia="仿宋_GB2312" w:cs="仿宋_GB2312"/>
          <w:b w:val="0"/>
          <w:bCs w:val="0"/>
          <w:color w:val="auto"/>
          <w:lang w:val="en-US" w:eastAsia="zh-CN"/>
        </w:rPr>
        <w:t>约1.6万套，</w:t>
      </w:r>
      <w:r>
        <w:rPr>
          <w:rFonts w:hint="eastAsia" w:ascii="仿宋_GB2312" w:hAnsi="仿宋_GB2312" w:eastAsia="仿宋_GB2312" w:cs="仿宋_GB2312"/>
          <w:b w:val="0"/>
          <w:bCs w:val="0"/>
          <w:color w:val="auto"/>
        </w:rPr>
        <w:t>安置人口</w:t>
      </w:r>
      <w:r>
        <w:rPr>
          <w:rFonts w:hint="eastAsia" w:ascii="仿宋_GB2312" w:hAnsi="仿宋_GB2312" w:eastAsia="仿宋_GB2312" w:cs="仿宋_GB2312"/>
          <w:b w:val="0"/>
          <w:bCs w:val="0"/>
          <w:color w:val="auto"/>
          <w:lang w:val="en-US" w:eastAsia="zh-CN"/>
        </w:rPr>
        <w:t>4.6</w:t>
      </w:r>
      <w:r>
        <w:rPr>
          <w:rFonts w:hint="eastAsia" w:ascii="仿宋_GB2312" w:hAnsi="仿宋_GB2312" w:eastAsia="仿宋_GB2312" w:cs="仿宋_GB2312"/>
          <w:b w:val="0"/>
          <w:bCs w:val="0"/>
          <w:color w:val="auto"/>
        </w:rPr>
        <w:t>万人。韧性城市建设持续深化，伊东渠、光武排涝渠全线通水，大幅提升城市生态缓冲能力</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伊河伊滨段右岸堤防获评省级三级标准化工程，筑牢万安山生态屏障与伊河生态走廊</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双防线</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重点布局5G网络等新型基础设施，智慧治理系统初步建成。城市品质逐步提升，完成玉泉新零售、诸葛里等6个特色街区改造提升，15分钟便民服务生活圈初步形成；四星级万达美华酒店、五星级唐都逸景酒店投用。</w:t>
      </w:r>
    </w:p>
    <w:p w14:paraId="7DF09F53">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生态建设成效显著。生态环境质量持续改善，绿色低碳转型步伐加快</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顺利完成工业污染深度治理、农村人居环境整治和污水治理、</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无废城市</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建设、国土矿山修复、新污染物替代削减与管控等项目建设，有效提升人居环境水平。</w:t>
      </w:r>
      <w:r>
        <w:rPr>
          <w:rFonts w:hint="eastAsia" w:ascii="仿宋_GB2312" w:hAnsi="仿宋_GB2312" w:eastAsia="仿宋_GB2312" w:cs="仿宋_GB2312"/>
          <w:b w:val="0"/>
          <w:bCs w:val="0"/>
          <w:strike w:val="0"/>
          <w:color w:val="auto"/>
        </w:rPr>
        <w:t>2025年PM10年均浓度较2021年下降20.0%，PM2.5年均浓度较2021年下降8.7%，重污染天较2021年的9天减少至3天，空气质量得到持续改善。</w:t>
      </w:r>
      <w:r>
        <w:rPr>
          <w:rFonts w:hint="eastAsia" w:ascii="仿宋_GB2312" w:hAnsi="仿宋_GB2312" w:eastAsia="仿宋_GB2312" w:cs="仿宋_GB2312"/>
          <w:b w:val="0"/>
          <w:bCs w:val="0"/>
          <w:color w:val="auto"/>
        </w:rPr>
        <w:t>全区地表水、地下水、土壤环境安全稳定。在有限的生态环境容量中，联审联批198个项目落地。成功建设伊滨河长制主题公园。持续深化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四河五渠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综合治理，完成水系连通工程100余公里，建设游园湿地28处，提升7处城市湿地，新建9处湿地样板。高标准完成立雪公园1-5期绿化改造提升，建成投用水连寨公园；利用城市剩余空间打造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金角银边</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，建设安澜街、吉庆路和伊滨医院口袋公园，高标准建设吉庆嘉苑北、咸宁寨、光武大道街头等12个小游园，让绿色成为动人底色。</w:t>
      </w:r>
    </w:p>
    <w:p w14:paraId="477E196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民生福祉持续增进。坚持民生优先、加大民生投入，人民幸福指数不断攀升。就业渠道进一步拓宽，5年来累计新增就业人员2万余人。社会保障更加有力，累计发放各类社保待遇4800余万元；87个社区养老服务设施全覆盖。民生服务进一步完善，实验幼儿园、九嘉伊滨花园配套幼儿园等6所新建幼儿园项目顺利推进，3所中小学校建成投用，改造完成5所农村寄宿制学校</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北京中医药大学东直门医院洛阳医院、西交大二附院洛阳医院伊滨院区建成投用，三镇卫生院完成提升</w:t>
      </w:r>
      <w:r>
        <w:rPr>
          <w:rFonts w:hint="eastAsia" w:ascii="仿宋_GB2312" w:hAnsi="仿宋_GB2312" w:eastAsia="仿宋_GB2312" w:cs="仿宋_GB2312"/>
          <w:b w:val="0"/>
          <w:bCs w:val="0"/>
          <w:color w:val="auto"/>
          <w:lang w:eastAsia="zh-CN"/>
        </w:rPr>
        <w:t>改造</w:t>
      </w:r>
      <w:r>
        <w:rPr>
          <w:rFonts w:hint="eastAsia" w:ascii="仿宋_GB2312" w:hAnsi="仿宋_GB2312" w:eastAsia="仿宋_GB2312" w:cs="仿宋_GB2312"/>
          <w:b w:val="0"/>
          <w:bCs w:val="0"/>
          <w:color w:val="auto"/>
        </w:rPr>
        <w:t>，新建2家社区卫生服务中心；托育服务体系初步形成，区托育综合服务中心建成投用，公立幼儿园托幼一体化实现全覆盖。社会大局和谐稳定，85个社区获</w:t>
      </w:r>
      <w:r>
        <w:rPr>
          <w:rFonts w:hint="eastAsia" w:ascii="仿宋_GB2312" w:hAnsi="仿宋_GB2312" w:eastAsia="仿宋_GB2312" w:cs="仿宋_GB2312"/>
          <w:b w:val="0"/>
          <w:bCs w:val="0"/>
          <w:color w:val="auto"/>
          <w:lang w:val="en-US" w:eastAsia="zh-CN"/>
        </w:rPr>
        <w:t>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平安法治星</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社区，达标率98%。</w:t>
      </w:r>
      <w:bookmarkStart w:id="61" w:name="_Toc7318"/>
      <w:bookmarkStart w:id="62" w:name="_Toc9291"/>
      <w:bookmarkStart w:id="63" w:name="_Toc30944"/>
      <w:bookmarkStart w:id="64" w:name="_Toc7247"/>
      <w:bookmarkStart w:id="65" w:name="_Toc12289"/>
      <w:bookmarkStart w:id="66" w:name="_Toc7843"/>
      <w:bookmarkStart w:id="67" w:name="_Toc30515"/>
      <w:bookmarkStart w:id="68" w:name="_Toc12571"/>
      <w:bookmarkStart w:id="69" w:name="_Toc1609030468"/>
      <w:bookmarkStart w:id="70" w:name="_Toc4640"/>
      <w:bookmarkStart w:id="71" w:name="_Toc5881"/>
      <w:bookmarkStart w:id="72" w:name="_Toc26868"/>
      <w:bookmarkStart w:id="73" w:name="_Toc4765"/>
      <w:bookmarkStart w:id="74" w:name="_Toc215857824"/>
      <w:bookmarkStart w:id="75" w:name="_Toc25013"/>
      <w:bookmarkStart w:id="76" w:name="_Toc4768"/>
    </w:p>
    <w:p w14:paraId="602E73E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二、发展经验</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2ECF9F1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坚持党的领导。</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十四五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期间取得的成就，主要是坚持党的领导，洛阳市委、市政府高度重视，精准定位，大力支持；区党工委、管委会领导班子凝聚合力、务实重干，</w:t>
      </w:r>
      <w:r>
        <w:rPr>
          <w:rFonts w:hint="eastAsia" w:ascii="仿宋_GB2312" w:hAnsi="仿宋_GB2312" w:eastAsia="仿宋_GB2312" w:cs="仿宋_GB2312"/>
          <w:b w:val="0"/>
          <w:bCs w:val="0"/>
          <w:color w:val="auto"/>
          <w:lang w:eastAsia="zh-CN"/>
        </w:rPr>
        <w:t>全</w:t>
      </w:r>
      <w:r>
        <w:rPr>
          <w:rFonts w:hint="eastAsia" w:ascii="仿宋_GB2312" w:hAnsi="仿宋_GB2312" w:eastAsia="仿宋_GB2312" w:cs="仿宋_GB2312"/>
          <w:b w:val="0"/>
          <w:bCs w:val="0"/>
          <w:color w:val="auto"/>
        </w:rPr>
        <w:t>区各单位及镇办、街道各级党组织坚持不懈、接续奋斗；社区党支部坚定信心、攻坚克难。</w:t>
      </w:r>
    </w:p>
    <w:p w14:paraId="3520BE76">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规划引领。作为全市开发建设的主战场，始终坚持规划引领，规划先行，高标准修订完善区国土空间规划、中央轴专项规划、产业发展规划等多项规划，区域发展严格遵循规划执行，一张蓝图绘到底，避免重复建设造成浪费。</w:t>
      </w:r>
    </w:p>
    <w:p w14:paraId="3CA13259">
      <w:pPr>
        <w:pageBreakBefore w:val="0"/>
        <w:widowControl w:val="0"/>
        <w:kinsoku/>
        <w:wordWrap/>
        <w:topLinePunct w:val="0"/>
        <w:bidi w:val="0"/>
        <w:spacing w:line="600" w:lineRule="exact"/>
        <w:ind w:firstLine="643"/>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坚持科技创新。围绕伊滨科技产业新城建设，深入实施创新驱动发展战略，着力推动创新体系重塑重建，完善</w:t>
      </w:r>
      <w:r>
        <w:rPr>
          <w:rFonts w:hint="eastAsia" w:ascii="仿宋_GB2312" w:hAnsi="仿宋_GB2312" w:eastAsia="仿宋_GB2312" w:cs="仿宋_GB2312"/>
          <w:b w:val="0"/>
          <w:bCs w:val="0"/>
          <w:color w:val="auto"/>
          <w:lang w:eastAsia="zh-CN"/>
        </w:rPr>
        <w:t>科技成果转化</w:t>
      </w:r>
      <w:r>
        <w:rPr>
          <w:rFonts w:hint="eastAsia" w:ascii="仿宋_GB2312" w:hAnsi="仿宋_GB2312" w:eastAsia="仿宋_GB2312" w:cs="仿宋_GB2312"/>
          <w:b w:val="0"/>
          <w:bCs w:val="0"/>
          <w:color w:val="auto"/>
        </w:rPr>
        <w:t>链条，引育一流人才，创新平台加快完善，创新环境不断优化，创新活力持续迸发，各类创新主体不断发展壮大，创新支撑高质量发展的能力稳步提升。</w:t>
      </w:r>
    </w:p>
    <w:p w14:paraId="7880E9A1">
      <w:pPr>
        <w:pageBreakBefore w:val="0"/>
        <w:widowControl w:val="0"/>
        <w:kinsoku/>
        <w:wordWrap/>
        <w:topLinePunct w:val="0"/>
        <w:bidi w:val="0"/>
        <w:spacing w:line="600" w:lineRule="exact"/>
        <w:ind w:firstLine="643"/>
        <w:rPr>
          <w:rFonts w:hint="eastAsia" w:ascii="仿宋_GB2312" w:hAnsi="仿宋_GB2312" w:eastAsia="仿宋_GB2312" w:cs="仿宋_GB2312"/>
          <w:b w:val="0"/>
          <w:bCs w:val="0"/>
          <w:color w:val="auto"/>
          <w:highlight w:val="none"/>
          <w:lang w:eastAsia="zh-CN"/>
        </w:rPr>
      </w:pPr>
      <w:r>
        <w:rPr>
          <w:rFonts w:hint="eastAsia" w:ascii="仿宋_GB2312" w:hAnsi="仿宋_GB2312" w:eastAsia="仿宋_GB2312" w:cs="仿宋_GB2312"/>
          <w:b w:val="0"/>
          <w:bCs w:val="0"/>
          <w:color w:val="auto"/>
        </w:rPr>
        <w:t>坚持产城融合。按照市委、市政府精准定位，紧盯新能源产业风口，引进了宁德时代洛阳基地——中州时代新能源基地，统筹全区各方力量全力服务保障项目快速落地达产，新能源产业配套产业园快速建设，支撑全区全市经济快速发展。强力推进智能家居产业园规划建设，两大钢制</w:t>
      </w:r>
      <w:r>
        <w:rPr>
          <w:rFonts w:hint="eastAsia" w:ascii="仿宋_GB2312" w:hAnsi="仿宋_GB2312" w:eastAsia="仿宋_GB2312" w:cs="仿宋_GB2312"/>
          <w:b w:val="0"/>
          <w:bCs w:val="0"/>
          <w:color w:val="auto"/>
          <w:lang w:val="en-US" w:eastAsia="zh-CN"/>
        </w:rPr>
        <w:t>家具</w:t>
      </w:r>
      <w:r>
        <w:rPr>
          <w:rFonts w:hint="eastAsia" w:ascii="仿宋_GB2312" w:hAnsi="仿宋_GB2312" w:eastAsia="仿宋_GB2312" w:cs="仿宋_GB2312"/>
          <w:b w:val="0"/>
          <w:bCs w:val="0"/>
          <w:color w:val="auto"/>
        </w:rPr>
        <w:t>产业园获批，极大提振了钢制</w:t>
      </w:r>
      <w:r>
        <w:rPr>
          <w:rFonts w:hint="eastAsia" w:ascii="仿宋_GB2312" w:hAnsi="仿宋_GB2312" w:eastAsia="仿宋_GB2312" w:cs="仿宋_GB2312"/>
          <w:b w:val="0"/>
          <w:bCs w:val="0"/>
          <w:color w:val="auto"/>
          <w:lang w:val="en-US" w:eastAsia="zh-CN"/>
        </w:rPr>
        <w:t>家具</w:t>
      </w:r>
      <w:r>
        <w:rPr>
          <w:rFonts w:hint="eastAsia" w:ascii="仿宋_GB2312" w:hAnsi="仿宋_GB2312" w:eastAsia="仿宋_GB2312" w:cs="仿宋_GB2312"/>
          <w:b w:val="0"/>
          <w:bCs w:val="0"/>
          <w:color w:val="auto"/>
        </w:rPr>
        <w:t>产业的发展劲头，区镇</w:t>
      </w:r>
      <w:r>
        <w:rPr>
          <w:rFonts w:hint="eastAsia" w:ascii="仿宋_GB2312" w:hAnsi="仿宋_GB2312" w:eastAsia="仿宋_GB2312" w:cs="仿宋_GB2312"/>
          <w:b w:val="0"/>
          <w:bCs w:val="0"/>
          <w:color w:val="auto"/>
          <w:lang w:eastAsia="zh-CN"/>
        </w:rPr>
        <w:t>两级</w:t>
      </w:r>
      <w:r>
        <w:rPr>
          <w:rFonts w:hint="eastAsia" w:ascii="仿宋_GB2312" w:hAnsi="仿宋_GB2312" w:eastAsia="仿宋_GB2312" w:cs="仿宋_GB2312"/>
          <w:b w:val="0"/>
          <w:bCs w:val="0"/>
          <w:color w:val="auto"/>
        </w:rPr>
        <w:t>成立专班，编制规划，加强引导，制定钢制家具高质量发展三年行动方案，面对近两年宏观经济下行趋势，该产业</w:t>
      </w:r>
      <w:r>
        <w:rPr>
          <w:rFonts w:hint="eastAsia" w:ascii="仿宋_GB2312" w:hAnsi="仿宋_GB2312" w:eastAsia="仿宋_GB2312" w:cs="仿宋_GB2312"/>
          <w:b w:val="0"/>
          <w:bCs w:val="0"/>
          <w:color w:val="auto"/>
          <w:lang w:val="en-US" w:eastAsia="zh-CN"/>
        </w:rPr>
        <w:t>仍</w:t>
      </w:r>
      <w:r>
        <w:rPr>
          <w:rFonts w:hint="eastAsia" w:ascii="仿宋_GB2312" w:hAnsi="仿宋_GB2312" w:eastAsia="仿宋_GB2312" w:cs="仿宋_GB2312"/>
          <w:b w:val="0"/>
          <w:bCs w:val="0"/>
          <w:color w:val="auto"/>
        </w:rPr>
        <w:t>投资信心倍增，</w:t>
      </w:r>
      <w:r>
        <w:rPr>
          <w:rFonts w:hint="eastAsia" w:ascii="仿宋_GB2312" w:hAnsi="仿宋_GB2312" w:eastAsia="仿宋_GB2312" w:cs="仿宋_GB2312"/>
          <w:b w:val="0"/>
          <w:bCs w:val="0"/>
          <w:color w:val="auto"/>
          <w:highlight w:val="none"/>
        </w:rPr>
        <w:t>出现土地</w:t>
      </w:r>
      <w:r>
        <w:rPr>
          <w:rFonts w:hint="eastAsia" w:ascii="仿宋_GB2312" w:hAnsi="仿宋_GB2312" w:eastAsia="仿宋_GB2312" w:cs="仿宋_GB2312"/>
          <w:b w:val="0"/>
          <w:bCs w:val="0"/>
          <w:color w:val="auto"/>
          <w:highlight w:val="none"/>
          <w:lang w:val="en-US" w:eastAsia="zh-CN"/>
        </w:rPr>
        <w:t>供不应求的火热局面</w:t>
      </w:r>
      <w:r>
        <w:rPr>
          <w:rFonts w:hint="eastAsia" w:ascii="仿宋_GB2312" w:hAnsi="仿宋_GB2312" w:eastAsia="仿宋_GB2312" w:cs="仿宋_GB2312"/>
          <w:b w:val="0"/>
          <w:bCs w:val="0"/>
          <w:color w:val="auto"/>
          <w:highlight w:val="none"/>
        </w:rPr>
        <w:t>。</w:t>
      </w:r>
    </w:p>
    <w:p w14:paraId="5D877874">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val="en-US" w:eastAsia="zh-CN"/>
        </w:rPr>
        <w:t>坚持</w:t>
      </w:r>
      <w:r>
        <w:rPr>
          <w:rFonts w:hint="eastAsia" w:ascii="仿宋_GB2312" w:hAnsi="仿宋_GB2312" w:eastAsia="仿宋_GB2312" w:cs="仿宋_GB2312"/>
          <w:b w:val="0"/>
          <w:bCs w:val="0"/>
          <w:color w:val="auto"/>
        </w:rPr>
        <w:t>民生</w:t>
      </w:r>
      <w:r>
        <w:rPr>
          <w:rFonts w:hint="eastAsia" w:ascii="仿宋_GB2312" w:hAnsi="仿宋_GB2312" w:eastAsia="仿宋_GB2312" w:cs="仿宋_GB2312"/>
          <w:b w:val="0"/>
          <w:bCs w:val="0"/>
          <w:color w:val="auto"/>
          <w:lang w:val="en-US" w:eastAsia="zh-CN"/>
        </w:rPr>
        <w:t>优先</w:t>
      </w:r>
      <w:r>
        <w:rPr>
          <w:rFonts w:hint="eastAsia" w:ascii="仿宋_GB2312" w:hAnsi="仿宋_GB2312" w:eastAsia="仿宋_GB2312" w:cs="仿宋_GB2312"/>
          <w:b w:val="0"/>
          <w:bCs w:val="0"/>
          <w:color w:val="auto"/>
        </w:rPr>
        <w:t>。多方筹措资金，保障群众安置房建设，高度重视中小学校建设，配备优质教育资源，大力提升教育教学质量，中小学校园餐配送模式得到省市高度认可，支持两家国家级区域医疗中心在伊滨落地运营，乡镇卫生院提升改造得到省市认可，社区卫生服务中心、村卫生服务站建设服务水平大幅提升，极大改善了民生。</w:t>
      </w:r>
    </w:p>
    <w:p w14:paraId="7BE98E3B">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77" w:name="_Toc9069"/>
      <w:bookmarkStart w:id="78" w:name="_Toc6432"/>
      <w:bookmarkStart w:id="79" w:name="_Toc15754"/>
      <w:bookmarkStart w:id="80" w:name="_Toc21613"/>
      <w:bookmarkStart w:id="81" w:name="_Toc26775"/>
      <w:bookmarkStart w:id="82" w:name="_Toc1254759818"/>
      <w:bookmarkStart w:id="83" w:name="_Toc28354"/>
      <w:bookmarkStart w:id="84" w:name="_Toc23267"/>
      <w:bookmarkStart w:id="85" w:name="_Toc30028"/>
      <w:bookmarkStart w:id="86" w:name="_Toc14732"/>
      <w:bookmarkStart w:id="87" w:name="_Toc4448"/>
      <w:bookmarkStart w:id="88" w:name="_Toc14975"/>
      <w:bookmarkStart w:id="89" w:name="_Toc20929"/>
      <w:bookmarkStart w:id="90" w:name="_Toc17875"/>
      <w:bookmarkStart w:id="91" w:name="_Toc215857825"/>
      <w:bookmarkStart w:id="92" w:name="_Toc10664"/>
    </w:p>
    <w:p w14:paraId="3124D3FB">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第二节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发展环境</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729B8C8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93" w:name="_Toc13634"/>
      <w:bookmarkStart w:id="94" w:name="_Toc215857826"/>
      <w:bookmarkStart w:id="95" w:name="_Toc1528031848"/>
      <w:bookmarkStart w:id="96" w:name="_Toc22256"/>
      <w:bookmarkStart w:id="97" w:name="_Toc11924"/>
      <w:bookmarkStart w:id="98" w:name="_Toc19121"/>
      <w:bookmarkStart w:id="99" w:name="_Toc17599"/>
      <w:bookmarkStart w:id="100" w:name="_Toc18547"/>
      <w:bookmarkStart w:id="101" w:name="_Toc16616"/>
      <w:bookmarkStart w:id="102" w:name="_Toc32074"/>
      <w:bookmarkStart w:id="103" w:name="_Toc27710"/>
      <w:bookmarkStart w:id="104" w:name="_Toc5539"/>
      <w:bookmarkStart w:id="105" w:name="_Toc12018"/>
      <w:bookmarkStart w:id="106" w:name="_Toc15522"/>
      <w:bookmarkStart w:id="107" w:name="_Toc6847"/>
      <w:bookmarkStart w:id="108" w:name="_Toc8992"/>
    </w:p>
    <w:p w14:paraId="6CE515DA">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一、宏观环境</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2B844BF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时期，伊滨经济社会发展既处于大有可为的重要战略机遇期，也面临错综复杂的内外部环境带来的新矛盾新挑战。</w:t>
      </w:r>
    </w:p>
    <w:p w14:paraId="0D62779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从国际看：世界百年变局加速演进，国际形势日益复杂多变，国际经济贸易秩序遇到严峻挑战，单边主义、保护主义加剧，全球供应链、产业链受到巨大冲击，经济全球化面临深度调整，世界经济复苏乏力态势仍将持续；新一轮科技革命和产业变革加速突破，集成电路、人工智能等领域技术加速迭代</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产业形态和经济格局深度调整。面对国际宏观环境的变局，伊滨以开放促发展和提升</w:t>
      </w:r>
      <w:r>
        <w:rPr>
          <w:rFonts w:hint="eastAsia" w:ascii="仿宋_GB2312" w:hAnsi="仿宋_GB2312" w:eastAsia="仿宋_GB2312" w:cs="仿宋_GB2312"/>
          <w:b w:val="0"/>
          <w:bCs w:val="0"/>
          <w:color w:val="auto"/>
          <w:lang w:val="en-US" w:eastAsia="zh-CN"/>
        </w:rPr>
        <w:t>现代</w:t>
      </w:r>
      <w:r>
        <w:rPr>
          <w:rFonts w:hint="eastAsia" w:ascii="仿宋_GB2312" w:hAnsi="仿宋_GB2312" w:eastAsia="仿宋_GB2312" w:cs="仿宋_GB2312"/>
          <w:b w:val="0"/>
          <w:bCs w:val="0"/>
          <w:color w:val="auto"/>
        </w:rPr>
        <w:t>化水平的机遇和挑战并存。</w:t>
      </w:r>
    </w:p>
    <w:p w14:paraId="15923B7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从国内看：</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时期，我国经济基础稳、优势多、韧性强、潜能大，长期向好的支撑条件和基本趋势没有变，中国特色社会主义制度优势、超大规模市场优势、完整产业体系优势、丰富人才资源优势更加彰显。未来五年，我国改革开放不断深化，</w:t>
      </w:r>
      <w:r>
        <w:rPr>
          <w:rFonts w:hint="eastAsia" w:ascii="仿宋_GB2312" w:hAnsi="仿宋_GB2312" w:eastAsia="仿宋_GB2312" w:cs="仿宋_GB2312"/>
          <w:b w:val="0"/>
          <w:bCs w:val="0"/>
          <w:color w:val="auto"/>
          <w:lang w:val="en-US" w:eastAsia="zh-CN"/>
        </w:rPr>
        <w:t>全国统一大市场纵深推进</w:t>
      </w:r>
      <w:r>
        <w:rPr>
          <w:rFonts w:hint="eastAsia" w:ascii="仿宋_GB2312" w:hAnsi="仿宋_GB2312" w:eastAsia="仿宋_GB2312" w:cs="仿宋_GB2312"/>
          <w:b w:val="0"/>
          <w:bCs w:val="0"/>
          <w:color w:val="auto"/>
        </w:rPr>
        <w:t>、国内国际双循环相互促进的新发展格局加速形成，将有力推进产业结构转型升级，持续提振国内市场消费，增强经济发展内生动力。有利于伊滨稳步扩大投资规模，支持实体经济发展，加快新质生产力成长。</w:t>
      </w:r>
    </w:p>
    <w:p w14:paraId="2600F24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从省内看：全省上下按照</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1+2+4+N</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目标任务体系，围绕建设</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六</w:t>
      </w:r>
      <w:r>
        <w:rPr>
          <w:rFonts w:hint="eastAsia" w:ascii="仿宋_GB2312" w:hAnsi="仿宋_GB2312" w:eastAsia="仿宋_GB2312" w:cs="仿宋_GB2312"/>
          <w:b w:val="0"/>
          <w:bCs w:val="0"/>
          <w:color w:val="auto"/>
        </w:rPr>
        <w:t>个强省</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、营造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六</w:t>
      </w:r>
      <w:r>
        <w:rPr>
          <w:rFonts w:hint="eastAsia" w:ascii="仿宋_GB2312" w:hAnsi="仿宋_GB2312" w:eastAsia="仿宋_GB2312" w:cs="仿宋_GB2312"/>
          <w:b w:val="0"/>
          <w:bCs w:val="0"/>
          <w:color w:val="auto"/>
        </w:rPr>
        <w:t>个环境</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、抓好</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w:t>
      </w:r>
      <w:r>
        <w:rPr>
          <w:rFonts w:hint="eastAsia" w:ascii="仿宋_GB2312" w:hAnsi="仿宋_GB2312" w:eastAsia="仿宋_GB2312" w:cs="仿宋_GB2312"/>
          <w:b w:val="0"/>
          <w:bCs w:val="0"/>
          <w:color w:val="auto"/>
          <w:lang w:val="en-US" w:eastAsia="zh-CN"/>
        </w:rPr>
        <w:t>五</w:t>
      </w:r>
      <w:r>
        <w:rPr>
          <w:rFonts w:hint="eastAsia" w:ascii="仿宋_GB2312" w:hAnsi="仿宋_GB2312" w:eastAsia="仿宋_GB2312" w:cs="仿宋_GB2312"/>
          <w:b w:val="0"/>
          <w:bCs w:val="0"/>
          <w:color w:val="auto"/>
        </w:rPr>
        <w:t>项重点工作</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，打造具有河南特色的现代化产业体系，因地制宜发展新质生产力，建设全国统一大市场循环枢纽、打造国内国际市场双循环支点，实施营商环境优化提升行动，有助于伊滨全面承接产业转移，赋能高质量发展。</w:t>
      </w:r>
    </w:p>
    <w:p w14:paraId="0D5AFBF7">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从全市看：作为中原城市群副中心城市和黄河流域重要节点城市，洛阳</w:t>
      </w:r>
      <w:r>
        <w:rPr>
          <w:rFonts w:hint="eastAsia" w:ascii="仿宋_GB2312" w:hAnsi="仿宋_GB2312" w:eastAsia="仿宋_GB2312" w:cs="仿宋_GB2312"/>
          <w:b w:val="0"/>
          <w:bCs w:val="0"/>
          <w:color w:val="auto"/>
          <w:lang w:val="en-US" w:eastAsia="zh-CN"/>
        </w:rPr>
        <w:t>深入落实</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中部地区加快崛起</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黄河流域生态保护和高质量发展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等国家战略，</w:t>
      </w:r>
      <w:r>
        <w:rPr>
          <w:rFonts w:hint="eastAsia" w:ascii="仿宋_GB2312" w:hAnsi="仿宋_GB2312" w:eastAsia="仿宋_GB2312" w:cs="仿宋_GB2312"/>
          <w:b w:val="0"/>
          <w:bCs w:val="0"/>
          <w:color w:val="auto"/>
          <w:lang w:val="en-US" w:eastAsia="zh-CN"/>
        </w:rPr>
        <w:t>积极融入服务新发展格局和全国统一大市场建设，</w:t>
      </w:r>
      <w:r>
        <w:rPr>
          <w:rFonts w:hint="eastAsia" w:ascii="仿宋_GB2312" w:hAnsi="仿宋_GB2312" w:eastAsia="仿宋_GB2312" w:cs="仿宋_GB2312"/>
          <w:b w:val="0"/>
          <w:bCs w:val="0"/>
          <w:color w:val="auto"/>
        </w:rPr>
        <w:t>坚持</w:t>
      </w:r>
      <w:r>
        <w:rPr>
          <w:rFonts w:hint="eastAsia" w:ascii="仿宋_GB2312" w:hAnsi="仿宋_GB2312" w:eastAsia="仿宋_GB2312" w:cs="仿宋_GB2312"/>
          <w:b w:val="0"/>
          <w:bCs w:val="0"/>
          <w:color w:val="auto"/>
          <w:lang w:val="en-US" w:eastAsia="zh-CN"/>
        </w:rPr>
        <w:t>高质量</w:t>
      </w:r>
      <w:r>
        <w:rPr>
          <w:rFonts w:hint="eastAsia" w:ascii="仿宋_GB2312" w:hAnsi="仿宋_GB2312" w:eastAsia="仿宋_GB2312" w:cs="仿宋_GB2312"/>
          <w:b w:val="0"/>
          <w:bCs w:val="0"/>
          <w:color w:val="auto"/>
        </w:rPr>
        <w:t>发展，加快生产服务型、商贸服务型国家物流枢纽建设；加快建设世界级文化旅游城市。伊滨作为洛阳市明确的都市核心区三大板块之一</w:t>
      </w:r>
      <w:r>
        <w:rPr>
          <w:rFonts w:hint="eastAsia" w:ascii="仿宋_GB2312" w:hAnsi="仿宋_GB2312" w:eastAsia="仿宋_GB2312" w:cs="仿宋_GB2312"/>
          <w:b w:val="0"/>
          <w:bCs w:val="0"/>
          <w:color w:val="auto"/>
          <w:lang w:val="en-US" w:eastAsia="zh-CN"/>
        </w:rPr>
        <w:t>的</w:t>
      </w:r>
      <w:r>
        <w:rPr>
          <w:rFonts w:hint="eastAsia" w:ascii="仿宋_GB2312" w:hAnsi="仿宋_GB2312" w:eastAsia="仿宋_GB2312" w:cs="仿宋_GB2312"/>
          <w:b w:val="0"/>
          <w:bCs w:val="0"/>
          <w:color w:val="auto"/>
        </w:rPr>
        <w:t>战略定位愈发凸显</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有利于伊滨乘势而上，不断开创</w:t>
      </w:r>
      <w:r>
        <w:rPr>
          <w:rFonts w:hint="eastAsia" w:ascii="仿宋_GB2312" w:hAnsi="仿宋_GB2312" w:eastAsia="仿宋_GB2312" w:cs="仿宋_GB2312"/>
          <w:b w:val="0"/>
          <w:bCs w:val="0"/>
          <w:color w:val="auto"/>
          <w:lang w:eastAsia="zh-CN"/>
        </w:rPr>
        <w:t>现代化</w:t>
      </w:r>
      <w:r>
        <w:rPr>
          <w:rFonts w:hint="eastAsia" w:ascii="仿宋_GB2312" w:hAnsi="仿宋_GB2312" w:eastAsia="仿宋_GB2312" w:cs="仿宋_GB2312"/>
          <w:b w:val="0"/>
          <w:bCs w:val="0"/>
          <w:color w:val="auto"/>
        </w:rPr>
        <w:t>建设新局面。</w:t>
      </w:r>
    </w:p>
    <w:p w14:paraId="7680DD5D">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09" w:name="_Toc23059"/>
      <w:bookmarkStart w:id="110" w:name="_Toc4111"/>
      <w:bookmarkStart w:id="111" w:name="_Toc12866"/>
      <w:bookmarkStart w:id="112" w:name="_Toc1680"/>
      <w:bookmarkStart w:id="113" w:name="_Toc1634475775"/>
      <w:bookmarkStart w:id="114" w:name="_Toc14532"/>
      <w:bookmarkStart w:id="115" w:name="_Toc215857827"/>
      <w:bookmarkStart w:id="116" w:name="_Toc14330"/>
      <w:bookmarkStart w:id="117" w:name="_Toc16823"/>
      <w:bookmarkStart w:id="118" w:name="_Toc26207"/>
      <w:bookmarkStart w:id="119" w:name="_Toc23997"/>
      <w:bookmarkStart w:id="120" w:name="_Toc9725"/>
      <w:bookmarkStart w:id="121" w:name="_Toc25638"/>
      <w:bookmarkStart w:id="122" w:name="_Toc23518"/>
      <w:bookmarkStart w:id="123" w:name="_Toc10940"/>
      <w:bookmarkStart w:id="124" w:name="_Toc5625"/>
      <w:r>
        <w:rPr>
          <w:rFonts w:hint="eastAsia" w:ascii="仿宋_GB2312" w:hAnsi="仿宋_GB2312" w:eastAsia="仿宋_GB2312" w:cs="仿宋_GB2312"/>
          <w:b w:val="0"/>
          <w:bCs w:val="0"/>
        </w:rPr>
        <w:t>二、重大机遇</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48B9203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时期要紧扣高质量发展主题，抢抓多重战略叠加的机遇期，在服务国家战略和全省发展大局中展现伊滨担当。</w:t>
      </w:r>
    </w:p>
    <w:p w14:paraId="01149E65">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eastAsia="zh-CN"/>
        </w:rPr>
      </w:pPr>
      <w:r>
        <w:rPr>
          <w:rFonts w:hint="eastAsia" w:ascii="仿宋_GB2312" w:hAnsi="仿宋_GB2312" w:eastAsia="仿宋_GB2312" w:cs="仿宋_GB2312"/>
          <w:b w:val="0"/>
          <w:bCs w:val="0"/>
          <w:color w:val="auto"/>
        </w:rPr>
        <w:t>国家实施黄河流域生态保护和高质量发展战略的机遇。作为黄河流域沿线重要区域，伊滨应以习近平总书记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两高四着力</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要求为动力，筑牢</w:t>
      </w:r>
      <w:r>
        <w:rPr>
          <w:rFonts w:hint="eastAsia" w:ascii="仿宋_GB2312" w:hAnsi="仿宋_GB2312" w:eastAsia="仿宋_GB2312" w:cs="仿宋_GB2312"/>
          <w:b w:val="0"/>
          <w:bCs w:val="0"/>
          <w:color w:val="auto"/>
          <w:lang w:val="en-US" w:eastAsia="zh-CN"/>
        </w:rPr>
        <w:t>区内伊</w:t>
      </w:r>
      <w:r>
        <w:rPr>
          <w:rFonts w:hint="eastAsia" w:ascii="仿宋_GB2312" w:hAnsi="仿宋_GB2312" w:eastAsia="仿宋_GB2312" w:cs="仿宋_GB2312"/>
          <w:b w:val="0"/>
          <w:bCs w:val="0"/>
          <w:color w:val="auto"/>
        </w:rPr>
        <w:t>河段生态屏障，提升区域生态涵养功能，将</w:t>
      </w:r>
      <w:r>
        <w:rPr>
          <w:rFonts w:hint="eastAsia" w:ascii="仿宋_GB2312" w:hAnsi="仿宋_GB2312" w:eastAsia="仿宋_GB2312" w:cs="仿宋_GB2312"/>
          <w:b w:val="0"/>
          <w:bCs w:val="0"/>
          <w:color w:val="auto"/>
          <w:lang w:val="en-US" w:eastAsia="zh-CN"/>
        </w:rPr>
        <w:t>高质量发展</w:t>
      </w:r>
      <w:r>
        <w:rPr>
          <w:rFonts w:hint="eastAsia" w:ascii="仿宋_GB2312" w:hAnsi="仿宋_GB2312" w:eastAsia="仿宋_GB2312" w:cs="仿宋_GB2312"/>
          <w:b w:val="0"/>
          <w:bCs w:val="0"/>
          <w:color w:val="auto"/>
        </w:rPr>
        <w:t>融入城市建设与产业发展，开启生态保护与经济腾飞协同共进之路，奋力谱写伊滨推进中国式现代化新篇章</w:t>
      </w:r>
      <w:r>
        <w:rPr>
          <w:rFonts w:hint="eastAsia" w:ascii="仿宋_GB2312" w:hAnsi="仿宋_GB2312" w:eastAsia="仿宋_GB2312" w:cs="仿宋_GB2312"/>
          <w:b w:val="0"/>
          <w:bCs w:val="0"/>
          <w:color w:val="auto"/>
          <w:lang w:eastAsia="zh-CN"/>
        </w:rPr>
        <w:t>。</w:t>
      </w:r>
    </w:p>
    <w:p w14:paraId="0F0D2AB6">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新一轮科技革命和产业变革的战略机遇。以5G、人工智能、云计算、大数据、数字经济等为代表的新一轮科技革命和产业变革加速推进，为伊滨大力发展风口产业，加快发展高端装备制造、电子信息、新能源、新材料等产业提供了良好的发展机遇。</w:t>
      </w:r>
    </w:p>
    <w:p w14:paraId="5D0DB8AC">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全国统一大市场与</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一带一路</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建设的战略机遇。有利于</w:t>
      </w:r>
      <w:r>
        <w:rPr>
          <w:rFonts w:hint="eastAsia" w:ascii="仿宋_GB2312" w:hAnsi="仿宋_GB2312" w:eastAsia="仿宋_GB2312" w:cs="仿宋_GB2312"/>
          <w:b w:val="0"/>
          <w:bCs w:val="0"/>
          <w:color w:val="auto"/>
          <w:lang w:val="en-US" w:eastAsia="zh-CN"/>
        </w:rPr>
        <w:t>伊</w:t>
      </w:r>
      <w:r>
        <w:rPr>
          <w:rFonts w:hint="eastAsia" w:ascii="仿宋_GB2312" w:hAnsi="仿宋_GB2312" w:eastAsia="仿宋_GB2312" w:cs="仿宋_GB2312"/>
          <w:b w:val="0"/>
          <w:bCs w:val="0"/>
          <w:color w:val="auto"/>
        </w:rPr>
        <w:t>滨抢抓“一带一路”与国内国际双循环机遇，深化基建、贸易、能源等领域国际合作，同时挖掘内需潜力，拓展跨境电商，实现国内国际双循环协同发展。</w:t>
      </w:r>
    </w:p>
    <w:p w14:paraId="49A3349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两重</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两新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扩大内需的战略机遇。国家通过发行超长期</w:t>
      </w:r>
      <w:r>
        <w:rPr>
          <w:rFonts w:hint="eastAsia" w:ascii="仿宋_GB2312" w:hAnsi="仿宋_GB2312" w:eastAsia="仿宋_GB2312" w:cs="仿宋_GB2312"/>
          <w:b w:val="0"/>
          <w:bCs w:val="0"/>
          <w:color w:val="auto"/>
          <w:lang w:val="en-US" w:eastAsia="zh-CN"/>
        </w:rPr>
        <w:t>特别</w:t>
      </w:r>
      <w:r>
        <w:rPr>
          <w:rFonts w:hint="eastAsia" w:ascii="仿宋_GB2312" w:hAnsi="仿宋_GB2312" w:eastAsia="仿宋_GB2312" w:cs="仿宋_GB2312"/>
          <w:b w:val="0"/>
          <w:bCs w:val="0"/>
          <w:color w:val="auto"/>
        </w:rPr>
        <w:t>国债，支持国家重大战略实施和重点领域安全能力建设等</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两重</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项目建设，实施新一轮大规模设备更新和消费品以旧换新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两新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项目，对</w:t>
      </w:r>
      <w:r>
        <w:rPr>
          <w:rFonts w:hint="eastAsia" w:ascii="仿宋_GB2312" w:hAnsi="仿宋_GB2312" w:eastAsia="仿宋_GB2312" w:cs="仿宋_GB2312"/>
          <w:b w:val="0"/>
          <w:bCs w:val="0"/>
          <w:color w:val="auto"/>
          <w:lang w:eastAsia="zh-CN"/>
        </w:rPr>
        <w:t>刺激</w:t>
      </w:r>
      <w:r>
        <w:rPr>
          <w:rFonts w:hint="eastAsia" w:ascii="仿宋_GB2312" w:hAnsi="仿宋_GB2312" w:eastAsia="仿宋_GB2312" w:cs="仿宋_GB2312"/>
          <w:b w:val="0"/>
          <w:bCs w:val="0"/>
          <w:color w:val="auto"/>
        </w:rPr>
        <w:t>消费</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扩大投资、提振经济带来重大利好。为伊滨推动制造业设备更新和技术改造，提高生产数智化水平，促进消费升级提供了机遇。</w:t>
      </w:r>
    </w:p>
    <w:p w14:paraId="15263D59">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洛阳建设中原城市群副中心城市战略机遇。洛阳作为中原城市群副中心城市、全国性综合交通枢纽，肩负着做强豫西枢纽经济协同发展区、推动建设豫西转型创新发展示范区的重任。正在加快建设国家重要创新高地和先进制造业基地、现代生态宜居城市、国际文化旅游名城</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将为</w:t>
      </w:r>
      <w:r>
        <w:rPr>
          <w:rFonts w:hint="eastAsia" w:ascii="仿宋_GB2312" w:hAnsi="仿宋_GB2312" w:eastAsia="仿宋_GB2312" w:cs="仿宋_GB2312"/>
          <w:b w:val="0"/>
          <w:bCs w:val="0"/>
          <w:color w:val="auto"/>
          <w:lang w:val="en-US" w:eastAsia="zh-CN"/>
        </w:rPr>
        <w:t>伊滨</w:t>
      </w:r>
      <w:r>
        <w:rPr>
          <w:rFonts w:hint="eastAsia" w:ascii="仿宋_GB2312" w:hAnsi="仿宋_GB2312" w:eastAsia="仿宋_GB2312" w:cs="仿宋_GB2312"/>
          <w:b w:val="0"/>
          <w:bCs w:val="0"/>
          <w:color w:val="auto"/>
        </w:rPr>
        <w:t>产业升级、科技创新、城市建设等方面带来重要发展机遇。</w:t>
      </w:r>
      <w:r>
        <w:rPr>
          <w:rFonts w:hint="eastAsia" w:ascii="仿宋_GB2312" w:hAnsi="仿宋_GB2312" w:eastAsia="仿宋_GB2312" w:cs="仿宋_GB2312"/>
          <w:b w:val="0"/>
          <w:bCs w:val="0"/>
          <w:color w:val="auto"/>
          <w:shd w:val="clear" w:color="auto" w:fill="FFFFFF"/>
        </w:rPr>
        <w:t>伊滨应当主动适应形势变化，转变城市发展理念、发展方式、发展动力，把城市工作</w:t>
      </w:r>
      <w:r>
        <w:rPr>
          <w:rFonts w:hint="eastAsia" w:ascii="仿宋_GB2312" w:hAnsi="仿宋_GB2312" w:eastAsia="仿宋_GB2312" w:cs="仿宋_GB2312"/>
          <w:b w:val="0"/>
          <w:bCs w:val="0"/>
          <w:color w:val="auto"/>
        </w:rPr>
        <w:t>重心转向城市更新、城市精细化管理和基层治理上来，建设创新、宜居、美丽、韧性、文明、智慧</w:t>
      </w:r>
      <w:r>
        <w:rPr>
          <w:rFonts w:hint="eastAsia" w:ascii="仿宋_GB2312" w:hAnsi="仿宋_GB2312" w:eastAsia="仿宋_GB2312" w:cs="仿宋_GB2312"/>
          <w:b w:val="0"/>
          <w:bCs w:val="0"/>
          <w:color w:val="auto"/>
          <w:lang w:eastAsia="zh-CN"/>
        </w:rPr>
        <w:t>的</w:t>
      </w:r>
      <w:r>
        <w:rPr>
          <w:rFonts w:hint="eastAsia" w:ascii="仿宋_GB2312" w:hAnsi="仿宋_GB2312" w:eastAsia="仿宋_GB2312" w:cs="仿宋_GB2312"/>
          <w:b w:val="0"/>
          <w:bCs w:val="0"/>
          <w:color w:val="auto"/>
        </w:rPr>
        <w:t>伊滨科技新城。</w:t>
      </w:r>
    </w:p>
    <w:p w14:paraId="770C3414">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25" w:name="_Toc25143"/>
      <w:bookmarkStart w:id="126" w:name="_Toc28471"/>
      <w:bookmarkStart w:id="127" w:name="_Toc31987"/>
      <w:bookmarkStart w:id="128" w:name="_Toc31649"/>
      <w:bookmarkStart w:id="129" w:name="_Toc12654"/>
      <w:bookmarkStart w:id="130" w:name="_Toc3140"/>
      <w:bookmarkStart w:id="131" w:name="_Toc6296"/>
      <w:bookmarkStart w:id="132" w:name="_Toc26720"/>
      <w:bookmarkStart w:id="133" w:name="_Toc15403"/>
      <w:bookmarkStart w:id="134" w:name="_Toc9319"/>
      <w:bookmarkStart w:id="135" w:name="_Toc2019888940"/>
      <w:bookmarkStart w:id="136" w:name="_Toc215857828"/>
      <w:bookmarkStart w:id="137" w:name="_Toc17071"/>
      <w:bookmarkStart w:id="138" w:name="_Toc28872"/>
      <w:bookmarkStart w:id="139" w:name="_Toc15315"/>
      <w:bookmarkStart w:id="140" w:name="_Toc11590"/>
      <w:r>
        <w:rPr>
          <w:rFonts w:hint="eastAsia" w:ascii="仿宋_GB2312" w:hAnsi="仿宋_GB2312" w:eastAsia="仿宋_GB2312" w:cs="仿宋_GB2312"/>
          <w:b w:val="0"/>
          <w:bCs w:val="0"/>
        </w:rPr>
        <w:t>三、问题挑战</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2A36DEA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十四五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时期，经济社会发展态势整体良好，但面临矛盾依然突出，尤其是经济发展、产业结构、创新能力、城市功能等关键领域，仍存在一些问题和挑战，主要表现为：</w:t>
      </w:r>
    </w:p>
    <w:p w14:paraId="16094C9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color w:val="auto"/>
        </w:rPr>
        <w:t>经济总量有待提升。</w:t>
      </w:r>
      <w:r>
        <w:rPr>
          <w:rFonts w:hint="eastAsia" w:ascii="仿宋_GB2312" w:hAnsi="仿宋_GB2312" w:eastAsia="仿宋_GB2312" w:cs="仿宋_GB2312"/>
          <w:b w:val="0"/>
          <w:bCs w:val="0"/>
          <w:lang w:val="en-US" w:eastAsia="zh-CN"/>
        </w:rPr>
        <w:t>“十四五”末GDP实现240.6亿元，总量占全市的3.9%，对全市的支撑作用不明显。</w:t>
      </w:r>
    </w:p>
    <w:p w14:paraId="7DCD24F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产业结构亟待优化。传统产业占比偏高，新兴产业发展效能还未充分发挥，中州时代、</w:t>
      </w:r>
      <w:r>
        <w:rPr>
          <w:rFonts w:hint="eastAsia" w:ascii="仿宋_GB2312" w:hAnsi="仿宋_GB2312" w:eastAsia="仿宋_GB2312" w:cs="仿宋_GB2312"/>
          <w:b w:val="0"/>
          <w:bCs w:val="0"/>
          <w:color w:val="auto"/>
          <w:lang w:val="en-US" w:eastAsia="zh-CN"/>
        </w:rPr>
        <w:t>中航工业光电所</w:t>
      </w:r>
      <w:r>
        <w:rPr>
          <w:rFonts w:hint="eastAsia" w:ascii="仿宋_GB2312" w:hAnsi="仿宋_GB2312" w:eastAsia="仿宋_GB2312" w:cs="仿宋_GB2312"/>
          <w:b w:val="0"/>
          <w:bCs w:val="0"/>
          <w:color w:val="auto"/>
        </w:rPr>
        <w:t>等重大项目有待加快建设，上下游产业链供应链价值链尚未形成。</w:t>
      </w:r>
    </w:p>
    <w:p w14:paraId="420FC9DC">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创新能力有待增强。创新平台、创新主体和孵化载体数量</w:t>
      </w:r>
      <w:r>
        <w:rPr>
          <w:rFonts w:hint="eastAsia" w:ascii="仿宋_GB2312" w:hAnsi="仿宋_GB2312" w:eastAsia="仿宋_GB2312" w:cs="仿宋_GB2312"/>
          <w:b w:val="0"/>
          <w:bCs w:val="0"/>
          <w:color w:val="auto"/>
          <w:lang w:eastAsia="zh-CN"/>
        </w:rPr>
        <w:t>较少</w:t>
      </w:r>
      <w:r>
        <w:rPr>
          <w:rFonts w:hint="eastAsia" w:ascii="仿宋_GB2312" w:hAnsi="仿宋_GB2312" w:eastAsia="仿宋_GB2312" w:cs="仿宋_GB2312"/>
          <w:b w:val="0"/>
          <w:bCs w:val="0"/>
          <w:color w:val="auto"/>
        </w:rPr>
        <w:t>，创新结构有待优化。</w:t>
      </w:r>
    </w:p>
    <w:p w14:paraId="19FB4BF6">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城市功能有待完善。城区消费力有待提高，缺少大型商业购物中心和综合性娱乐场所，特色商业街区缺少聚合力和辐射力；城市基础设施有待完善，断头路亟</w:t>
      </w:r>
      <w:r>
        <w:rPr>
          <w:rFonts w:hint="eastAsia" w:ascii="仿宋_GB2312" w:hAnsi="仿宋_GB2312" w:eastAsia="仿宋_GB2312" w:cs="仿宋_GB2312"/>
          <w:b w:val="0"/>
          <w:bCs w:val="0"/>
          <w:color w:val="auto"/>
          <w:lang w:val="en-US" w:eastAsia="zh-CN"/>
        </w:rPr>
        <w:t>须</w:t>
      </w:r>
      <w:r>
        <w:rPr>
          <w:rFonts w:hint="eastAsia" w:ascii="仿宋_GB2312" w:hAnsi="仿宋_GB2312" w:eastAsia="仿宋_GB2312" w:cs="仿宋_GB2312"/>
          <w:b w:val="0"/>
          <w:bCs w:val="0"/>
          <w:color w:val="auto"/>
        </w:rPr>
        <w:t>打通；公共服务水平有待提升。</w:t>
      </w:r>
      <w:bookmarkStart w:id="141" w:name="_Toc16110"/>
      <w:bookmarkStart w:id="142" w:name="_Toc27249"/>
      <w:bookmarkStart w:id="143" w:name="_Toc1728"/>
      <w:bookmarkStart w:id="144" w:name="_Toc22217"/>
      <w:bookmarkStart w:id="145" w:name="_Toc18584"/>
      <w:bookmarkStart w:id="146" w:name="_Toc23772"/>
      <w:bookmarkStart w:id="147" w:name="_Toc22575"/>
      <w:bookmarkStart w:id="148" w:name="_Toc215857829"/>
      <w:bookmarkStart w:id="149" w:name="_Toc3825"/>
      <w:bookmarkStart w:id="150" w:name="_Toc1721838450"/>
      <w:bookmarkStart w:id="151" w:name="_Toc19850"/>
      <w:bookmarkStart w:id="152" w:name="_Toc19569"/>
      <w:bookmarkStart w:id="153" w:name="_Toc4376"/>
      <w:bookmarkStart w:id="154" w:name="_Toc3524"/>
      <w:bookmarkStart w:id="155" w:name="_Toc30490"/>
      <w:bookmarkStart w:id="156" w:name="_Toc24033"/>
    </w:p>
    <w:p w14:paraId="440B3CA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p w14:paraId="22D561E1">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第二章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锚定目标，谱写现代化建设新篇章</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255CFBB2">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57" w:name="_Toc26185"/>
      <w:bookmarkStart w:id="158" w:name="_Toc4573"/>
      <w:bookmarkStart w:id="159" w:name="_Toc215857830"/>
      <w:bookmarkStart w:id="160" w:name="_Toc16277"/>
      <w:bookmarkStart w:id="161" w:name="_Toc13280"/>
      <w:bookmarkStart w:id="162" w:name="_Toc18805"/>
      <w:bookmarkStart w:id="163" w:name="_Toc7961"/>
      <w:bookmarkStart w:id="164" w:name="_Toc6323"/>
    </w:p>
    <w:p w14:paraId="5C7901FE">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谋划推进“十五五”时期经济社会发展，必须全面贯彻落实中央、省委和市委各项决策部署，科学把握“十五五”时期经济社会发展的指导思想、基本原则、发展定位和目标。</w:t>
      </w:r>
    </w:p>
    <w:p w14:paraId="7FF106A2">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165" w:name="_Toc14014"/>
      <w:bookmarkStart w:id="166" w:name="_Toc20570"/>
      <w:bookmarkStart w:id="167" w:name="_Toc18054"/>
      <w:bookmarkStart w:id="168" w:name="_Toc21994"/>
      <w:bookmarkStart w:id="169" w:name="_Toc13089"/>
      <w:bookmarkStart w:id="170" w:name="_Toc9497"/>
      <w:bookmarkStart w:id="171" w:name="_Toc6285"/>
      <w:bookmarkStart w:id="172" w:name="_Toc392220425"/>
    </w:p>
    <w:p w14:paraId="6F18B387">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第一节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指导思想</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459A771E">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21AC242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坚持马克思列宁主义、毛泽东思想、邓小平理论、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三个代表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重要思想、科学发展观，全面贯彻习近平新时代中国特色社会主义思想，深入学习贯彻习近平总书记在河南考察时</w:t>
      </w:r>
      <w:r>
        <w:rPr>
          <w:rFonts w:hint="eastAsia" w:ascii="仿宋_GB2312" w:hAnsi="仿宋_GB2312" w:eastAsia="仿宋_GB2312" w:cs="仿宋_GB2312"/>
          <w:b w:val="0"/>
          <w:bCs w:val="0"/>
          <w:lang w:eastAsia="zh-CN"/>
        </w:rPr>
        <w:t>的</w:t>
      </w:r>
      <w:r>
        <w:rPr>
          <w:rFonts w:hint="eastAsia" w:ascii="仿宋_GB2312" w:hAnsi="仿宋_GB2312" w:eastAsia="仿宋_GB2312" w:cs="仿宋_GB2312"/>
          <w:b w:val="0"/>
          <w:bCs w:val="0"/>
        </w:rPr>
        <w:t>重要讲话精神和关于河南工作的重要论述，深入贯彻党的二十大和二十届历次全会精神，认真落实省委十一届十次全会</w:t>
      </w:r>
      <w:r>
        <w:rPr>
          <w:rFonts w:hint="eastAsia" w:ascii="仿宋_GB2312" w:hAnsi="仿宋_GB2312" w:eastAsia="仿宋_GB2312" w:cs="仿宋_GB2312"/>
          <w:b w:val="0"/>
          <w:bCs w:val="0"/>
          <w:lang w:val="en-US" w:eastAsia="zh-CN"/>
        </w:rPr>
        <w:t>和市委十二届九次全会</w:t>
      </w:r>
      <w:r>
        <w:rPr>
          <w:rFonts w:hint="eastAsia" w:ascii="仿宋_GB2312" w:hAnsi="仿宋_GB2312" w:eastAsia="仿宋_GB2312" w:cs="仿宋_GB2312"/>
          <w:b w:val="0"/>
          <w:bCs w:val="0"/>
        </w:rPr>
        <w:t>部署，统筹推进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五位一体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总体布局，协调推进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四个全面</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战略布局，完整准确全面贯彻新发展理念，坚持稳中求进工作总基调，坚持以经济建设为中心，以推动高质量发展为主题，以改革创新为根本动力，以满足人民日益增长的美好生活需要为根本目的，以全面从严治党为根本保障，深入落实中部地区加快崛起、黄河流域生态保护和高质量发展等国家战略，积极融入服务新发展格局和全国统一大</w:t>
      </w:r>
      <w:r>
        <w:rPr>
          <w:rFonts w:hint="eastAsia" w:ascii="仿宋_GB2312" w:hAnsi="仿宋_GB2312" w:eastAsia="仿宋_GB2312" w:cs="仿宋_GB2312"/>
          <w:b w:val="0"/>
          <w:bCs w:val="0"/>
          <w:color w:val="auto"/>
        </w:rPr>
        <w:t>市场建设，聚焦</w:t>
      </w:r>
      <w:r>
        <w:rPr>
          <w:rFonts w:hint="eastAsia" w:ascii="仿宋_GB2312" w:hAnsi="仿宋_GB2312" w:eastAsia="仿宋_GB2312" w:cs="仿宋_GB2312"/>
          <w:b w:val="0"/>
          <w:bCs w:val="0"/>
          <w:color w:val="auto"/>
          <w:lang w:val="en-US" w:eastAsia="zh-CN"/>
        </w:rPr>
        <w:t>省委</w:t>
      </w:r>
      <w:r>
        <w:rPr>
          <w:rFonts w:hint="eastAsia" w:ascii="仿宋_GB2312" w:hAnsi="仿宋_GB2312" w:eastAsia="仿宋_GB2312" w:cs="仿宋_GB2312"/>
          <w:b w:val="0"/>
          <w:bCs w:val="0"/>
          <w:color w:val="auto"/>
        </w:rPr>
        <w:t>“1+2+4+N”目标任务体系，聚力落实</w:t>
      </w:r>
      <w:r>
        <w:rPr>
          <w:rFonts w:hint="eastAsia" w:ascii="仿宋_GB2312" w:hAnsi="仿宋_GB2312" w:eastAsia="仿宋_GB2312" w:cs="仿宋_GB2312"/>
          <w:b w:val="0"/>
          <w:bCs w:val="0"/>
          <w:color w:val="auto"/>
          <w:lang w:val="en-US" w:eastAsia="zh-CN"/>
        </w:rPr>
        <w:t>市委</w:t>
      </w:r>
      <w:r>
        <w:rPr>
          <w:rFonts w:hint="eastAsia" w:ascii="仿宋_GB2312" w:hAnsi="仿宋_GB2312" w:eastAsia="仿宋_GB2312" w:cs="仿宋_GB2312"/>
          <w:b w:val="0"/>
          <w:bCs w:val="0"/>
          <w:color w:val="auto"/>
        </w:rPr>
        <w:t>“1+2+10+6”工作部署，全力推动高质量发展高效能治理，推动经济实现质的有效提升和量的合理增长，推动人的全面发展、全体人民共同富裕迈出坚实</w:t>
      </w:r>
      <w:r>
        <w:rPr>
          <w:rFonts w:hint="eastAsia" w:ascii="仿宋_GB2312" w:hAnsi="仿宋_GB2312" w:eastAsia="仿宋_GB2312" w:cs="仿宋_GB2312"/>
          <w:b w:val="0"/>
          <w:bCs w:val="0"/>
        </w:rPr>
        <w:t>步伐，锚定打造高水平</w:t>
      </w:r>
      <w:r>
        <w:rPr>
          <w:rFonts w:hint="eastAsia" w:ascii="仿宋_GB2312" w:hAnsi="仿宋_GB2312" w:eastAsia="仿宋_GB2312" w:cs="仿宋_GB2312"/>
          <w:b w:val="0"/>
          <w:bCs w:val="0"/>
          <w:lang w:val="en-US" w:eastAsia="zh-CN"/>
        </w:rPr>
        <w:t>现代化</w:t>
      </w:r>
      <w:r>
        <w:rPr>
          <w:rFonts w:hint="eastAsia" w:ascii="仿宋_GB2312" w:hAnsi="仿宋_GB2312" w:eastAsia="仿宋_GB2312" w:cs="仿宋_GB2312"/>
          <w:b w:val="0"/>
          <w:bCs w:val="0"/>
        </w:rPr>
        <w:t>伊滨科技产业新城，着力建设新能源产业高地、区域科技创新高地、</w:t>
      </w:r>
      <w:r>
        <w:rPr>
          <w:rFonts w:hint="eastAsia" w:ascii="仿宋_GB2312" w:hAnsi="仿宋_GB2312" w:eastAsia="仿宋_GB2312" w:cs="仿宋_GB2312"/>
          <w:b w:val="0"/>
          <w:bCs w:val="0"/>
          <w:lang w:val="en-US" w:eastAsia="zh-CN"/>
        </w:rPr>
        <w:t>产城</w:t>
      </w:r>
      <w:r>
        <w:rPr>
          <w:rFonts w:hint="eastAsia" w:ascii="仿宋_GB2312" w:hAnsi="仿宋_GB2312" w:eastAsia="仿宋_GB2312" w:cs="仿宋_GB2312"/>
          <w:b w:val="0"/>
          <w:bCs w:val="0"/>
        </w:rPr>
        <w:t>融合发展高地，努力构建洛阳高质量发展新中心，在奋力谱写中原大地推进中国式现代化新篇章中贡献伊滨力量。</w:t>
      </w:r>
    </w:p>
    <w:p w14:paraId="7AEBFC7C">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173" w:name="_Toc25847"/>
      <w:bookmarkStart w:id="174" w:name="_Toc21552"/>
      <w:bookmarkStart w:id="175" w:name="_Toc4622"/>
      <w:bookmarkStart w:id="176" w:name="_Toc3210"/>
      <w:bookmarkStart w:id="177" w:name="_Toc959967960"/>
      <w:bookmarkStart w:id="178" w:name="_Toc2262"/>
      <w:bookmarkStart w:id="179" w:name="_Toc4455"/>
      <w:bookmarkStart w:id="180" w:name="_Toc30593"/>
      <w:bookmarkStart w:id="181" w:name="_Toc13010"/>
      <w:bookmarkStart w:id="182" w:name="_Toc5104"/>
      <w:bookmarkStart w:id="183" w:name="_Toc21490"/>
      <w:bookmarkStart w:id="184" w:name="_Toc21137"/>
      <w:bookmarkStart w:id="185" w:name="_Toc17855"/>
      <w:bookmarkStart w:id="186" w:name="_Toc7242"/>
      <w:bookmarkStart w:id="187" w:name="_Toc27477"/>
    </w:p>
    <w:p w14:paraId="63F2B09F">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_Toc28093 </w:instrText>
      </w:r>
      <w:r>
        <w:rPr>
          <w:rFonts w:hint="eastAsia" w:ascii="黑体" w:hAnsi="黑体" w:eastAsia="黑体" w:cs="黑体"/>
          <w:b w:val="0"/>
          <w:bCs w:val="0"/>
        </w:rPr>
        <w:fldChar w:fldCharType="separate"/>
      </w:r>
      <w:bookmarkStart w:id="188" w:name="_Toc215857831"/>
      <w:r>
        <w:rPr>
          <w:rFonts w:hint="eastAsia" w:ascii="黑体" w:hAnsi="黑体" w:eastAsia="黑体" w:cs="黑体"/>
          <w:b w:val="0"/>
          <w:bCs w:val="0"/>
        </w:rPr>
        <w:t>第二节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基本原则</w:t>
      </w:r>
      <w:bookmarkEnd w:id="188"/>
      <w:r>
        <w:rPr>
          <w:rFonts w:hint="eastAsia" w:ascii="黑体" w:hAnsi="黑体" w:eastAsia="黑体" w:cs="黑体"/>
          <w:b w:val="0"/>
          <w:bCs w:val="0"/>
        </w:rPr>
        <w:fldChar w:fldCharType="end"/>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10E686F6">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p>
    <w:p w14:paraId="706EAB2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时期，必须把新发展理念贯穿发展全过程和各领域，实现更高质量、更有效率、更加公平、更可持续、更为安全的发展，实现发展规模、速度、质量、结构、效益、安全相统一，为此，需要全面把握以下原则：</w:t>
      </w:r>
    </w:p>
    <w:p w14:paraId="60A93735">
      <w:pPr>
        <w:pageBreakBefore w:val="0"/>
        <w:widowControl w:val="0"/>
        <w:kinsoku/>
        <w:wordWrap/>
        <w:topLinePunct w:val="0"/>
        <w:bidi w:val="0"/>
        <w:spacing w:line="600" w:lineRule="exact"/>
        <w:ind w:firstLine="643"/>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坚持党的全面领导。更好发挥党总揽全局、协调各方作用，</w:t>
      </w:r>
      <w:r>
        <w:rPr>
          <w:rFonts w:hint="eastAsia" w:ascii="仿宋_GB2312" w:hAnsi="仿宋_GB2312" w:eastAsia="仿宋_GB2312" w:cs="仿宋_GB2312"/>
          <w:b w:val="0"/>
          <w:bCs w:val="0"/>
          <w:color w:val="auto"/>
          <w:lang w:val="en-US" w:eastAsia="zh-CN"/>
        </w:rPr>
        <w:t>完整准确全面</w:t>
      </w:r>
      <w:r>
        <w:rPr>
          <w:rFonts w:hint="eastAsia" w:ascii="仿宋_GB2312" w:hAnsi="仿宋_GB2312" w:eastAsia="仿宋_GB2312" w:cs="仿宋_GB2312"/>
          <w:b w:val="0"/>
          <w:bCs w:val="0"/>
          <w:color w:val="auto"/>
        </w:rPr>
        <w:t>贯彻新发展理念</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主动</w:t>
      </w:r>
      <w:r>
        <w:rPr>
          <w:rFonts w:hint="eastAsia" w:ascii="仿宋_GB2312" w:hAnsi="仿宋_GB2312" w:eastAsia="仿宋_GB2312" w:cs="仿宋_GB2312"/>
          <w:b w:val="0"/>
          <w:bCs w:val="0"/>
          <w:color w:val="auto"/>
        </w:rPr>
        <w:t>融入新发展格局，加快把党的政治优势、制度优势转化为发展优势、治理优势，锲而不舍落实中央八项规定精神，纵深推进全面从严治党，为实现伊滨高质量发展提供根本保证。</w:t>
      </w:r>
    </w:p>
    <w:p w14:paraId="56B7DB12">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人民至上。更加自觉践行以人民为中心的发展思想，把为民造福作为最大政绩，不断增强人民群众的获得感、幸福感、安全感。始终做到发展为了人民、发展依靠人民、发展成果由人民共享。持续提升民生保障水平，用心、用情、用力办好人民急难愁盼的民生实事，不断实现人民群众对美好生活的向往。</w:t>
      </w:r>
    </w:p>
    <w:p w14:paraId="665C342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高质量发展。把新发展理念贯穿发展全过程和各领域，大力培育新质生产力，以推动高质量发展为主题，加快构建现代化经济体系，以满足人民日益增长的美好生活需要为根本目的，实现经济行稳致远、社会和谐安定。</w:t>
      </w:r>
    </w:p>
    <w:p w14:paraId="7A4A9F1A">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坚持全面深化改革。敢于向改革要活力、坚决破除一切体制机制障碍；扩大高水平开放，善于向开放要空间、坚决破除一切隐性壁垒；勇于向创新要动力、坚决破除一切发展制约。</w:t>
      </w:r>
    </w:p>
    <w:p w14:paraId="1BC692D9">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有效市场和有为政府相结合。坚持扩大内需这个战略基点，坚持惠民生和促消费、投资于物和投资于人紧密结合，以新需求引领新供给，以新供给创造新需求，促进消费和投资、供给和需求良性互动，大力提振消费，扩大有效投资，激发各类经营主体活力，加快完善要素市场化配置体制机制，推动全国统一大市场建设。</w:t>
      </w:r>
    </w:p>
    <w:p w14:paraId="2BFC3F9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坚持统筹发展和安全。强化底线思维，有效防范化解各类风险，以高效能治理推进社会治理现代化，维护政治安全、社会安定、人民安宁，以新安全格局服务保障经济社会发展。</w:t>
      </w:r>
    </w:p>
    <w:p w14:paraId="07212708">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bookmarkStart w:id="189" w:name="_Toc25526"/>
      <w:bookmarkStart w:id="190" w:name="_Toc28137"/>
      <w:bookmarkStart w:id="191" w:name="_Toc20810"/>
      <w:bookmarkStart w:id="192" w:name="_Toc87131291"/>
      <w:bookmarkStart w:id="193" w:name="_Toc1921"/>
      <w:bookmarkStart w:id="194" w:name="_Toc14412"/>
      <w:bookmarkStart w:id="195" w:name="_Toc5695"/>
      <w:bookmarkStart w:id="196" w:name="_Toc31962"/>
      <w:bookmarkStart w:id="197" w:name="_Toc17628"/>
      <w:bookmarkStart w:id="198" w:name="_Toc23432"/>
      <w:bookmarkStart w:id="199" w:name="_Toc19299"/>
      <w:bookmarkStart w:id="200" w:name="_Toc4708"/>
      <w:bookmarkStart w:id="201" w:name="_Toc18120"/>
      <w:bookmarkStart w:id="202" w:name="_Toc32303"/>
      <w:bookmarkStart w:id="203" w:name="_Toc7770"/>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_Toc3009 </w:instrText>
      </w:r>
      <w:r>
        <w:rPr>
          <w:rFonts w:hint="eastAsia" w:ascii="黑体" w:hAnsi="黑体" w:eastAsia="黑体" w:cs="黑体"/>
          <w:b w:val="0"/>
          <w:bCs w:val="0"/>
        </w:rPr>
        <w:fldChar w:fldCharType="separate"/>
      </w:r>
      <w:bookmarkStart w:id="204" w:name="_Toc215857832"/>
      <w:r>
        <w:rPr>
          <w:rFonts w:hint="eastAsia" w:ascii="黑体" w:hAnsi="黑体" w:eastAsia="黑体" w:cs="黑体"/>
          <w:b w:val="0"/>
          <w:bCs w:val="0"/>
        </w:rPr>
        <w:t xml:space="preserve">第三节 </w:t>
      </w:r>
      <w:r>
        <w:rPr>
          <w:rFonts w:hint="eastAsia" w:ascii="黑体" w:hAnsi="黑体" w:eastAsia="黑体" w:cs="黑体"/>
          <w:b w:val="0"/>
          <w:bCs w:val="0"/>
          <w:lang w:val="en-US" w:eastAsia="zh-CN"/>
        </w:rPr>
        <w:t xml:space="preserve"> </w:t>
      </w:r>
      <w:r>
        <w:rPr>
          <w:rFonts w:hint="eastAsia" w:ascii="黑体" w:hAnsi="黑体" w:eastAsia="黑体" w:cs="黑体"/>
          <w:b w:val="0"/>
          <w:bCs w:val="0"/>
        </w:rPr>
        <w:t>发展定位</w:t>
      </w:r>
      <w:bookmarkEnd w:id="204"/>
      <w:r>
        <w:rPr>
          <w:rFonts w:hint="eastAsia" w:ascii="黑体" w:hAnsi="黑体" w:eastAsia="黑体" w:cs="黑体"/>
          <w:b w:val="0"/>
          <w:bCs w:val="0"/>
        </w:rPr>
        <w:fldChar w:fldCharType="end"/>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05FCA459">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eastAsia="zh-CN"/>
        </w:rPr>
      </w:pPr>
    </w:p>
    <w:p w14:paraId="04026756">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时期，锚定建设高</w:t>
      </w:r>
      <w:r>
        <w:rPr>
          <w:rFonts w:hint="eastAsia" w:ascii="仿宋_GB2312" w:hAnsi="仿宋_GB2312" w:eastAsia="仿宋_GB2312" w:cs="仿宋_GB2312"/>
          <w:b w:val="0"/>
          <w:bCs w:val="0"/>
          <w:color w:val="auto"/>
          <w:lang w:val="en-US" w:eastAsia="zh-CN"/>
        </w:rPr>
        <w:t>水平现代化</w:t>
      </w:r>
      <w:r>
        <w:rPr>
          <w:rFonts w:hint="eastAsia" w:ascii="仿宋_GB2312" w:hAnsi="仿宋_GB2312" w:eastAsia="仿宋_GB2312" w:cs="仿宋_GB2312"/>
          <w:b w:val="0"/>
          <w:bCs w:val="0"/>
          <w:color w:val="auto"/>
        </w:rPr>
        <w:t>伊滨科技产业新城</w:t>
      </w:r>
      <w:r>
        <w:rPr>
          <w:rFonts w:hint="eastAsia" w:ascii="仿宋_GB2312" w:hAnsi="仿宋_GB2312" w:eastAsia="仿宋_GB2312" w:cs="仿宋_GB2312"/>
          <w:b w:val="0"/>
          <w:bCs w:val="0"/>
          <w:color w:val="auto"/>
          <w:lang w:val="en-US" w:eastAsia="zh-CN"/>
        </w:rPr>
        <w:t>总定位</w:t>
      </w:r>
      <w:r>
        <w:rPr>
          <w:rFonts w:hint="eastAsia" w:ascii="仿宋_GB2312" w:hAnsi="仿宋_GB2312" w:eastAsia="仿宋_GB2312" w:cs="仿宋_GB2312"/>
          <w:b w:val="0"/>
          <w:bCs w:val="0"/>
          <w:color w:val="auto"/>
        </w:rPr>
        <w:t>，走产城融合道路，聚焦科技创新和产业创新，前瞻布局未来产业，构建科技含量高、发展潜力大、辐射带动强的高端高新产业体系</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加快建设区域科技创新中心和青年友好城区，努力建成新能源产业高地、区域科技创新高地、产城融合发展高地。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末，科技创新赋能新质生产力取得突破性进展，新兴产业推动高质量发展取得新飞跃，开创让居者安心、创者业成新局面，为建设中国式现代化伊滨新样板奠定坚实基础。</w:t>
      </w:r>
      <w:bookmarkStart w:id="205" w:name="_Hlk213913787"/>
    </w:p>
    <w:p w14:paraId="2A49F7D8">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val="en-US" w:eastAsia="zh-CN"/>
        </w:rPr>
        <w:t>伊滨科技产业新城</w:t>
      </w:r>
      <w:r>
        <w:rPr>
          <w:rFonts w:hint="eastAsia" w:ascii="仿宋_GB2312" w:hAnsi="仿宋_GB2312" w:eastAsia="仿宋_GB2312" w:cs="仿宋_GB2312"/>
          <w:b w:val="0"/>
          <w:bCs w:val="0"/>
          <w:color w:val="auto"/>
        </w:rPr>
        <w:t>。</w:t>
      </w:r>
      <w:bookmarkEnd w:id="205"/>
      <w:r>
        <w:rPr>
          <w:rFonts w:hint="eastAsia" w:ascii="仿宋_GB2312" w:hAnsi="仿宋_GB2312" w:eastAsia="仿宋_GB2312" w:cs="仿宋_GB2312"/>
          <w:b w:val="0"/>
          <w:bCs w:val="0"/>
          <w:color w:val="auto"/>
          <w:lang w:val="en-US" w:eastAsia="zh-CN"/>
        </w:rPr>
        <w:t>以</w:t>
      </w:r>
      <w:r>
        <w:rPr>
          <w:rFonts w:hint="eastAsia" w:ascii="仿宋_GB2312" w:hAnsi="仿宋_GB2312" w:eastAsia="仿宋_GB2312" w:cs="仿宋_GB2312"/>
          <w:b w:val="0"/>
          <w:bCs w:val="0"/>
          <w:color w:val="auto"/>
        </w:rPr>
        <w:t>产业链与创新链深度融合</w:t>
      </w:r>
      <w:r>
        <w:rPr>
          <w:rFonts w:hint="eastAsia" w:ascii="仿宋_GB2312" w:hAnsi="仿宋_GB2312" w:eastAsia="仿宋_GB2312" w:cs="仿宋_GB2312"/>
          <w:b w:val="0"/>
          <w:bCs w:val="0"/>
          <w:color w:val="auto"/>
          <w:lang w:val="en-US" w:eastAsia="zh-CN"/>
        </w:rPr>
        <w:t>为导向</w:t>
      </w:r>
      <w:r>
        <w:rPr>
          <w:rFonts w:hint="eastAsia" w:ascii="仿宋_GB2312" w:hAnsi="仿宋_GB2312" w:eastAsia="仿宋_GB2312" w:cs="仿宋_GB2312"/>
          <w:b w:val="0"/>
          <w:bCs w:val="0"/>
          <w:color w:val="auto"/>
        </w:rPr>
        <w:t>，依托龙门实验室、国家农机装备创新中心等高能级创新平台，重点发展新能源、新材料、新一代信息技术及智能装备等前沿产业，建设产业创新中心，加快高校研究院、新型研发机构落地，吸引高端人才与创投机构，打通科技成果本地产业化通道，形成创新驱动发展新增长极。建设以科技创新为动力、以新能源、</w:t>
      </w:r>
      <w:r>
        <w:rPr>
          <w:rFonts w:hint="eastAsia" w:ascii="仿宋_GB2312" w:hAnsi="仿宋_GB2312" w:eastAsia="仿宋_GB2312" w:cs="仿宋_GB2312"/>
          <w:b w:val="0"/>
          <w:bCs w:val="0"/>
          <w:color w:val="auto"/>
          <w:lang w:val="en-US" w:eastAsia="zh-CN"/>
        </w:rPr>
        <w:t>钢制家具等主导产业</w:t>
      </w:r>
      <w:r>
        <w:rPr>
          <w:rFonts w:hint="eastAsia" w:ascii="仿宋_GB2312" w:hAnsi="仿宋_GB2312" w:eastAsia="仿宋_GB2312" w:cs="仿宋_GB2312"/>
          <w:b w:val="0"/>
          <w:bCs w:val="0"/>
          <w:color w:val="auto"/>
        </w:rPr>
        <w:t>为支撑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在全国有影响力的科技创新城。</w:t>
      </w:r>
    </w:p>
    <w:p w14:paraId="72B5F0E8">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bookmarkStart w:id="206" w:name="_Hlk213913814"/>
      <w:r>
        <w:rPr>
          <w:rFonts w:hint="eastAsia" w:ascii="仿宋_GB2312" w:hAnsi="仿宋_GB2312" w:eastAsia="仿宋_GB2312" w:cs="仿宋_GB2312"/>
          <w:b w:val="0"/>
          <w:bCs w:val="0"/>
          <w:color w:val="auto"/>
        </w:rPr>
        <w:t>新能源产业高地</w:t>
      </w:r>
      <w:bookmarkEnd w:id="206"/>
      <w:r>
        <w:rPr>
          <w:rFonts w:hint="eastAsia" w:ascii="仿宋_GB2312" w:hAnsi="仿宋_GB2312" w:eastAsia="仿宋_GB2312" w:cs="仿宋_GB2312"/>
          <w:b w:val="0"/>
          <w:bCs w:val="0"/>
          <w:color w:val="auto"/>
        </w:rPr>
        <w:t>。以中州时代为引领，加快构建新能源产业全链条产业生态，培育形成新能源产业集群，同时积极招引具有核心技术优势和品牌影响力的新能源汽车产业链主企业，培育</w:t>
      </w:r>
      <w:r>
        <w:rPr>
          <w:rFonts w:hint="eastAsia" w:ascii="仿宋_GB2312" w:hAnsi="仿宋_GB2312" w:eastAsia="仿宋_GB2312" w:cs="仿宋_GB2312"/>
          <w:b w:val="0"/>
          <w:bCs w:val="0"/>
          <w:color w:val="auto"/>
          <w:lang w:val="en-US" w:eastAsia="zh-CN"/>
        </w:rPr>
        <w:t>轻量化车身、智能驾驶</w:t>
      </w:r>
      <w:r>
        <w:rPr>
          <w:rFonts w:hint="eastAsia" w:ascii="仿宋_GB2312" w:hAnsi="仿宋_GB2312" w:eastAsia="仿宋_GB2312" w:cs="仿宋_GB2312"/>
          <w:b w:val="0"/>
          <w:bCs w:val="0"/>
          <w:color w:val="auto"/>
        </w:rPr>
        <w:t>等高附加值产业链，形成龙头企业多点支撑、产业生态完善的良好态势。通过政策扶持、产业创新等举措，推动产业升级，建设新能源产业高地。</w:t>
      </w:r>
    </w:p>
    <w:p w14:paraId="2341C741">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val="en-US" w:eastAsia="zh-CN"/>
        </w:rPr>
      </w:pPr>
      <w:bookmarkStart w:id="207" w:name="_Hlk213913846"/>
      <w:r>
        <w:rPr>
          <w:rFonts w:hint="eastAsia" w:ascii="仿宋_GB2312" w:hAnsi="仿宋_GB2312" w:eastAsia="仿宋_GB2312" w:cs="仿宋_GB2312"/>
          <w:b w:val="0"/>
          <w:bCs w:val="0"/>
          <w:color w:val="auto"/>
          <w:lang w:val="en-US" w:eastAsia="zh-CN"/>
        </w:rPr>
        <w:t>区域科技创新高地。打造科技创新资源密集、科技创新功能强大、科技产业辐射力强的区域科技创新中心，以科技创新推动产业创新，以产业创新牵引科技创新，把科技创新和成果转化摆在发展的核心位置，发挥龙门实验室、国家农机装备创新中心等高能级创新平台优势和辖区高校支撑作用，推动新知识、新技术、新产业、新业态、新机制融合发展，加快培育发展新动能，塑造发展新优势。</w:t>
      </w:r>
    </w:p>
    <w:p w14:paraId="0A85DF0A">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color w:val="auto"/>
          <w:lang w:val="en-US" w:eastAsia="zh-CN"/>
        </w:rPr>
        <w:t>产城融合发展高地。实施以产城融合助推城乡高质量融合发展之路，立足“城郊型”区域特点，统筹生产、生活、生态空间布局，完善要素配置、产业发展、交通路网与公共服务配套规划，推动“产、城、人”融合发展，构建“城市带动乡村、乡村服务城市”的产城融合高质量发展格局，成为洛阳中心城区扩容提质的核心承载区，建设宜居宜业幸福伊滨。</w:t>
      </w:r>
    </w:p>
    <w:bookmarkEnd w:id="207"/>
    <w:p w14:paraId="382D4092">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08" w:name="_Toc4409"/>
      <w:bookmarkStart w:id="209" w:name="_Toc13458"/>
      <w:bookmarkStart w:id="210" w:name="_Toc6190"/>
      <w:bookmarkStart w:id="211" w:name="_Toc475"/>
      <w:bookmarkStart w:id="212" w:name="_Toc31793"/>
      <w:bookmarkStart w:id="213" w:name="_Toc2017745973"/>
      <w:bookmarkStart w:id="214" w:name="_Toc12555"/>
      <w:bookmarkStart w:id="215" w:name="_Toc26059"/>
      <w:bookmarkStart w:id="216" w:name="_Toc26699"/>
      <w:bookmarkStart w:id="217" w:name="_Toc15646"/>
      <w:bookmarkStart w:id="218" w:name="_Toc10986"/>
      <w:bookmarkStart w:id="219" w:name="_Toc13119"/>
      <w:bookmarkStart w:id="220" w:name="_Toc19201"/>
      <w:bookmarkStart w:id="221" w:name="_Toc27612"/>
      <w:bookmarkStart w:id="222" w:name="_Toc10839"/>
    </w:p>
    <w:p w14:paraId="7D96A32A">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_Toc32393 </w:instrText>
      </w:r>
      <w:r>
        <w:rPr>
          <w:rFonts w:hint="eastAsia" w:ascii="黑体" w:hAnsi="黑体" w:eastAsia="黑体" w:cs="黑体"/>
          <w:b w:val="0"/>
          <w:bCs w:val="0"/>
        </w:rPr>
        <w:fldChar w:fldCharType="separate"/>
      </w:r>
      <w:bookmarkStart w:id="223" w:name="_Toc215857833"/>
      <w:r>
        <w:rPr>
          <w:rFonts w:hint="eastAsia" w:ascii="黑体" w:hAnsi="黑体" w:eastAsia="黑体" w:cs="黑体"/>
          <w:b w:val="0"/>
          <w:bCs w:val="0"/>
        </w:rPr>
        <w:t>第四节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发展目标</w:t>
      </w:r>
      <w:bookmarkEnd w:id="223"/>
      <w:r>
        <w:rPr>
          <w:rFonts w:hint="eastAsia" w:ascii="黑体" w:hAnsi="黑体" w:eastAsia="黑体" w:cs="黑体"/>
          <w:b w:val="0"/>
          <w:bCs w:val="0"/>
        </w:rPr>
        <w:fldChar w:fldCharType="end"/>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328F7E68">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p>
    <w:p w14:paraId="16FE7C8B">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时期，深刻把握战略重点，坚持目标导向和问题导向相结合，坚持统筹谋划和协同推进相统一，聚焦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建设高</w:t>
      </w:r>
      <w:r>
        <w:rPr>
          <w:rFonts w:hint="eastAsia" w:ascii="仿宋_GB2312" w:hAnsi="仿宋_GB2312" w:eastAsia="仿宋_GB2312" w:cs="仿宋_GB2312"/>
          <w:b w:val="0"/>
          <w:bCs w:val="0"/>
          <w:lang w:val="en-US" w:eastAsia="zh-CN"/>
        </w:rPr>
        <w:t>水平现代化</w:t>
      </w:r>
      <w:r>
        <w:rPr>
          <w:rFonts w:hint="eastAsia" w:ascii="仿宋_GB2312" w:hAnsi="仿宋_GB2312" w:eastAsia="仿宋_GB2312" w:cs="仿宋_GB2312"/>
          <w:b w:val="0"/>
          <w:bCs w:val="0"/>
        </w:rPr>
        <w:t>伊滨科技产业新城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总</w:t>
      </w:r>
      <w:r>
        <w:rPr>
          <w:rFonts w:hint="eastAsia" w:ascii="仿宋_GB2312" w:hAnsi="仿宋_GB2312" w:eastAsia="仿宋_GB2312" w:cs="仿宋_GB2312"/>
          <w:b w:val="0"/>
          <w:bCs w:val="0"/>
        </w:rPr>
        <w:t>定位，持续深化科技产业融合、产城融合，推动经济实力、科技实力、综合竞争力和影响力大幅跃升，成为洛阳市高质量发展的核心增长极。</w:t>
      </w:r>
    </w:p>
    <w:p w14:paraId="56E4EDDC">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lang w:val="en-US" w:eastAsia="zh-CN"/>
        </w:rPr>
        <w:t>高质量发展取得新进展。</w:t>
      </w:r>
      <w:r>
        <w:rPr>
          <w:rFonts w:hint="eastAsia" w:ascii="仿宋_GB2312" w:hAnsi="仿宋_GB2312" w:eastAsia="仿宋_GB2312" w:cs="仿宋_GB2312"/>
          <w:b w:val="0"/>
          <w:bCs w:val="0"/>
          <w:color w:val="auto"/>
        </w:rPr>
        <w:t>全区经济</w:t>
      </w:r>
      <w:r>
        <w:rPr>
          <w:rFonts w:hint="eastAsia" w:ascii="仿宋_GB2312" w:hAnsi="仿宋_GB2312" w:eastAsia="仿宋_GB2312" w:cs="仿宋_GB2312"/>
          <w:b w:val="0"/>
          <w:bCs w:val="0"/>
          <w:color w:val="auto"/>
          <w:lang w:val="en-US" w:eastAsia="zh-CN"/>
        </w:rPr>
        <w:t>实现快速增长，</w:t>
      </w:r>
      <w:r>
        <w:rPr>
          <w:rFonts w:hint="eastAsia" w:ascii="仿宋_GB2312" w:hAnsi="仿宋_GB2312" w:eastAsia="仿宋_GB2312" w:cs="仿宋_GB2312"/>
          <w:b w:val="0"/>
          <w:bCs w:val="0"/>
          <w:color w:val="auto"/>
        </w:rPr>
        <w:t>到2030年</w:t>
      </w:r>
      <w:r>
        <w:rPr>
          <w:rFonts w:hint="eastAsia" w:ascii="仿宋_GB2312" w:hAnsi="仿宋_GB2312" w:eastAsia="仿宋_GB2312" w:cs="仿宋_GB2312"/>
          <w:b w:val="0"/>
          <w:bCs w:val="0"/>
          <w:color w:val="auto"/>
          <w:lang w:val="en-US" w:eastAsia="zh-CN"/>
        </w:rPr>
        <w:t>实现</w:t>
      </w:r>
      <w:r>
        <w:rPr>
          <w:rFonts w:hint="eastAsia" w:ascii="仿宋_GB2312" w:hAnsi="仿宋_GB2312" w:eastAsia="仿宋_GB2312" w:cs="仿宋_GB2312"/>
          <w:b w:val="0"/>
          <w:bCs w:val="0"/>
          <w:color w:val="auto"/>
        </w:rPr>
        <w:t>GDP</w:t>
      </w:r>
      <w:r>
        <w:rPr>
          <w:rFonts w:hint="eastAsia" w:ascii="仿宋_GB2312" w:hAnsi="仿宋_GB2312" w:eastAsia="仿宋_GB2312" w:cs="仿宋_GB2312"/>
          <w:b w:val="0"/>
          <w:bCs w:val="0"/>
          <w:color w:val="auto"/>
          <w:lang w:val="en-US" w:eastAsia="zh-CN"/>
        </w:rPr>
        <w:t>翻番目标</w:t>
      </w:r>
      <w:r>
        <w:rPr>
          <w:rFonts w:hint="eastAsia" w:ascii="仿宋_GB2312" w:hAnsi="仿宋_GB2312" w:eastAsia="仿宋_GB2312" w:cs="仿宋_GB2312"/>
          <w:b w:val="0"/>
          <w:bCs w:val="0"/>
          <w:color w:val="auto"/>
        </w:rPr>
        <w:t>；一般公共预算收入超</w:t>
      </w:r>
      <w:r>
        <w:rPr>
          <w:rFonts w:hint="eastAsia" w:ascii="仿宋_GB2312" w:hAnsi="仿宋_GB2312" w:eastAsia="仿宋_GB2312" w:cs="仿宋_GB2312"/>
          <w:b w:val="0"/>
          <w:bCs w:val="0"/>
          <w:color w:val="auto"/>
          <w:lang w:val="en-US" w:eastAsia="zh-CN"/>
        </w:rPr>
        <w:t>40</w:t>
      </w:r>
      <w:r>
        <w:rPr>
          <w:rFonts w:hint="eastAsia" w:ascii="仿宋_GB2312" w:hAnsi="仿宋_GB2312" w:eastAsia="仿宋_GB2312" w:cs="仿宋_GB2312"/>
          <w:b w:val="0"/>
          <w:bCs w:val="0"/>
          <w:color w:val="auto"/>
        </w:rPr>
        <w:t>亿元，规模以上工业总产值突破1</w:t>
      </w:r>
      <w:r>
        <w:rPr>
          <w:rFonts w:hint="eastAsia" w:ascii="仿宋_GB2312" w:hAnsi="仿宋_GB2312" w:eastAsia="仿宋_GB2312" w:cs="仿宋_GB2312"/>
          <w:b w:val="0"/>
          <w:bCs w:val="0"/>
          <w:color w:val="auto"/>
          <w:lang w:val="en-US" w:eastAsia="zh-CN"/>
        </w:rPr>
        <w:t>0</w:t>
      </w:r>
      <w:r>
        <w:rPr>
          <w:rFonts w:hint="eastAsia" w:ascii="仿宋_GB2312" w:hAnsi="仿宋_GB2312" w:eastAsia="仿宋_GB2312" w:cs="仿宋_GB2312"/>
          <w:b w:val="0"/>
          <w:bCs w:val="0"/>
          <w:color w:val="auto"/>
        </w:rPr>
        <w:t>00亿元，工业增加值增速超洛阳平均水平；第三产业增加值明显提升。</w:t>
      </w:r>
      <w:r>
        <w:rPr>
          <w:rFonts w:hint="eastAsia" w:ascii="仿宋_GB2312" w:hAnsi="仿宋_GB2312" w:eastAsia="仿宋_GB2312" w:cs="仿宋_GB2312"/>
          <w:b w:val="0"/>
          <w:bCs w:val="0"/>
          <w:lang w:val="en-US" w:eastAsia="zh-CN"/>
        </w:rPr>
        <w:t>投资效益持续提高，创新驱动和消费引领作用显著增强。因地制宜发展新质生产力取得实质性突破，在洛阳市副中心城市建设中发挥核心支撑作用，成为引领区域协调发展的关键增长极。</w:t>
      </w:r>
    </w:p>
    <w:p w14:paraId="069D6E6E">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高效能治理</w:t>
      </w:r>
      <w:r>
        <w:rPr>
          <w:rFonts w:hint="eastAsia" w:ascii="仿宋_GB2312" w:hAnsi="仿宋_GB2312" w:eastAsia="仿宋_GB2312" w:cs="仿宋_GB2312"/>
          <w:b w:val="0"/>
          <w:bCs w:val="0"/>
        </w:rPr>
        <w:t>得到新加强</w:t>
      </w:r>
      <w:r>
        <w:rPr>
          <w:rFonts w:hint="eastAsia" w:ascii="仿宋_GB2312" w:hAnsi="仿宋_GB2312" w:eastAsia="仿宋_GB2312" w:cs="仿宋_GB2312"/>
          <w:b w:val="0"/>
          <w:bCs w:val="0"/>
          <w:lang w:val="en-US" w:eastAsia="zh-CN"/>
        </w:rPr>
        <w:t>。党领导的社会治理体系更加健全，党组织凝聚服务群众更加有力有效，抓基层、强基础、固根本工作取得扎实成效，法治建设和诚信建设加快推进，重点领域风险得到有效防范化解，社会治理现代化水平明显提升，</w:t>
      </w:r>
      <w:r>
        <w:rPr>
          <w:rFonts w:hint="eastAsia" w:ascii="仿宋_GB2312" w:hAnsi="仿宋_GB2312" w:eastAsia="仿宋_GB2312" w:cs="仿宋_GB2312"/>
          <w:b w:val="0"/>
          <w:bCs w:val="0"/>
          <w:color w:val="auto"/>
        </w:rPr>
        <w:t>法治伊滨、平安伊滨建设深入推进</w:t>
      </w:r>
      <w:r>
        <w:rPr>
          <w:rFonts w:hint="eastAsia" w:ascii="仿宋_GB2312" w:hAnsi="仿宋_GB2312" w:eastAsia="仿宋_GB2312" w:cs="仿宋_GB2312"/>
          <w:b w:val="0"/>
          <w:bCs w:val="0"/>
          <w:lang w:val="en-US" w:eastAsia="zh-CN"/>
        </w:rPr>
        <w:t>。</w:t>
      </w:r>
    </w:p>
    <w:p w14:paraId="3772D13A">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color w:val="auto"/>
          <w:lang w:val="en-US" w:eastAsia="zh-CN"/>
        </w:rPr>
        <w:t>现代化产业体系建设取得新成就。优化现代化产业体系，推进传统产业改造升级，布局新兴产业和未来产业，推动产业智能化、绿色化、融合化发展。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期间，形成1000亿级新能源电池产业集群，智能家居产值突</w:t>
      </w:r>
      <w:r>
        <w:rPr>
          <w:rFonts w:hint="eastAsia" w:ascii="仿宋_GB2312" w:hAnsi="仿宋_GB2312" w:eastAsia="仿宋_GB2312" w:cs="仿宋_GB2312"/>
          <w:b w:val="0"/>
          <w:bCs w:val="0"/>
          <w:color w:val="auto"/>
          <w:highlight w:val="none"/>
        </w:rPr>
        <w:t>破250亿元</w:t>
      </w:r>
      <w:r>
        <w:rPr>
          <w:rFonts w:hint="eastAsia" w:ascii="仿宋_GB2312" w:hAnsi="仿宋_GB2312" w:eastAsia="仿宋_GB2312" w:cs="仿宋_GB2312"/>
          <w:b w:val="0"/>
          <w:bCs w:val="0"/>
          <w:color w:val="auto"/>
        </w:rPr>
        <w:t>，规上工业、高新技术产业增加值年均增长8%左右，培育产值超亿元企业</w:t>
      </w:r>
      <w:r>
        <w:rPr>
          <w:rFonts w:hint="eastAsia" w:ascii="仿宋_GB2312" w:hAnsi="仿宋_GB2312" w:eastAsia="仿宋_GB2312" w:cs="仿宋_GB2312"/>
          <w:b w:val="0"/>
          <w:bCs w:val="0"/>
          <w:color w:val="auto"/>
          <w:lang w:val="en-US" w:eastAsia="zh-CN"/>
        </w:rPr>
        <w:t>2</w:t>
      </w:r>
      <w:r>
        <w:rPr>
          <w:rFonts w:hint="eastAsia" w:ascii="仿宋_GB2312" w:hAnsi="仿宋_GB2312" w:eastAsia="仿宋_GB2312" w:cs="仿宋_GB2312"/>
          <w:b w:val="0"/>
          <w:bCs w:val="0"/>
          <w:color w:val="auto"/>
        </w:rPr>
        <w:t>0家、10亿元企业</w:t>
      </w:r>
      <w:r>
        <w:rPr>
          <w:rFonts w:hint="eastAsia" w:ascii="仿宋_GB2312" w:hAnsi="仿宋_GB2312" w:eastAsia="仿宋_GB2312" w:cs="仿宋_GB2312"/>
          <w:b w:val="0"/>
          <w:bCs w:val="0"/>
          <w:color w:val="auto"/>
          <w:lang w:val="en-US" w:eastAsia="zh-CN"/>
        </w:rPr>
        <w:t>1</w:t>
      </w:r>
      <w:r>
        <w:rPr>
          <w:rFonts w:hint="eastAsia" w:ascii="仿宋_GB2312" w:hAnsi="仿宋_GB2312" w:eastAsia="仿宋_GB2312" w:cs="仿宋_GB2312"/>
          <w:b w:val="0"/>
          <w:bCs w:val="0"/>
          <w:color w:val="auto"/>
        </w:rPr>
        <w:t>0家以上。</w:t>
      </w:r>
    </w:p>
    <w:p w14:paraId="01646B45">
      <w:pPr>
        <w:pageBreakBefore w:val="0"/>
        <w:widowControl w:val="0"/>
        <w:kinsoku/>
        <w:wordWrap/>
        <w:topLinePunct w:val="0"/>
        <w:bidi w:val="0"/>
        <w:spacing w:line="600" w:lineRule="exact"/>
        <w:ind w:firstLine="643"/>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lang w:val="en-US" w:eastAsia="zh-CN"/>
        </w:rPr>
        <w:t>创新能力实现新提升。坚持引领洛阳创新发展主引擎核心战略，推进</w:t>
      </w:r>
      <w:r>
        <w:rPr>
          <w:rFonts w:hint="eastAsia" w:ascii="仿宋_GB2312" w:hAnsi="仿宋_GB2312" w:eastAsia="仿宋_GB2312" w:cs="仿宋_GB2312"/>
          <w:b w:val="0"/>
          <w:bCs w:val="0"/>
        </w:rPr>
        <w:t>教育科技人才一体</w:t>
      </w:r>
      <w:r>
        <w:rPr>
          <w:rFonts w:hint="eastAsia" w:ascii="仿宋_GB2312" w:hAnsi="仿宋_GB2312" w:eastAsia="仿宋_GB2312" w:cs="仿宋_GB2312"/>
          <w:b w:val="0"/>
          <w:bCs w:val="0"/>
          <w:lang w:val="en-US" w:eastAsia="zh-CN"/>
        </w:rPr>
        <w:t>化融合发展示范平台建设</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加快</w:t>
      </w:r>
      <w:r>
        <w:rPr>
          <w:rFonts w:hint="eastAsia" w:ascii="仿宋_GB2312" w:hAnsi="仿宋_GB2312" w:eastAsia="仿宋_GB2312" w:cs="仿宋_GB2312"/>
          <w:b w:val="0"/>
          <w:bCs w:val="0"/>
        </w:rPr>
        <w:t>科技创新和产业创新深度融合</w:t>
      </w:r>
      <w:r>
        <w:rPr>
          <w:rFonts w:hint="eastAsia" w:ascii="仿宋_GB2312" w:hAnsi="仿宋_GB2312" w:eastAsia="仿宋_GB2312" w:cs="仿宋_GB2312"/>
          <w:b w:val="0"/>
          <w:bCs w:val="0"/>
          <w:lang w:val="en-US" w:eastAsia="zh-CN"/>
        </w:rPr>
        <w:t>。推动创新发展，深化科技赋能，抓牢龙头带动，激发创新活力。</w:t>
      </w:r>
      <w:r>
        <w:rPr>
          <w:rFonts w:hint="eastAsia" w:ascii="仿宋_GB2312" w:hAnsi="仿宋_GB2312" w:eastAsia="仿宋_GB2312" w:cs="仿宋_GB2312"/>
          <w:b w:val="0"/>
          <w:bCs w:val="0"/>
          <w:color w:val="auto"/>
        </w:rPr>
        <w:t>力争到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末，全区创新龙头企业达到</w:t>
      </w:r>
      <w:r>
        <w:rPr>
          <w:rFonts w:hint="eastAsia" w:ascii="仿宋_GB2312" w:hAnsi="仿宋_GB2312" w:eastAsia="仿宋_GB2312" w:cs="仿宋_GB2312"/>
          <w:b w:val="0"/>
          <w:bCs w:val="0"/>
          <w:color w:val="auto"/>
          <w:lang w:val="en-US" w:eastAsia="zh-CN"/>
        </w:rPr>
        <w:t>2</w:t>
      </w:r>
      <w:r>
        <w:rPr>
          <w:rFonts w:hint="eastAsia" w:ascii="仿宋_GB2312" w:hAnsi="仿宋_GB2312" w:eastAsia="仿宋_GB2312" w:cs="仿宋_GB2312"/>
          <w:b w:val="0"/>
          <w:bCs w:val="0"/>
          <w:color w:val="auto"/>
        </w:rPr>
        <w:t>家以上，</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瞪羚</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企业达到</w:t>
      </w:r>
      <w:r>
        <w:rPr>
          <w:rFonts w:hint="eastAsia" w:ascii="仿宋_GB2312" w:hAnsi="仿宋_GB2312" w:eastAsia="仿宋_GB2312" w:cs="仿宋_GB2312"/>
          <w:b w:val="0"/>
          <w:bCs w:val="0"/>
          <w:color w:val="auto"/>
          <w:lang w:val="en-US" w:eastAsia="zh-CN"/>
        </w:rPr>
        <w:t>5</w:t>
      </w:r>
      <w:r>
        <w:rPr>
          <w:rFonts w:hint="eastAsia" w:ascii="仿宋_GB2312" w:hAnsi="仿宋_GB2312" w:eastAsia="仿宋_GB2312" w:cs="仿宋_GB2312"/>
          <w:b w:val="0"/>
          <w:bCs w:val="0"/>
          <w:color w:val="auto"/>
        </w:rPr>
        <w:t>家，专精特新企业突破</w:t>
      </w:r>
      <w:r>
        <w:rPr>
          <w:rFonts w:hint="eastAsia" w:ascii="仿宋_GB2312" w:hAnsi="仿宋_GB2312" w:eastAsia="仿宋_GB2312" w:cs="仿宋_GB2312"/>
          <w:b w:val="0"/>
          <w:bCs w:val="0"/>
          <w:color w:val="auto"/>
          <w:lang w:val="en-US" w:eastAsia="zh-CN"/>
        </w:rPr>
        <w:t>4</w:t>
      </w:r>
      <w:r>
        <w:rPr>
          <w:rFonts w:hint="eastAsia" w:ascii="仿宋_GB2312" w:hAnsi="仿宋_GB2312" w:eastAsia="仿宋_GB2312" w:cs="仿宋_GB2312"/>
          <w:b w:val="0"/>
          <w:bCs w:val="0"/>
          <w:color w:val="auto"/>
        </w:rPr>
        <w:t>0家，高新技术企业总数突破20</w:t>
      </w:r>
      <w:r>
        <w:rPr>
          <w:rFonts w:hint="eastAsia" w:ascii="仿宋_GB2312" w:hAnsi="仿宋_GB2312" w:eastAsia="仿宋_GB2312" w:cs="仿宋_GB2312"/>
          <w:b w:val="0"/>
          <w:bCs w:val="0"/>
          <w:color w:val="auto"/>
          <w:lang w:val="en-US" w:eastAsia="zh-CN"/>
        </w:rPr>
        <w:t>0</w:t>
      </w:r>
      <w:r>
        <w:rPr>
          <w:rFonts w:hint="eastAsia" w:ascii="仿宋_GB2312" w:hAnsi="仿宋_GB2312" w:eastAsia="仿宋_GB2312" w:cs="仿宋_GB2312"/>
          <w:b w:val="0"/>
          <w:bCs w:val="0"/>
          <w:color w:val="auto"/>
        </w:rPr>
        <w:t>家，科技型中小企业达到</w:t>
      </w:r>
      <w:r>
        <w:rPr>
          <w:rFonts w:hint="eastAsia" w:ascii="仿宋_GB2312" w:hAnsi="仿宋_GB2312" w:eastAsia="仿宋_GB2312" w:cs="仿宋_GB2312"/>
          <w:b w:val="0"/>
          <w:bCs w:val="0"/>
          <w:color w:val="auto"/>
          <w:lang w:val="en-US" w:eastAsia="zh-CN"/>
        </w:rPr>
        <w:t>6</w:t>
      </w:r>
      <w:r>
        <w:rPr>
          <w:rFonts w:hint="eastAsia" w:ascii="仿宋_GB2312" w:hAnsi="仿宋_GB2312" w:eastAsia="仿宋_GB2312" w:cs="仿宋_GB2312"/>
          <w:b w:val="0"/>
          <w:bCs w:val="0"/>
          <w:color w:val="auto"/>
        </w:rPr>
        <w:t>00家，新增省级以上创新平台20个，创新型企业集聚成势。</w:t>
      </w:r>
    </w:p>
    <w:p w14:paraId="16C42B31">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人民生活品质明显提高。高质量就业更加充分，居民收入增长和经济增长基本同步，教育、医疗、养老、托幼等保障体系更加完善，社会保障制度更加优化更可持续，基本公共服务均等化水平明显提升。</w:t>
      </w:r>
    </w:p>
    <w:p w14:paraId="3F47AA83">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美丽伊滨建设达到新水平。全区生态环境和城乡人居环境持续改善，生态安全屏障更加牢固。单位GDP能耗、主要污染物排放总量持续减少，城乡融合发展水平不断提升，现代化生态宜居城市建设取得重大进展。</w:t>
      </w:r>
    </w:p>
    <w:p w14:paraId="32883EF9">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文化繁荣兴盛开创新局面。</w:t>
      </w:r>
      <w:r>
        <w:rPr>
          <w:rFonts w:hint="eastAsia" w:ascii="仿宋_GB2312" w:hAnsi="仿宋_GB2312" w:eastAsia="仿宋_GB2312" w:cs="仿宋_GB2312"/>
          <w:b w:val="0"/>
          <w:bCs w:val="0"/>
          <w:lang w:val="en-US" w:eastAsia="zh-CN"/>
        </w:rPr>
        <w:t>深入践行</w:t>
      </w:r>
      <w:r>
        <w:rPr>
          <w:rFonts w:hint="eastAsia" w:ascii="仿宋_GB2312" w:hAnsi="仿宋_GB2312" w:eastAsia="仿宋_GB2312" w:cs="仿宋_GB2312"/>
          <w:b w:val="0"/>
          <w:bCs w:val="0"/>
        </w:rPr>
        <w:t>社会主义核心价值观，</w:t>
      </w:r>
      <w:r>
        <w:rPr>
          <w:rFonts w:hint="eastAsia" w:ascii="仿宋_GB2312" w:hAnsi="仿宋_GB2312" w:eastAsia="仿宋_GB2312" w:cs="仿宋_GB2312"/>
          <w:b w:val="0"/>
          <w:bCs w:val="0"/>
          <w:lang w:val="en-US" w:eastAsia="zh-CN"/>
        </w:rPr>
        <w:t>推动</w:t>
      </w:r>
      <w:r>
        <w:rPr>
          <w:rFonts w:hint="eastAsia" w:ascii="仿宋_GB2312" w:hAnsi="仿宋_GB2312" w:eastAsia="仿宋_GB2312" w:cs="仿宋_GB2312"/>
          <w:b w:val="0"/>
          <w:bCs w:val="0"/>
        </w:rPr>
        <w:t>历史文化遗产保护传承利用</w:t>
      </w:r>
      <w:r>
        <w:rPr>
          <w:rFonts w:hint="eastAsia" w:ascii="仿宋_GB2312" w:hAnsi="仿宋_GB2312" w:eastAsia="仿宋_GB2312" w:cs="仿宋_GB2312"/>
          <w:b w:val="0"/>
          <w:bCs w:val="0"/>
          <w:lang w:eastAsia="zh-CN"/>
        </w:rPr>
        <w:t>，让</w:t>
      </w:r>
      <w:r>
        <w:rPr>
          <w:rFonts w:hint="eastAsia" w:ascii="仿宋_GB2312" w:hAnsi="仿宋_GB2312" w:eastAsia="仿宋_GB2312" w:cs="仿宋_GB2312"/>
          <w:b w:val="0"/>
          <w:bCs w:val="0"/>
        </w:rPr>
        <w:t>文旅产业成为民生产业、幸福产业，文化吸引力影响力明显增强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人民精神文化生活更加丰富</w:t>
      </w:r>
      <w:r>
        <w:rPr>
          <w:rFonts w:hint="eastAsia" w:ascii="仿宋_GB2312" w:hAnsi="仿宋_GB2312" w:eastAsia="仿宋_GB2312" w:cs="仿宋_GB2312"/>
          <w:b w:val="0"/>
          <w:bCs w:val="0"/>
        </w:rPr>
        <w:t>。</w:t>
      </w:r>
    </w:p>
    <w:p w14:paraId="65B6ADBB">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lang w:val="en-US" w:eastAsia="zh-CN"/>
        </w:rPr>
        <w:t>改革开放取得新突破。</w:t>
      </w:r>
      <w:r>
        <w:rPr>
          <w:rFonts w:hint="eastAsia" w:ascii="仿宋_GB2312" w:hAnsi="仿宋_GB2312" w:eastAsia="仿宋_GB2312" w:cs="仿宋_GB2312"/>
          <w:b w:val="0"/>
          <w:bCs w:val="0"/>
        </w:rPr>
        <w:t>重点领域和关键环节改革纵深推进，要素市场化配置更加高效，各类市场主体活力有效激发，推动高质量发展体制机制更加完善。</w:t>
      </w:r>
      <w:r>
        <w:rPr>
          <w:rFonts w:hint="eastAsia" w:ascii="仿宋_GB2312" w:hAnsi="仿宋_GB2312" w:eastAsia="仿宋_GB2312" w:cs="仿宋_GB2312"/>
          <w:b w:val="0"/>
          <w:bCs w:val="0"/>
          <w:lang w:val="en-US" w:eastAsia="zh-CN"/>
        </w:rPr>
        <w:t>深度融入“一带一路”建设，建成全国一流营商环境和区域充满活力的开放合作平台，形成全方位、深层次、高水平、制度型开放新格局。</w:t>
      </w:r>
      <w:r>
        <w:rPr>
          <w:rFonts w:hint="eastAsia" w:ascii="仿宋_GB2312" w:hAnsi="仿宋_GB2312" w:eastAsia="仿宋_GB2312" w:cs="仿宋_GB2312"/>
          <w:b w:val="0"/>
          <w:bCs w:val="0"/>
          <w:color w:val="auto"/>
        </w:rPr>
        <w:t>力争</w:t>
      </w:r>
      <w:r>
        <w:rPr>
          <w:rFonts w:hint="eastAsia" w:ascii="仿宋_GB2312" w:hAnsi="仿宋_GB2312" w:eastAsia="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rPr>
        <w:t>十五五</w:t>
      </w:r>
      <w:r>
        <w:rPr>
          <w:rFonts w:hint="eastAsia" w:ascii="仿宋_GB2312" w:hAnsi="仿宋_GB2312" w:eastAsia="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rPr>
        <w:t>期间全区进出口额达到30亿元以上</w:t>
      </w:r>
      <w:r>
        <w:rPr>
          <w:rFonts w:hint="eastAsia" w:ascii="仿宋_GB2312" w:hAnsi="仿宋_GB2312" w:eastAsia="仿宋_GB2312" w:cs="仿宋_GB2312"/>
          <w:b w:val="0"/>
          <w:bCs w:val="0"/>
          <w:color w:val="auto"/>
        </w:rPr>
        <w:t>，吸引区外资金总额年均增长10%以上。</w:t>
      </w:r>
    </w:p>
    <w:p w14:paraId="7539D5F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color w:val="auto"/>
        </w:rPr>
        <w:t>到2035年，基本建成</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经</w:t>
      </w:r>
      <w:r>
        <w:rPr>
          <w:rFonts w:hint="eastAsia" w:ascii="仿宋_GB2312" w:hAnsi="仿宋_GB2312" w:eastAsia="仿宋_GB2312" w:cs="仿宋_GB2312"/>
          <w:b w:val="0"/>
          <w:bCs w:val="0"/>
        </w:rPr>
        <w:t>济强劲、生态宜居、文明幸福、和美包容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现代化伊滨。实现经济实力大幅提升，人均生产总值高于全市平均水平，营商环境进入全省先进行列；基本建成覆盖全区的生态文化体系，基本实现人与自然和谐共生的现代化；基本公共服务实现均等化，居民主要健康指标优于全省平均水平；人的全面发展、全体人民共同富裕取得更为明显的实质性进展；基本实现治理体系和治理能力现代化，全社会尊法学法守法用法氛围更加浓厚，人民安居乐业、社会和谐稳定的局面更加巩固。</w:t>
      </w:r>
      <w:bookmarkStart w:id="224" w:name="_Toc26119"/>
    </w:p>
    <w:p w14:paraId="13AA2BDD">
      <w:pPr>
        <w:pageBreakBefore w:val="0"/>
        <w:widowControl w:val="0"/>
        <w:kinsoku/>
        <w:wordWrap/>
        <w:topLinePunct w:val="0"/>
        <w:bidi w:val="0"/>
        <w:spacing w:line="600" w:lineRule="exact"/>
        <w:rPr>
          <w:rFonts w:hint="eastAsia" w:ascii="仿宋_GB2312" w:hAnsi="仿宋_GB2312" w:eastAsia="仿宋_GB2312" w:cs="仿宋_GB2312"/>
          <w:b w:val="0"/>
          <w:bCs w:val="0"/>
        </w:rPr>
      </w:pPr>
    </w:p>
    <w:tbl>
      <w:tblPr>
        <w:tblStyle w:val="63"/>
        <w:tblW w:w="884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44"/>
        <w:gridCol w:w="3059"/>
        <w:gridCol w:w="1191"/>
        <w:gridCol w:w="1147"/>
        <w:gridCol w:w="1574"/>
        <w:gridCol w:w="1532"/>
      </w:tblGrid>
      <w:tr w14:paraId="6C40C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847" w:type="dxa"/>
            <w:gridSpan w:val="6"/>
            <w:vAlign w:val="center"/>
          </w:tcPr>
          <w:p w14:paraId="725888A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黑体" w:hAnsi="黑体" w:eastAsia="黑体" w:cs="黑体"/>
                <w:b w:val="0"/>
                <w:bCs w:val="0"/>
                <w:color w:val="auto"/>
                <w:spacing w:val="-1"/>
                <w:position w:val="2"/>
                <w:lang w:val="en-US" w:eastAsia="zh-CN"/>
              </w:rPr>
            </w:pPr>
            <w:r>
              <w:rPr>
                <w:rFonts w:hint="eastAsia" w:ascii="黑体" w:hAnsi="黑体" w:eastAsia="黑体" w:cs="黑体"/>
                <w:b w:val="0"/>
                <w:bCs w:val="0"/>
                <w:color w:val="auto"/>
                <w:spacing w:val="-1"/>
                <w:position w:val="2"/>
                <w:lang w:val="en-US" w:eastAsia="zh-CN"/>
              </w:rPr>
              <w:t xml:space="preserve">专栏2-1       </w:t>
            </w:r>
            <w:r>
              <w:rPr>
                <w:rFonts w:hint="eastAsia" w:ascii="黑体" w:hAnsi="黑体" w:eastAsia="黑体" w:cs="黑体"/>
                <w:b w:val="0"/>
                <w:bCs w:val="0"/>
                <w:color w:val="auto"/>
                <w:spacing w:val="-1"/>
                <w:position w:val="2"/>
                <w:lang w:eastAsia="zh-CN"/>
              </w:rPr>
              <w:t>“十五五”经济社会发展主要指标</w:t>
            </w:r>
          </w:p>
        </w:tc>
      </w:tr>
      <w:tr w14:paraId="5A54C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403" w:type="dxa"/>
            <w:gridSpan w:val="2"/>
            <w:vAlign w:val="center"/>
          </w:tcPr>
          <w:p w14:paraId="16CD2C5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黑体" w:hAnsi="黑体" w:eastAsia="黑体" w:cs="黑体"/>
                <w:b w:val="0"/>
                <w:bCs w:val="0"/>
                <w:color w:val="auto"/>
                <w:spacing w:val="-1"/>
                <w:position w:val="2"/>
                <w:lang w:eastAsia="zh-CN"/>
              </w:rPr>
            </w:pPr>
          </w:p>
        </w:tc>
        <w:tc>
          <w:tcPr>
            <w:tcW w:w="1191" w:type="dxa"/>
            <w:vAlign w:val="center"/>
          </w:tcPr>
          <w:p w14:paraId="5409B64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黑体" w:hAnsi="黑体" w:eastAsia="黑体" w:cs="黑体"/>
                <w:b w:val="0"/>
                <w:bCs w:val="0"/>
                <w:color w:val="auto"/>
                <w:spacing w:val="-1"/>
                <w:position w:val="2"/>
                <w:lang w:val="en-US" w:eastAsia="zh-CN"/>
              </w:rPr>
            </w:pPr>
            <w:r>
              <w:rPr>
                <w:rFonts w:hint="eastAsia" w:ascii="黑体" w:hAnsi="黑体" w:eastAsia="黑体" w:cs="黑体"/>
                <w:b w:val="0"/>
                <w:bCs w:val="0"/>
                <w:color w:val="auto"/>
                <w:spacing w:val="-1"/>
                <w:position w:val="2"/>
                <w:lang w:val="en-US" w:eastAsia="zh-CN"/>
              </w:rPr>
              <w:t>2025年</w:t>
            </w:r>
          </w:p>
        </w:tc>
        <w:tc>
          <w:tcPr>
            <w:tcW w:w="1147" w:type="dxa"/>
            <w:vAlign w:val="center"/>
          </w:tcPr>
          <w:p w14:paraId="564DBDF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黑体" w:hAnsi="黑体" w:eastAsia="黑体" w:cs="黑体"/>
                <w:b w:val="0"/>
                <w:bCs w:val="0"/>
                <w:color w:val="auto"/>
                <w:spacing w:val="-1"/>
                <w:position w:val="2"/>
                <w:lang w:val="en-US" w:eastAsia="zh-CN"/>
              </w:rPr>
            </w:pPr>
            <w:r>
              <w:rPr>
                <w:rFonts w:hint="eastAsia" w:ascii="黑体" w:hAnsi="黑体" w:eastAsia="黑体" w:cs="黑体"/>
                <w:b w:val="0"/>
                <w:bCs w:val="0"/>
                <w:color w:val="auto"/>
                <w:spacing w:val="-1"/>
                <w:position w:val="2"/>
                <w:lang w:val="en-US" w:eastAsia="zh-CN"/>
              </w:rPr>
              <w:t>2030年</w:t>
            </w:r>
          </w:p>
        </w:tc>
        <w:tc>
          <w:tcPr>
            <w:tcW w:w="1574" w:type="dxa"/>
            <w:vAlign w:val="center"/>
          </w:tcPr>
          <w:p w14:paraId="6111696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黑体" w:hAnsi="黑体" w:eastAsia="黑体" w:cs="黑体"/>
                <w:b w:val="0"/>
                <w:bCs w:val="0"/>
                <w:color w:val="auto"/>
                <w:spacing w:val="-1"/>
                <w:position w:val="2"/>
                <w:lang w:val="en-US" w:eastAsia="zh-CN"/>
              </w:rPr>
            </w:pPr>
            <w:r>
              <w:rPr>
                <w:rFonts w:hint="eastAsia" w:ascii="黑体" w:hAnsi="黑体" w:eastAsia="黑体" w:cs="黑体"/>
                <w:b w:val="0"/>
                <w:bCs w:val="0"/>
                <w:color w:val="auto"/>
                <w:spacing w:val="-1"/>
                <w:position w:val="2"/>
                <w:lang w:val="en-US" w:eastAsia="zh-CN"/>
              </w:rPr>
              <w:t>年均/累计</w:t>
            </w:r>
          </w:p>
        </w:tc>
        <w:tc>
          <w:tcPr>
            <w:tcW w:w="1532" w:type="dxa"/>
            <w:vAlign w:val="center"/>
          </w:tcPr>
          <w:p w14:paraId="10D5CE66">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黑体" w:hAnsi="黑体" w:eastAsia="黑体" w:cs="黑体"/>
                <w:b w:val="0"/>
                <w:bCs w:val="0"/>
                <w:color w:val="auto"/>
                <w:spacing w:val="-1"/>
                <w:position w:val="2"/>
                <w:lang w:eastAsia="zh-CN"/>
              </w:rPr>
            </w:pPr>
            <w:r>
              <w:rPr>
                <w:rFonts w:hint="eastAsia" w:ascii="黑体" w:hAnsi="黑体" w:eastAsia="黑体" w:cs="黑体"/>
                <w:b w:val="0"/>
                <w:bCs w:val="0"/>
                <w:color w:val="auto"/>
                <w:spacing w:val="-1"/>
                <w:position w:val="2"/>
                <w:lang w:eastAsia="zh-CN"/>
              </w:rPr>
              <w:t>属性</w:t>
            </w:r>
          </w:p>
        </w:tc>
      </w:tr>
      <w:tr w14:paraId="34566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15" w:type="dxa"/>
            <w:gridSpan w:val="5"/>
            <w:vAlign w:val="center"/>
          </w:tcPr>
          <w:p w14:paraId="60911CF9">
            <w:pPr>
              <w:pageBreakBefore w:val="0"/>
              <w:widowControl w:val="0"/>
              <w:kinsoku/>
              <w:wordWrap/>
              <w:topLinePunct w:val="0"/>
              <w:autoSpaceDE w:val="0"/>
              <w:autoSpaceDN w:val="0"/>
              <w:bidi w:val="0"/>
              <w:adjustRightInd w:val="0"/>
              <w:snapToGrid w:val="0"/>
              <w:spacing w:line="600" w:lineRule="exact"/>
              <w:ind w:firstLine="0" w:firstLineChars="0"/>
              <w:jc w:val="both"/>
              <w:textAlignment w:val="baseline"/>
              <w:rPr>
                <w:rFonts w:hint="eastAsia" w:ascii="黑体" w:hAnsi="黑体" w:eastAsia="黑体" w:cs="黑体"/>
                <w:b w:val="0"/>
                <w:bCs w:val="0"/>
                <w:color w:val="auto"/>
                <w:sz w:val="24"/>
                <w:szCs w:val="24"/>
              </w:rPr>
            </w:pPr>
            <w:r>
              <w:rPr>
                <w:rFonts w:hint="eastAsia" w:ascii="黑体" w:hAnsi="黑体" w:eastAsia="黑体" w:cs="黑体"/>
                <w:b w:val="0"/>
                <w:bCs w:val="0"/>
                <w:color w:val="auto"/>
                <w:spacing w:val="-6"/>
                <w:sz w:val="24"/>
                <w:szCs w:val="24"/>
              </w:rPr>
              <w:t>一、经济发展</w:t>
            </w:r>
          </w:p>
        </w:tc>
        <w:tc>
          <w:tcPr>
            <w:tcW w:w="1532" w:type="dxa"/>
            <w:vAlign w:val="center"/>
          </w:tcPr>
          <w:p w14:paraId="3709E382">
            <w:pPr>
              <w:pageBreakBefore w:val="0"/>
              <w:widowControl w:val="0"/>
              <w:kinsoku/>
              <w:wordWrap/>
              <w:topLinePunct w:val="0"/>
              <w:autoSpaceDE w:val="0"/>
              <w:autoSpaceDN w:val="0"/>
              <w:bidi w:val="0"/>
              <w:adjustRightInd w:val="0"/>
              <w:snapToGrid w:val="0"/>
              <w:spacing w:line="600" w:lineRule="exact"/>
              <w:ind w:firstLine="0" w:firstLineChars="0"/>
              <w:jc w:val="center"/>
              <w:textAlignment w:val="baseline"/>
              <w:rPr>
                <w:rFonts w:hint="eastAsia" w:ascii="黑体" w:hAnsi="黑体" w:eastAsia="黑体" w:cs="黑体"/>
                <w:b w:val="0"/>
                <w:bCs w:val="0"/>
                <w:color w:val="auto"/>
                <w:spacing w:val="-6"/>
                <w:sz w:val="24"/>
                <w:szCs w:val="24"/>
              </w:rPr>
            </w:pPr>
          </w:p>
        </w:tc>
      </w:tr>
      <w:tr w14:paraId="14029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02567E3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p>
        </w:tc>
        <w:tc>
          <w:tcPr>
            <w:tcW w:w="3059" w:type="dxa"/>
            <w:vAlign w:val="center"/>
          </w:tcPr>
          <w:p w14:paraId="1B0638E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地区生产总值增长（%）</w:t>
            </w:r>
          </w:p>
        </w:tc>
        <w:tc>
          <w:tcPr>
            <w:tcW w:w="1191" w:type="dxa"/>
            <w:vAlign w:val="center"/>
          </w:tcPr>
          <w:p w14:paraId="06B6F7B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10</w:t>
            </w:r>
            <w:r>
              <w:rPr>
                <w:rFonts w:hint="eastAsia" w:ascii="仿宋_GB2312" w:hAnsi="仿宋_GB2312" w:eastAsia="仿宋_GB2312" w:cs="仿宋_GB2312"/>
                <w:b w:val="0"/>
                <w:bCs w:val="0"/>
                <w:color w:val="auto"/>
                <w:spacing w:val="-1"/>
                <w:position w:val="2"/>
                <w:lang w:val="en-US" w:eastAsia="zh-CN"/>
              </w:rPr>
              <w:t>.7</w:t>
            </w:r>
          </w:p>
        </w:tc>
        <w:tc>
          <w:tcPr>
            <w:tcW w:w="1147" w:type="dxa"/>
            <w:vAlign w:val="center"/>
          </w:tcPr>
          <w:p w14:paraId="527D133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w:t>
            </w:r>
          </w:p>
        </w:tc>
        <w:tc>
          <w:tcPr>
            <w:tcW w:w="1574" w:type="dxa"/>
            <w:vAlign w:val="center"/>
          </w:tcPr>
          <w:p w14:paraId="501D488E">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15左右，争取更好结果</w:t>
            </w:r>
          </w:p>
        </w:tc>
        <w:tc>
          <w:tcPr>
            <w:tcW w:w="1532" w:type="dxa"/>
            <w:shd w:val="clear" w:color="auto" w:fill="auto"/>
            <w:vAlign w:val="center"/>
          </w:tcPr>
          <w:p w14:paraId="361610D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24B24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7D5ABFE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2</w:t>
            </w:r>
          </w:p>
        </w:tc>
        <w:tc>
          <w:tcPr>
            <w:tcW w:w="3059" w:type="dxa"/>
            <w:vAlign w:val="center"/>
          </w:tcPr>
          <w:p w14:paraId="3E93FC3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全员劳动生产率增</w:t>
            </w:r>
            <w:r>
              <w:rPr>
                <w:rFonts w:hint="eastAsia" w:ascii="仿宋_GB2312" w:hAnsi="仿宋_GB2312" w:eastAsia="仿宋_GB2312" w:cs="仿宋_GB2312"/>
                <w:b w:val="0"/>
                <w:bCs w:val="0"/>
                <w:color w:val="auto"/>
                <w:spacing w:val="-1"/>
                <w:position w:val="2"/>
                <w:lang w:val="en-US" w:eastAsia="zh-CN"/>
              </w:rPr>
              <w:t>长</w:t>
            </w:r>
            <w:r>
              <w:rPr>
                <w:rFonts w:hint="eastAsia" w:ascii="仿宋_GB2312" w:hAnsi="仿宋_GB2312" w:eastAsia="仿宋_GB2312" w:cs="仿宋_GB2312"/>
                <w:b w:val="0"/>
                <w:bCs w:val="0"/>
                <w:color w:val="auto"/>
                <w:spacing w:val="-1"/>
                <w:position w:val="2"/>
                <w:lang w:eastAsia="zh-CN"/>
              </w:rPr>
              <w:t>（%）</w:t>
            </w:r>
          </w:p>
        </w:tc>
        <w:tc>
          <w:tcPr>
            <w:tcW w:w="1191" w:type="dxa"/>
            <w:vAlign w:val="center"/>
          </w:tcPr>
          <w:p w14:paraId="4628D27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2</w:t>
            </w:r>
          </w:p>
        </w:tc>
        <w:tc>
          <w:tcPr>
            <w:tcW w:w="1147" w:type="dxa"/>
            <w:vAlign w:val="center"/>
          </w:tcPr>
          <w:p w14:paraId="2D3B930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val="en-US" w:eastAsia="zh-CN"/>
              </w:rPr>
              <w:t>6</w:t>
            </w:r>
          </w:p>
        </w:tc>
        <w:tc>
          <w:tcPr>
            <w:tcW w:w="1574" w:type="dxa"/>
            <w:vAlign w:val="center"/>
          </w:tcPr>
          <w:p w14:paraId="6D05D2F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w:t>
            </w:r>
          </w:p>
        </w:tc>
        <w:tc>
          <w:tcPr>
            <w:tcW w:w="1532" w:type="dxa"/>
            <w:shd w:val="clear" w:color="auto" w:fill="auto"/>
            <w:vAlign w:val="center"/>
          </w:tcPr>
          <w:p w14:paraId="74ED045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7092F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05FA430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3</w:t>
            </w:r>
          </w:p>
        </w:tc>
        <w:tc>
          <w:tcPr>
            <w:tcW w:w="3059" w:type="dxa"/>
            <w:vAlign w:val="center"/>
          </w:tcPr>
          <w:p w14:paraId="65BFA4B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常住人口城镇化率（%）</w:t>
            </w:r>
          </w:p>
        </w:tc>
        <w:tc>
          <w:tcPr>
            <w:tcW w:w="1191" w:type="dxa"/>
            <w:vAlign w:val="center"/>
          </w:tcPr>
          <w:p w14:paraId="53FA1AF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76.2</w:t>
            </w:r>
          </w:p>
        </w:tc>
        <w:tc>
          <w:tcPr>
            <w:tcW w:w="1147" w:type="dxa"/>
            <w:vAlign w:val="center"/>
          </w:tcPr>
          <w:p w14:paraId="417F8586">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85</w:t>
            </w:r>
          </w:p>
        </w:tc>
        <w:tc>
          <w:tcPr>
            <w:tcW w:w="1574" w:type="dxa"/>
            <w:vAlign w:val="center"/>
          </w:tcPr>
          <w:p w14:paraId="339E1C8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w:t>
            </w:r>
          </w:p>
        </w:tc>
        <w:tc>
          <w:tcPr>
            <w:tcW w:w="1532" w:type="dxa"/>
            <w:shd w:val="clear" w:color="auto" w:fill="auto"/>
            <w:vAlign w:val="center"/>
          </w:tcPr>
          <w:p w14:paraId="2D42D29E">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09B35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342BE0A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4</w:t>
            </w:r>
          </w:p>
        </w:tc>
        <w:tc>
          <w:tcPr>
            <w:tcW w:w="3059" w:type="dxa"/>
            <w:vAlign w:val="center"/>
          </w:tcPr>
          <w:p w14:paraId="26F7B0B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社会消费品零售总额增长（%）</w:t>
            </w:r>
          </w:p>
        </w:tc>
        <w:tc>
          <w:tcPr>
            <w:tcW w:w="1191" w:type="dxa"/>
            <w:vAlign w:val="center"/>
          </w:tcPr>
          <w:p w14:paraId="3C7B95D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6.</w:t>
            </w:r>
            <w:r>
              <w:rPr>
                <w:rFonts w:hint="eastAsia" w:ascii="仿宋_GB2312" w:hAnsi="仿宋_GB2312" w:eastAsia="仿宋_GB2312" w:cs="仿宋_GB2312"/>
                <w:b w:val="0"/>
                <w:bCs w:val="0"/>
                <w:color w:val="auto"/>
                <w:spacing w:val="-1"/>
                <w:position w:val="2"/>
                <w:lang w:val="en-US" w:eastAsia="zh-CN"/>
              </w:rPr>
              <w:t>1</w:t>
            </w:r>
          </w:p>
        </w:tc>
        <w:tc>
          <w:tcPr>
            <w:tcW w:w="1147" w:type="dxa"/>
            <w:vAlign w:val="center"/>
          </w:tcPr>
          <w:p w14:paraId="22DB4C2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7</w:t>
            </w:r>
          </w:p>
        </w:tc>
        <w:tc>
          <w:tcPr>
            <w:tcW w:w="1574" w:type="dxa"/>
            <w:vAlign w:val="center"/>
          </w:tcPr>
          <w:p w14:paraId="3644BD1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7左右</w:t>
            </w:r>
          </w:p>
        </w:tc>
        <w:tc>
          <w:tcPr>
            <w:tcW w:w="1532" w:type="dxa"/>
            <w:shd w:val="clear" w:color="auto" w:fill="auto"/>
            <w:vAlign w:val="center"/>
          </w:tcPr>
          <w:p w14:paraId="7B0C0F5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35764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0AA0615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5</w:t>
            </w:r>
          </w:p>
        </w:tc>
        <w:tc>
          <w:tcPr>
            <w:tcW w:w="3059" w:type="dxa"/>
            <w:vAlign w:val="center"/>
          </w:tcPr>
          <w:p w14:paraId="3D9DA9B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制造业增加值占地区生产总值比重（%）</w:t>
            </w:r>
          </w:p>
        </w:tc>
        <w:tc>
          <w:tcPr>
            <w:tcW w:w="1191" w:type="dxa"/>
            <w:vAlign w:val="center"/>
          </w:tcPr>
          <w:p w14:paraId="6ADF2D1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4</w:t>
            </w:r>
            <w:r>
              <w:rPr>
                <w:rFonts w:hint="eastAsia" w:ascii="仿宋_GB2312" w:hAnsi="仿宋_GB2312" w:eastAsia="仿宋_GB2312" w:cs="仿宋_GB2312"/>
                <w:b w:val="0"/>
                <w:bCs w:val="0"/>
                <w:color w:val="auto"/>
                <w:spacing w:val="-1"/>
                <w:position w:val="2"/>
                <w:lang w:val="en-US" w:eastAsia="zh-CN"/>
              </w:rPr>
              <w:t>9.4</w:t>
            </w:r>
          </w:p>
        </w:tc>
        <w:tc>
          <w:tcPr>
            <w:tcW w:w="1147" w:type="dxa"/>
            <w:vAlign w:val="center"/>
          </w:tcPr>
          <w:p w14:paraId="613A1C8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50</w:t>
            </w:r>
          </w:p>
        </w:tc>
        <w:tc>
          <w:tcPr>
            <w:tcW w:w="1574" w:type="dxa"/>
            <w:vAlign w:val="center"/>
          </w:tcPr>
          <w:p w14:paraId="55442D1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32" w:type="dxa"/>
            <w:shd w:val="clear" w:color="auto" w:fill="auto"/>
            <w:vAlign w:val="center"/>
          </w:tcPr>
          <w:p w14:paraId="376AC3F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预期性</w:t>
            </w:r>
          </w:p>
        </w:tc>
      </w:tr>
      <w:tr w14:paraId="3E936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15" w:type="dxa"/>
            <w:gridSpan w:val="5"/>
            <w:vAlign w:val="center"/>
          </w:tcPr>
          <w:p w14:paraId="63E59E6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b w:val="0"/>
                <w:bCs w:val="0"/>
                <w:color w:val="auto"/>
                <w:spacing w:val="-1"/>
                <w:position w:val="2"/>
                <w:lang w:eastAsia="zh-CN"/>
              </w:rPr>
            </w:pPr>
            <w:r>
              <w:rPr>
                <w:rFonts w:hint="eastAsia" w:ascii="黑体" w:hAnsi="黑体" w:eastAsia="黑体" w:cs="黑体"/>
                <w:b w:val="0"/>
                <w:bCs w:val="0"/>
                <w:color w:val="auto"/>
                <w:spacing w:val="-1"/>
                <w:position w:val="2"/>
                <w:lang w:eastAsia="zh-CN"/>
              </w:rPr>
              <w:t>二、创新驱动</w:t>
            </w:r>
          </w:p>
        </w:tc>
        <w:tc>
          <w:tcPr>
            <w:tcW w:w="1532" w:type="dxa"/>
            <w:vAlign w:val="center"/>
          </w:tcPr>
          <w:p w14:paraId="5295537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p>
        </w:tc>
      </w:tr>
      <w:tr w14:paraId="03F79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33C01816">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6</w:t>
            </w:r>
          </w:p>
        </w:tc>
        <w:tc>
          <w:tcPr>
            <w:tcW w:w="3059" w:type="dxa"/>
            <w:vAlign w:val="center"/>
          </w:tcPr>
          <w:p w14:paraId="494EDF2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val="en-US" w:eastAsia="zh-CN"/>
              </w:rPr>
              <w:t>全社会</w:t>
            </w:r>
            <w:r>
              <w:rPr>
                <w:rFonts w:hint="eastAsia" w:ascii="仿宋_GB2312" w:hAnsi="仿宋_GB2312" w:eastAsia="仿宋_GB2312" w:cs="仿宋_GB2312"/>
                <w:b w:val="0"/>
                <w:bCs w:val="0"/>
                <w:color w:val="auto"/>
                <w:spacing w:val="-1"/>
                <w:position w:val="2"/>
                <w:lang w:eastAsia="zh-CN"/>
              </w:rPr>
              <w:t>研发经费投入</w:t>
            </w:r>
            <w:r>
              <w:rPr>
                <w:rFonts w:hint="eastAsia" w:ascii="仿宋_GB2312" w:hAnsi="仿宋_GB2312" w:eastAsia="仿宋_GB2312" w:cs="仿宋_GB2312"/>
                <w:b w:val="0"/>
                <w:bCs w:val="0"/>
                <w:color w:val="auto"/>
                <w:spacing w:val="-1"/>
                <w:position w:val="2"/>
                <w:lang w:val="en-US" w:eastAsia="zh-CN"/>
              </w:rPr>
              <w:t>增长</w:t>
            </w:r>
            <w:r>
              <w:rPr>
                <w:rFonts w:hint="eastAsia" w:ascii="仿宋_GB2312" w:hAnsi="仿宋_GB2312" w:eastAsia="仿宋_GB2312" w:cs="仿宋_GB2312"/>
                <w:b w:val="0"/>
                <w:bCs w:val="0"/>
                <w:color w:val="auto"/>
                <w:spacing w:val="-1"/>
                <w:position w:val="2"/>
                <w:lang w:eastAsia="zh-CN"/>
              </w:rPr>
              <w:t>（%）</w:t>
            </w:r>
          </w:p>
        </w:tc>
        <w:tc>
          <w:tcPr>
            <w:tcW w:w="1191" w:type="dxa"/>
            <w:vAlign w:val="center"/>
          </w:tcPr>
          <w:p w14:paraId="6D56E82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1</w:t>
            </w:r>
          </w:p>
        </w:tc>
        <w:tc>
          <w:tcPr>
            <w:tcW w:w="1147" w:type="dxa"/>
            <w:vAlign w:val="center"/>
          </w:tcPr>
          <w:p w14:paraId="21ABD9E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2</w:t>
            </w:r>
          </w:p>
        </w:tc>
        <w:tc>
          <w:tcPr>
            <w:tcW w:w="1574" w:type="dxa"/>
            <w:vAlign w:val="center"/>
          </w:tcPr>
          <w:p w14:paraId="52712E6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1.5左右</w:t>
            </w:r>
          </w:p>
        </w:tc>
        <w:tc>
          <w:tcPr>
            <w:tcW w:w="1532" w:type="dxa"/>
            <w:shd w:val="clear" w:color="auto" w:fill="auto"/>
            <w:vAlign w:val="center"/>
          </w:tcPr>
          <w:p w14:paraId="2046D8C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00CE4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2B19863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7</w:t>
            </w:r>
          </w:p>
        </w:tc>
        <w:tc>
          <w:tcPr>
            <w:tcW w:w="3059" w:type="dxa"/>
            <w:vAlign w:val="center"/>
          </w:tcPr>
          <w:p w14:paraId="277C219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每万人</w:t>
            </w:r>
            <w:r>
              <w:rPr>
                <w:rFonts w:hint="eastAsia" w:ascii="仿宋_GB2312" w:hAnsi="仿宋_GB2312" w:eastAsia="仿宋_GB2312" w:cs="仿宋_GB2312"/>
                <w:b w:val="0"/>
                <w:bCs w:val="0"/>
                <w:color w:val="auto"/>
                <w:spacing w:val="-1"/>
                <w:position w:val="2"/>
                <w:lang w:val="en-US" w:eastAsia="zh-CN"/>
              </w:rPr>
              <w:t>高价值</w:t>
            </w:r>
            <w:r>
              <w:rPr>
                <w:rFonts w:hint="eastAsia" w:ascii="仿宋_GB2312" w:hAnsi="仿宋_GB2312" w:eastAsia="仿宋_GB2312" w:cs="仿宋_GB2312"/>
                <w:b w:val="0"/>
                <w:bCs w:val="0"/>
                <w:color w:val="auto"/>
                <w:spacing w:val="-1"/>
                <w:position w:val="2"/>
                <w:lang w:eastAsia="zh-CN"/>
              </w:rPr>
              <w:t>发明专利拥有量（件）</w:t>
            </w:r>
          </w:p>
        </w:tc>
        <w:tc>
          <w:tcPr>
            <w:tcW w:w="1191" w:type="dxa"/>
            <w:vAlign w:val="center"/>
          </w:tcPr>
          <w:p w14:paraId="1DC949B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6</w:t>
            </w:r>
          </w:p>
        </w:tc>
        <w:tc>
          <w:tcPr>
            <w:tcW w:w="1147" w:type="dxa"/>
            <w:vAlign w:val="center"/>
          </w:tcPr>
          <w:p w14:paraId="116076E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8</w:t>
            </w:r>
          </w:p>
        </w:tc>
        <w:tc>
          <w:tcPr>
            <w:tcW w:w="1574" w:type="dxa"/>
            <w:vAlign w:val="center"/>
          </w:tcPr>
          <w:p w14:paraId="4004178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32" w:type="dxa"/>
            <w:shd w:val="clear" w:color="auto" w:fill="auto"/>
            <w:vAlign w:val="center"/>
          </w:tcPr>
          <w:p w14:paraId="39F92446">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0C47E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15" w:type="dxa"/>
            <w:gridSpan w:val="5"/>
            <w:vAlign w:val="center"/>
          </w:tcPr>
          <w:p w14:paraId="7B346A1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b w:val="0"/>
                <w:bCs w:val="0"/>
                <w:color w:val="auto"/>
                <w:spacing w:val="-1"/>
                <w:position w:val="2"/>
                <w:lang w:eastAsia="zh-CN"/>
              </w:rPr>
            </w:pPr>
            <w:r>
              <w:rPr>
                <w:rFonts w:hint="eastAsia" w:ascii="黑体" w:hAnsi="黑体" w:eastAsia="黑体" w:cs="黑体"/>
                <w:b w:val="0"/>
                <w:bCs w:val="0"/>
                <w:color w:val="auto"/>
                <w:spacing w:val="-1"/>
                <w:position w:val="2"/>
                <w:lang w:eastAsia="zh-CN"/>
              </w:rPr>
              <w:t>三、对外开放</w:t>
            </w:r>
          </w:p>
        </w:tc>
        <w:tc>
          <w:tcPr>
            <w:tcW w:w="1532" w:type="dxa"/>
            <w:vAlign w:val="center"/>
          </w:tcPr>
          <w:p w14:paraId="5C6E014E">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p>
        </w:tc>
      </w:tr>
      <w:tr w14:paraId="65F32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67AA42C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val="en-US" w:eastAsia="zh-CN"/>
              </w:rPr>
              <w:t>8</w:t>
            </w:r>
          </w:p>
        </w:tc>
        <w:tc>
          <w:tcPr>
            <w:tcW w:w="3059" w:type="dxa"/>
            <w:vAlign w:val="center"/>
          </w:tcPr>
          <w:p w14:paraId="33D2B58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进出口总额（亿元）</w:t>
            </w:r>
          </w:p>
        </w:tc>
        <w:tc>
          <w:tcPr>
            <w:tcW w:w="1191" w:type="dxa"/>
            <w:vAlign w:val="center"/>
          </w:tcPr>
          <w:p w14:paraId="7BC1DC7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15.3</w:t>
            </w:r>
          </w:p>
        </w:tc>
        <w:tc>
          <w:tcPr>
            <w:tcW w:w="1147" w:type="dxa"/>
            <w:vAlign w:val="center"/>
          </w:tcPr>
          <w:p w14:paraId="6DE5D34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30</w:t>
            </w:r>
          </w:p>
        </w:tc>
        <w:tc>
          <w:tcPr>
            <w:tcW w:w="1574" w:type="dxa"/>
            <w:vAlign w:val="center"/>
          </w:tcPr>
          <w:p w14:paraId="595F2D7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w:t>
            </w:r>
          </w:p>
        </w:tc>
        <w:tc>
          <w:tcPr>
            <w:tcW w:w="1532" w:type="dxa"/>
            <w:vAlign w:val="center"/>
          </w:tcPr>
          <w:p w14:paraId="19379AD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预期性</w:t>
            </w:r>
          </w:p>
        </w:tc>
      </w:tr>
      <w:tr w14:paraId="65603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15" w:type="dxa"/>
            <w:gridSpan w:val="5"/>
            <w:vAlign w:val="center"/>
          </w:tcPr>
          <w:p w14:paraId="3539409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b w:val="0"/>
                <w:bCs w:val="0"/>
                <w:color w:val="auto"/>
                <w:spacing w:val="-1"/>
                <w:position w:val="2"/>
                <w:lang w:eastAsia="zh-CN"/>
              </w:rPr>
            </w:pPr>
            <w:r>
              <w:rPr>
                <w:rFonts w:hint="eastAsia" w:ascii="黑体" w:hAnsi="黑体" w:eastAsia="黑体" w:cs="黑体"/>
                <w:b w:val="0"/>
                <w:bCs w:val="0"/>
                <w:color w:val="auto"/>
                <w:spacing w:val="-1"/>
                <w:position w:val="2"/>
                <w:lang w:eastAsia="zh-CN"/>
              </w:rPr>
              <w:t>四、民生福祉</w:t>
            </w:r>
          </w:p>
        </w:tc>
        <w:tc>
          <w:tcPr>
            <w:tcW w:w="1532" w:type="dxa"/>
            <w:vAlign w:val="center"/>
          </w:tcPr>
          <w:p w14:paraId="5D1218E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p>
        </w:tc>
      </w:tr>
      <w:tr w14:paraId="7F129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08A79DF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val="en-US" w:eastAsia="zh-CN"/>
              </w:rPr>
              <w:t>9</w:t>
            </w:r>
          </w:p>
        </w:tc>
        <w:tc>
          <w:tcPr>
            <w:tcW w:w="3059" w:type="dxa"/>
            <w:vAlign w:val="center"/>
          </w:tcPr>
          <w:p w14:paraId="5989107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城镇新增就业人数（万人）</w:t>
            </w:r>
          </w:p>
        </w:tc>
        <w:tc>
          <w:tcPr>
            <w:tcW w:w="1191" w:type="dxa"/>
            <w:vAlign w:val="center"/>
          </w:tcPr>
          <w:p w14:paraId="42EC030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0.4</w:t>
            </w:r>
          </w:p>
        </w:tc>
        <w:tc>
          <w:tcPr>
            <w:tcW w:w="1147" w:type="dxa"/>
            <w:vAlign w:val="center"/>
          </w:tcPr>
          <w:p w14:paraId="1BADA0F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2</w:t>
            </w:r>
          </w:p>
        </w:tc>
        <w:tc>
          <w:tcPr>
            <w:tcW w:w="1574" w:type="dxa"/>
            <w:vAlign w:val="center"/>
          </w:tcPr>
          <w:p w14:paraId="1287097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1.5以上</w:t>
            </w:r>
          </w:p>
        </w:tc>
        <w:tc>
          <w:tcPr>
            <w:tcW w:w="1532" w:type="dxa"/>
            <w:shd w:val="clear" w:color="auto" w:fill="auto"/>
            <w:vAlign w:val="center"/>
          </w:tcPr>
          <w:p w14:paraId="0344BCE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295D7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15636F2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0</w:t>
            </w:r>
          </w:p>
        </w:tc>
        <w:tc>
          <w:tcPr>
            <w:tcW w:w="3059" w:type="dxa"/>
            <w:vAlign w:val="center"/>
          </w:tcPr>
          <w:p w14:paraId="50E8A99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城镇调查失业率（%）</w:t>
            </w:r>
          </w:p>
        </w:tc>
        <w:tc>
          <w:tcPr>
            <w:tcW w:w="1191" w:type="dxa"/>
            <w:vAlign w:val="center"/>
          </w:tcPr>
          <w:p w14:paraId="3D7914A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147" w:type="dxa"/>
            <w:vAlign w:val="center"/>
          </w:tcPr>
          <w:p w14:paraId="24B31DF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574" w:type="dxa"/>
            <w:vAlign w:val="center"/>
          </w:tcPr>
          <w:p w14:paraId="0B6989C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532" w:type="dxa"/>
            <w:shd w:val="clear" w:color="auto" w:fill="auto"/>
            <w:vAlign w:val="center"/>
          </w:tcPr>
          <w:p w14:paraId="7FD12C3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281A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49306DC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1</w:t>
            </w:r>
          </w:p>
        </w:tc>
        <w:tc>
          <w:tcPr>
            <w:tcW w:w="3059" w:type="dxa"/>
            <w:vAlign w:val="center"/>
          </w:tcPr>
          <w:p w14:paraId="3380068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居民人均可支配收入增长（%）</w:t>
            </w:r>
          </w:p>
        </w:tc>
        <w:tc>
          <w:tcPr>
            <w:tcW w:w="1191" w:type="dxa"/>
            <w:vAlign w:val="center"/>
          </w:tcPr>
          <w:p w14:paraId="09BD561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5.9</w:t>
            </w:r>
          </w:p>
        </w:tc>
        <w:tc>
          <w:tcPr>
            <w:tcW w:w="1147" w:type="dxa"/>
            <w:vAlign w:val="center"/>
          </w:tcPr>
          <w:p w14:paraId="067D7D7E">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6</w:t>
            </w:r>
          </w:p>
        </w:tc>
        <w:tc>
          <w:tcPr>
            <w:tcW w:w="1574" w:type="dxa"/>
            <w:vAlign w:val="center"/>
          </w:tcPr>
          <w:p w14:paraId="66FE976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5.5</w:t>
            </w:r>
          </w:p>
        </w:tc>
        <w:tc>
          <w:tcPr>
            <w:tcW w:w="1532" w:type="dxa"/>
            <w:shd w:val="clear" w:color="auto" w:fill="auto"/>
            <w:vAlign w:val="center"/>
          </w:tcPr>
          <w:p w14:paraId="61460D4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16740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03CD7A6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2</w:t>
            </w:r>
          </w:p>
        </w:tc>
        <w:tc>
          <w:tcPr>
            <w:tcW w:w="3059" w:type="dxa"/>
            <w:vAlign w:val="center"/>
          </w:tcPr>
          <w:p w14:paraId="2F7B272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劳动年龄人口平均受教育年限（</w:t>
            </w:r>
            <w:r>
              <w:rPr>
                <w:rFonts w:hint="eastAsia" w:ascii="仿宋_GB2312" w:hAnsi="仿宋_GB2312" w:eastAsia="仿宋_GB2312" w:cs="仿宋_GB2312"/>
                <w:b w:val="0"/>
                <w:bCs w:val="0"/>
                <w:color w:val="auto"/>
                <w:spacing w:val="-1"/>
                <w:position w:val="2"/>
                <w:lang w:val="en-US" w:eastAsia="zh-CN"/>
              </w:rPr>
              <w:t>年</w:t>
            </w:r>
            <w:r>
              <w:rPr>
                <w:rFonts w:hint="eastAsia" w:ascii="仿宋_GB2312" w:hAnsi="仿宋_GB2312" w:eastAsia="仿宋_GB2312" w:cs="仿宋_GB2312"/>
                <w:b w:val="0"/>
                <w:bCs w:val="0"/>
                <w:color w:val="auto"/>
                <w:spacing w:val="-1"/>
                <w:position w:val="2"/>
                <w:lang w:eastAsia="zh-CN"/>
              </w:rPr>
              <w:t>）</w:t>
            </w:r>
          </w:p>
        </w:tc>
        <w:tc>
          <w:tcPr>
            <w:tcW w:w="1191" w:type="dxa"/>
            <w:vAlign w:val="center"/>
          </w:tcPr>
          <w:p w14:paraId="2A0959B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147" w:type="dxa"/>
            <w:vAlign w:val="center"/>
          </w:tcPr>
          <w:p w14:paraId="0468552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574" w:type="dxa"/>
            <w:vAlign w:val="center"/>
          </w:tcPr>
          <w:p w14:paraId="0C880B2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与省市一致</w:t>
            </w:r>
          </w:p>
        </w:tc>
        <w:tc>
          <w:tcPr>
            <w:tcW w:w="1532" w:type="dxa"/>
            <w:shd w:val="clear" w:color="auto" w:fill="auto"/>
            <w:vAlign w:val="center"/>
          </w:tcPr>
          <w:p w14:paraId="1AB625D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预期性</w:t>
            </w:r>
          </w:p>
        </w:tc>
      </w:tr>
      <w:tr w14:paraId="66C98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344" w:type="dxa"/>
            <w:vAlign w:val="center"/>
          </w:tcPr>
          <w:p w14:paraId="27FE0F4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3</w:t>
            </w:r>
          </w:p>
        </w:tc>
        <w:tc>
          <w:tcPr>
            <w:tcW w:w="3059" w:type="dxa"/>
            <w:vAlign w:val="center"/>
          </w:tcPr>
          <w:p w14:paraId="702AA84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每千人口拥有执业医师数（人）</w:t>
            </w:r>
          </w:p>
        </w:tc>
        <w:tc>
          <w:tcPr>
            <w:tcW w:w="1191" w:type="dxa"/>
            <w:vAlign w:val="center"/>
          </w:tcPr>
          <w:p w14:paraId="7CF8299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2.6</w:t>
            </w:r>
          </w:p>
        </w:tc>
        <w:tc>
          <w:tcPr>
            <w:tcW w:w="1147" w:type="dxa"/>
            <w:vAlign w:val="center"/>
          </w:tcPr>
          <w:p w14:paraId="7211A10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3.7</w:t>
            </w:r>
          </w:p>
        </w:tc>
        <w:tc>
          <w:tcPr>
            <w:tcW w:w="1574" w:type="dxa"/>
            <w:vAlign w:val="center"/>
          </w:tcPr>
          <w:p w14:paraId="0EA76F1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32" w:type="dxa"/>
            <w:shd w:val="clear" w:color="auto" w:fill="auto"/>
            <w:vAlign w:val="center"/>
          </w:tcPr>
          <w:p w14:paraId="5D45D8D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3F49E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344" w:type="dxa"/>
            <w:vAlign w:val="center"/>
          </w:tcPr>
          <w:p w14:paraId="0A0B4EF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14</w:t>
            </w:r>
          </w:p>
        </w:tc>
        <w:tc>
          <w:tcPr>
            <w:tcW w:w="3059" w:type="dxa"/>
            <w:vAlign w:val="center"/>
          </w:tcPr>
          <w:p w14:paraId="7A9C7A1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rPr>
              <w:t>每千人口拥有注册护士数（人）</w:t>
            </w:r>
          </w:p>
        </w:tc>
        <w:tc>
          <w:tcPr>
            <w:tcW w:w="1191" w:type="dxa"/>
            <w:vAlign w:val="center"/>
          </w:tcPr>
          <w:p w14:paraId="16604B9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2.5</w:t>
            </w:r>
          </w:p>
        </w:tc>
        <w:tc>
          <w:tcPr>
            <w:tcW w:w="1147" w:type="dxa"/>
            <w:vAlign w:val="center"/>
          </w:tcPr>
          <w:p w14:paraId="333957E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5.1</w:t>
            </w:r>
          </w:p>
        </w:tc>
        <w:tc>
          <w:tcPr>
            <w:tcW w:w="1574" w:type="dxa"/>
            <w:vAlign w:val="center"/>
          </w:tcPr>
          <w:p w14:paraId="0CBB1E4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32" w:type="dxa"/>
            <w:shd w:val="clear" w:color="auto" w:fill="auto"/>
            <w:vAlign w:val="center"/>
          </w:tcPr>
          <w:p w14:paraId="0A0D95F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预期性</w:t>
            </w:r>
          </w:p>
        </w:tc>
      </w:tr>
      <w:tr w14:paraId="5A7A2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344" w:type="dxa"/>
            <w:vAlign w:val="center"/>
          </w:tcPr>
          <w:p w14:paraId="0ECFD25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5</w:t>
            </w:r>
          </w:p>
        </w:tc>
        <w:tc>
          <w:tcPr>
            <w:tcW w:w="3059" w:type="dxa"/>
            <w:vAlign w:val="center"/>
          </w:tcPr>
          <w:p w14:paraId="529C3FC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3岁以下婴幼儿</w:t>
            </w:r>
            <w:r>
              <w:rPr>
                <w:rFonts w:hint="eastAsia" w:ascii="仿宋_GB2312" w:hAnsi="仿宋_GB2312" w:eastAsia="仿宋_GB2312" w:cs="仿宋_GB2312"/>
                <w:b w:val="0"/>
                <w:bCs w:val="0"/>
                <w:color w:val="auto"/>
                <w:spacing w:val="-1"/>
                <w:position w:val="2"/>
                <w:lang w:val="en-US" w:eastAsia="zh-CN"/>
              </w:rPr>
              <w:t>入</w:t>
            </w:r>
            <w:r>
              <w:rPr>
                <w:rFonts w:hint="eastAsia" w:ascii="仿宋_GB2312" w:hAnsi="仿宋_GB2312" w:eastAsia="仿宋_GB2312" w:cs="仿宋_GB2312"/>
                <w:b w:val="0"/>
                <w:bCs w:val="0"/>
                <w:color w:val="auto"/>
                <w:spacing w:val="-1"/>
                <w:position w:val="2"/>
                <w:lang w:eastAsia="zh-CN"/>
              </w:rPr>
              <w:t>托</w:t>
            </w:r>
            <w:r>
              <w:rPr>
                <w:rFonts w:hint="eastAsia" w:ascii="仿宋_GB2312" w:hAnsi="仿宋_GB2312" w:eastAsia="仿宋_GB2312" w:cs="仿宋_GB2312"/>
                <w:b w:val="0"/>
                <w:bCs w:val="0"/>
                <w:color w:val="auto"/>
                <w:spacing w:val="-1"/>
                <w:position w:val="2"/>
                <w:lang w:val="en-US" w:eastAsia="zh-CN"/>
              </w:rPr>
              <w:t>率提高</w:t>
            </w:r>
          </w:p>
        </w:tc>
        <w:tc>
          <w:tcPr>
            <w:tcW w:w="1191" w:type="dxa"/>
            <w:vAlign w:val="center"/>
          </w:tcPr>
          <w:p w14:paraId="67C2643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147" w:type="dxa"/>
            <w:vAlign w:val="center"/>
          </w:tcPr>
          <w:p w14:paraId="1ACD604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74" w:type="dxa"/>
            <w:vAlign w:val="center"/>
          </w:tcPr>
          <w:p w14:paraId="16CDE29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6</w:t>
            </w:r>
          </w:p>
        </w:tc>
        <w:tc>
          <w:tcPr>
            <w:tcW w:w="1532" w:type="dxa"/>
            <w:shd w:val="clear" w:color="auto" w:fill="auto"/>
            <w:vAlign w:val="center"/>
          </w:tcPr>
          <w:p w14:paraId="757E5F0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71A87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344" w:type="dxa"/>
            <w:vAlign w:val="center"/>
          </w:tcPr>
          <w:p w14:paraId="160D960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6</w:t>
            </w:r>
          </w:p>
        </w:tc>
        <w:tc>
          <w:tcPr>
            <w:tcW w:w="3059" w:type="dxa"/>
            <w:vAlign w:val="center"/>
          </w:tcPr>
          <w:p w14:paraId="48CA977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人均预期寿命（</w:t>
            </w:r>
            <w:r>
              <w:rPr>
                <w:rFonts w:hint="eastAsia" w:ascii="仿宋_GB2312" w:hAnsi="仿宋_GB2312" w:eastAsia="仿宋_GB2312" w:cs="仿宋_GB2312"/>
                <w:b w:val="0"/>
                <w:bCs w:val="0"/>
                <w:color w:val="auto"/>
                <w:spacing w:val="-1"/>
                <w:position w:val="2"/>
                <w:lang w:val="en-US" w:eastAsia="zh-CN"/>
              </w:rPr>
              <w:t>岁</w:t>
            </w:r>
            <w:r>
              <w:rPr>
                <w:rFonts w:hint="eastAsia" w:ascii="仿宋_GB2312" w:hAnsi="仿宋_GB2312" w:eastAsia="仿宋_GB2312" w:cs="仿宋_GB2312"/>
                <w:b w:val="0"/>
                <w:bCs w:val="0"/>
                <w:color w:val="auto"/>
                <w:spacing w:val="-1"/>
                <w:position w:val="2"/>
                <w:lang w:eastAsia="zh-CN"/>
              </w:rPr>
              <w:t>）</w:t>
            </w:r>
          </w:p>
        </w:tc>
        <w:tc>
          <w:tcPr>
            <w:tcW w:w="1191" w:type="dxa"/>
            <w:vAlign w:val="center"/>
          </w:tcPr>
          <w:p w14:paraId="5BC539B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77.7</w:t>
            </w:r>
          </w:p>
        </w:tc>
        <w:tc>
          <w:tcPr>
            <w:tcW w:w="1147" w:type="dxa"/>
            <w:vAlign w:val="center"/>
          </w:tcPr>
          <w:p w14:paraId="1B8F565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val="en-US" w:eastAsia="zh-CN"/>
              </w:rPr>
              <w:t>80左右</w:t>
            </w:r>
          </w:p>
        </w:tc>
        <w:tc>
          <w:tcPr>
            <w:tcW w:w="1574" w:type="dxa"/>
            <w:vAlign w:val="center"/>
          </w:tcPr>
          <w:p w14:paraId="51E5095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32" w:type="dxa"/>
            <w:shd w:val="clear" w:color="auto" w:fill="auto"/>
            <w:vAlign w:val="center"/>
          </w:tcPr>
          <w:p w14:paraId="0C4F3EE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4D584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15" w:type="dxa"/>
            <w:gridSpan w:val="5"/>
            <w:vAlign w:val="center"/>
          </w:tcPr>
          <w:p w14:paraId="2F1626C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b w:val="0"/>
                <w:bCs w:val="0"/>
                <w:color w:val="auto"/>
                <w:spacing w:val="-1"/>
                <w:position w:val="2"/>
                <w:lang w:eastAsia="zh-CN"/>
              </w:rPr>
            </w:pPr>
            <w:r>
              <w:rPr>
                <w:rFonts w:hint="eastAsia" w:ascii="黑体" w:hAnsi="黑体" w:eastAsia="黑体" w:cs="黑体"/>
                <w:b w:val="0"/>
                <w:bCs w:val="0"/>
                <w:color w:val="auto"/>
                <w:spacing w:val="-1"/>
                <w:position w:val="2"/>
                <w:lang w:eastAsia="zh-CN"/>
              </w:rPr>
              <w:t>五、绿色低碳</w:t>
            </w:r>
          </w:p>
        </w:tc>
        <w:tc>
          <w:tcPr>
            <w:tcW w:w="1532" w:type="dxa"/>
            <w:vAlign w:val="center"/>
          </w:tcPr>
          <w:p w14:paraId="61F0440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p>
        </w:tc>
      </w:tr>
      <w:tr w14:paraId="5D7B4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117059F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7</w:t>
            </w:r>
          </w:p>
        </w:tc>
        <w:tc>
          <w:tcPr>
            <w:tcW w:w="3059" w:type="dxa"/>
            <w:vAlign w:val="center"/>
          </w:tcPr>
          <w:p w14:paraId="274BFA6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单位地区生产总值二氧化碳排放降低</w:t>
            </w:r>
            <w:r>
              <w:rPr>
                <w:rFonts w:hint="eastAsia" w:ascii="仿宋_GB2312" w:hAnsi="仿宋_GB2312" w:eastAsia="仿宋_GB2312" w:cs="仿宋_GB2312"/>
                <w:b w:val="0"/>
                <w:bCs w:val="0"/>
                <w:color w:val="auto"/>
                <w:spacing w:val="-1"/>
                <w:position w:val="2"/>
                <w:lang w:val="en-US" w:eastAsia="zh-CN"/>
              </w:rPr>
              <w:t>（%）</w:t>
            </w:r>
          </w:p>
        </w:tc>
        <w:tc>
          <w:tcPr>
            <w:tcW w:w="1191" w:type="dxa"/>
            <w:vAlign w:val="center"/>
          </w:tcPr>
          <w:p w14:paraId="74FF5B4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147" w:type="dxa"/>
            <w:vAlign w:val="center"/>
          </w:tcPr>
          <w:p w14:paraId="14E9162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持平</w:t>
            </w:r>
          </w:p>
        </w:tc>
        <w:tc>
          <w:tcPr>
            <w:tcW w:w="1574" w:type="dxa"/>
            <w:vAlign w:val="center"/>
          </w:tcPr>
          <w:p w14:paraId="1AEA289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完成市定目标</w:t>
            </w:r>
          </w:p>
        </w:tc>
        <w:tc>
          <w:tcPr>
            <w:tcW w:w="1532" w:type="dxa"/>
            <w:shd w:val="clear" w:color="auto" w:fill="auto"/>
            <w:vAlign w:val="center"/>
          </w:tcPr>
          <w:p w14:paraId="6ABBFF3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eastAsia="zh-CN"/>
              </w:rPr>
              <w:t>约束性</w:t>
            </w:r>
          </w:p>
        </w:tc>
      </w:tr>
      <w:tr w14:paraId="6C60D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0312A3F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w:t>
            </w:r>
            <w:r>
              <w:rPr>
                <w:rFonts w:hint="eastAsia" w:ascii="仿宋_GB2312" w:hAnsi="仿宋_GB2312" w:eastAsia="仿宋_GB2312" w:cs="仿宋_GB2312"/>
                <w:b w:val="0"/>
                <w:bCs w:val="0"/>
                <w:color w:val="auto"/>
                <w:spacing w:val="-1"/>
                <w:position w:val="2"/>
                <w:lang w:val="en-US" w:eastAsia="zh-CN"/>
              </w:rPr>
              <w:t>8</w:t>
            </w:r>
          </w:p>
        </w:tc>
        <w:tc>
          <w:tcPr>
            <w:tcW w:w="3059" w:type="dxa"/>
            <w:vAlign w:val="center"/>
          </w:tcPr>
          <w:p w14:paraId="37E2869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非化石能源占能源消费总量比重（%）</w:t>
            </w:r>
          </w:p>
        </w:tc>
        <w:tc>
          <w:tcPr>
            <w:tcW w:w="1191" w:type="dxa"/>
            <w:vAlign w:val="center"/>
          </w:tcPr>
          <w:p w14:paraId="76B3E816">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147" w:type="dxa"/>
            <w:vAlign w:val="center"/>
          </w:tcPr>
          <w:p w14:paraId="67E2CEE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574" w:type="dxa"/>
            <w:vAlign w:val="center"/>
          </w:tcPr>
          <w:p w14:paraId="2EEDFD0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w:t>
            </w:r>
          </w:p>
        </w:tc>
        <w:tc>
          <w:tcPr>
            <w:tcW w:w="1532" w:type="dxa"/>
            <w:shd w:val="clear" w:color="auto" w:fill="auto"/>
            <w:vAlign w:val="center"/>
          </w:tcPr>
          <w:p w14:paraId="157E4B11">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约束性</w:t>
            </w:r>
          </w:p>
        </w:tc>
      </w:tr>
      <w:tr w14:paraId="71E50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508BE89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19</w:t>
            </w:r>
          </w:p>
        </w:tc>
        <w:tc>
          <w:tcPr>
            <w:tcW w:w="3059" w:type="dxa"/>
            <w:vAlign w:val="center"/>
          </w:tcPr>
          <w:p w14:paraId="2B0E0388">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val="en-US" w:eastAsia="zh-CN"/>
              </w:rPr>
              <w:t>优良</w:t>
            </w:r>
            <w:r>
              <w:rPr>
                <w:rFonts w:hint="eastAsia" w:ascii="仿宋_GB2312" w:hAnsi="仿宋_GB2312" w:eastAsia="仿宋_GB2312" w:cs="仿宋_GB2312"/>
                <w:b w:val="0"/>
                <w:bCs w:val="0"/>
                <w:color w:val="auto"/>
                <w:spacing w:val="-1"/>
                <w:position w:val="2"/>
                <w:lang w:eastAsia="zh-CN"/>
              </w:rPr>
              <w:t>水体比例（%）</w:t>
            </w:r>
          </w:p>
        </w:tc>
        <w:tc>
          <w:tcPr>
            <w:tcW w:w="1191" w:type="dxa"/>
            <w:vAlign w:val="center"/>
          </w:tcPr>
          <w:p w14:paraId="54756DCA">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完成市定目标</w:t>
            </w:r>
          </w:p>
        </w:tc>
        <w:tc>
          <w:tcPr>
            <w:tcW w:w="1147" w:type="dxa"/>
            <w:vAlign w:val="center"/>
          </w:tcPr>
          <w:p w14:paraId="1E2F05DB">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100</w:t>
            </w:r>
          </w:p>
        </w:tc>
        <w:tc>
          <w:tcPr>
            <w:tcW w:w="1574" w:type="dxa"/>
            <w:vAlign w:val="center"/>
          </w:tcPr>
          <w:p w14:paraId="0B0F15A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w:t>
            </w:r>
          </w:p>
        </w:tc>
        <w:tc>
          <w:tcPr>
            <w:tcW w:w="1532" w:type="dxa"/>
            <w:shd w:val="clear" w:color="auto" w:fill="auto"/>
            <w:vAlign w:val="center"/>
          </w:tcPr>
          <w:p w14:paraId="1066E2F5">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约束性</w:t>
            </w:r>
          </w:p>
        </w:tc>
      </w:tr>
      <w:tr w14:paraId="574C1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44" w:type="dxa"/>
            <w:vAlign w:val="center"/>
          </w:tcPr>
          <w:p w14:paraId="6A116932">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20</w:t>
            </w:r>
          </w:p>
        </w:tc>
        <w:tc>
          <w:tcPr>
            <w:tcW w:w="3059" w:type="dxa"/>
            <w:vAlign w:val="center"/>
          </w:tcPr>
          <w:p w14:paraId="0613C94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森林覆盖率（%）</w:t>
            </w:r>
          </w:p>
        </w:tc>
        <w:tc>
          <w:tcPr>
            <w:tcW w:w="1191" w:type="dxa"/>
            <w:vAlign w:val="center"/>
          </w:tcPr>
          <w:p w14:paraId="0671747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7.14</w:t>
            </w:r>
          </w:p>
        </w:tc>
        <w:tc>
          <w:tcPr>
            <w:tcW w:w="1147" w:type="dxa"/>
            <w:vAlign w:val="center"/>
          </w:tcPr>
          <w:p w14:paraId="1FF0D44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7.14</w:t>
            </w:r>
          </w:p>
        </w:tc>
        <w:tc>
          <w:tcPr>
            <w:tcW w:w="1574" w:type="dxa"/>
            <w:vAlign w:val="center"/>
          </w:tcPr>
          <w:p w14:paraId="5137927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w:t>
            </w:r>
          </w:p>
        </w:tc>
        <w:tc>
          <w:tcPr>
            <w:tcW w:w="1532" w:type="dxa"/>
            <w:shd w:val="clear" w:color="auto" w:fill="auto"/>
            <w:vAlign w:val="center"/>
          </w:tcPr>
          <w:tbl>
            <w:tblPr>
              <w:tblStyle w:val="63"/>
              <w:tblW w:w="503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32"/>
            </w:tblGrid>
            <w:tr w14:paraId="47456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1" w:type="pct"/>
                  <w:vAlign w:val="center"/>
                </w:tcPr>
                <w:p w14:paraId="2DA4451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预期性</w:t>
                  </w:r>
                </w:p>
              </w:tc>
            </w:tr>
          </w:tbl>
          <w:p w14:paraId="7D1B117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p>
        </w:tc>
      </w:tr>
      <w:tr w14:paraId="403AD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15" w:type="dxa"/>
            <w:gridSpan w:val="5"/>
            <w:vAlign w:val="center"/>
          </w:tcPr>
          <w:p w14:paraId="7DF4A56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baseline"/>
              <w:rPr>
                <w:rFonts w:hint="eastAsia" w:ascii="仿宋_GB2312" w:hAnsi="仿宋_GB2312" w:eastAsia="仿宋_GB2312" w:cs="仿宋_GB2312"/>
                <w:b w:val="0"/>
                <w:bCs w:val="0"/>
                <w:color w:val="auto"/>
                <w:spacing w:val="-1"/>
                <w:position w:val="2"/>
                <w:lang w:eastAsia="zh-CN"/>
              </w:rPr>
            </w:pPr>
            <w:r>
              <w:rPr>
                <w:rFonts w:hint="eastAsia" w:ascii="黑体" w:hAnsi="黑体" w:eastAsia="黑体" w:cs="黑体"/>
                <w:b w:val="0"/>
                <w:bCs w:val="0"/>
                <w:color w:val="auto"/>
                <w:spacing w:val="-1"/>
                <w:position w:val="2"/>
                <w:lang w:eastAsia="zh-CN"/>
              </w:rPr>
              <w:t>六、安全保障</w:t>
            </w:r>
          </w:p>
        </w:tc>
        <w:tc>
          <w:tcPr>
            <w:tcW w:w="1532" w:type="dxa"/>
            <w:vAlign w:val="center"/>
          </w:tcPr>
          <w:p w14:paraId="0DFED110">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p>
        </w:tc>
      </w:tr>
      <w:tr w14:paraId="42FF8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22669C3F">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zh-CN"/>
              </w:rPr>
            </w:pPr>
            <w:r>
              <w:rPr>
                <w:rFonts w:hint="eastAsia" w:ascii="仿宋_GB2312" w:hAnsi="仿宋_GB2312" w:eastAsia="仿宋_GB2312" w:cs="仿宋_GB2312"/>
                <w:b w:val="0"/>
                <w:bCs w:val="0"/>
                <w:color w:val="auto"/>
                <w:spacing w:val="-1"/>
                <w:position w:val="2"/>
                <w:lang w:val="en-US" w:eastAsia="zh-CN"/>
              </w:rPr>
              <w:t>21</w:t>
            </w:r>
          </w:p>
        </w:tc>
        <w:tc>
          <w:tcPr>
            <w:tcW w:w="3059" w:type="dxa"/>
            <w:vAlign w:val="center"/>
          </w:tcPr>
          <w:p w14:paraId="1B57D9BC">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粮食综合生产能力（亿斤）</w:t>
            </w:r>
          </w:p>
        </w:tc>
        <w:tc>
          <w:tcPr>
            <w:tcW w:w="1191" w:type="dxa"/>
            <w:vAlign w:val="center"/>
          </w:tcPr>
          <w:p w14:paraId="3B8AA099">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1.65</w:t>
            </w:r>
          </w:p>
        </w:tc>
        <w:tc>
          <w:tcPr>
            <w:tcW w:w="1147" w:type="dxa"/>
            <w:vAlign w:val="center"/>
          </w:tcPr>
          <w:p w14:paraId="4900832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1.65</w:t>
            </w:r>
          </w:p>
        </w:tc>
        <w:tc>
          <w:tcPr>
            <w:tcW w:w="1574" w:type="dxa"/>
            <w:shd w:val="clear" w:color="auto" w:fill="auto"/>
            <w:vAlign w:val="center"/>
          </w:tcPr>
          <w:p w14:paraId="608B066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sz w:val="24"/>
                <w:szCs w:val="24"/>
                <w:lang w:val="en-US" w:eastAsia="zh-CN" w:bidi="ar-SA"/>
              </w:rPr>
            </w:pPr>
            <w:r>
              <w:rPr>
                <w:rFonts w:hint="eastAsia" w:ascii="仿宋_GB2312" w:hAnsi="仿宋_GB2312" w:eastAsia="仿宋_GB2312" w:cs="仿宋_GB2312"/>
                <w:b w:val="0"/>
                <w:bCs w:val="0"/>
                <w:color w:val="auto"/>
                <w:spacing w:val="-1"/>
                <w:position w:val="2"/>
                <w:lang w:val="en-US" w:eastAsia="zh-CN"/>
              </w:rPr>
              <w:t>—</w:t>
            </w:r>
          </w:p>
        </w:tc>
        <w:tc>
          <w:tcPr>
            <w:tcW w:w="1532" w:type="dxa"/>
            <w:shd w:val="clear" w:color="auto" w:fill="auto"/>
            <w:vAlign w:val="center"/>
          </w:tcPr>
          <w:p w14:paraId="58F6C83D">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tr w14:paraId="11E2E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4" w:type="dxa"/>
            <w:vAlign w:val="center"/>
          </w:tcPr>
          <w:p w14:paraId="4C78D9C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2</w:t>
            </w:r>
            <w:r>
              <w:rPr>
                <w:rFonts w:hint="eastAsia" w:ascii="仿宋_GB2312" w:hAnsi="仿宋_GB2312" w:eastAsia="仿宋_GB2312" w:cs="仿宋_GB2312"/>
                <w:b w:val="0"/>
                <w:bCs w:val="0"/>
                <w:color w:val="auto"/>
                <w:spacing w:val="-1"/>
                <w:position w:val="2"/>
                <w:lang w:val="en-US" w:eastAsia="zh-CN"/>
              </w:rPr>
              <w:t>2</w:t>
            </w:r>
          </w:p>
        </w:tc>
        <w:tc>
          <w:tcPr>
            <w:tcW w:w="3059" w:type="dxa"/>
            <w:vAlign w:val="center"/>
          </w:tcPr>
          <w:p w14:paraId="5D7061A3">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能源综合生产能力（</w:t>
            </w:r>
            <w:r>
              <w:rPr>
                <w:rFonts w:hint="eastAsia" w:ascii="仿宋_GB2312" w:hAnsi="仿宋_GB2312" w:eastAsia="仿宋_GB2312" w:cs="仿宋_GB2312"/>
                <w:b w:val="0"/>
                <w:bCs w:val="0"/>
                <w:color w:val="auto"/>
                <w:spacing w:val="-1"/>
                <w:position w:val="2"/>
                <w:lang w:val="en-US" w:eastAsia="zh-CN"/>
              </w:rPr>
              <w:t>万</w:t>
            </w:r>
            <w:r>
              <w:rPr>
                <w:rFonts w:hint="eastAsia" w:ascii="仿宋_GB2312" w:hAnsi="仿宋_GB2312" w:eastAsia="仿宋_GB2312" w:cs="仿宋_GB2312"/>
                <w:b w:val="0"/>
                <w:bCs w:val="0"/>
                <w:color w:val="auto"/>
                <w:spacing w:val="-1"/>
                <w:position w:val="2"/>
                <w:lang w:eastAsia="zh-CN"/>
              </w:rPr>
              <w:t>吨标准煤）</w:t>
            </w:r>
          </w:p>
        </w:tc>
        <w:tc>
          <w:tcPr>
            <w:tcW w:w="1191" w:type="dxa"/>
            <w:vAlign w:val="center"/>
          </w:tcPr>
          <w:p w14:paraId="097C0E3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147" w:type="dxa"/>
            <w:vAlign w:val="center"/>
          </w:tcPr>
          <w:p w14:paraId="7D46E814">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eastAsia="zh-CN"/>
              </w:rPr>
            </w:pPr>
            <w:r>
              <w:rPr>
                <w:rFonts w:hint="eastAsia" w:ascii="仿宋_GB2312" w:hAnsi="仿宋_GB2312" w:eastAsia="仿宋_GB2312" w:cs="仿宋_GB2312"/>
                <w:b w:val="0"/>
                <w:bCs w:val="0"/>
                <w:color w:val="auto"/>
                <w:spacing w:val="-1"/>
                <w:position w:val="2"/>
                <w:lang w:eastAsia="zh-CN"/>
              </w:rPr>
              <w:t>与省市一致</w:t>
            </w:r>
          </w:p>
        </w:tc>
        <w:tc>
          <w:tcPr>
            <w:tcW w:w="1574" w:type="dxa"/>
            <w:shd w:val="clear" w:color="auto" w:fill="auto"/>
            <w:vAlign w:val="center"/>
          </w:tcPr>
          <w:p w14:paraId="068CB2E7">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sz w:val="24"/>
                <w:szCs w:val="24"/>
                <w:lang w:val="en-US" w:eastAsia="zh-CN" w:bidi="ar-SA"/>
              </w:rPr>
            </w:pPr>
            <w:r>
              <w:rPr>
                <w:rFonts w:hint="eastAsia" w:ascii="仿宋_GB2312" w:hAnsi="仿宋_GB2312" w:eastAsia="仿宋_GB2312" w:cs="仿宋_GB2312"/>
                <w:b w:val="0"/>
                <w:bCs w:val="0"/>
                <w:color w:val="auto"/>
                <w:spacing w:val="-1"/>
                <w:position w:val="2"/>
                <w:lang w:val="en-US" w:eastAsia="zh-CN"/>
              </w:rPr>
              <w:t>—</w:t>
            </w:r>
          </w:p>
        </w:tc>
        <w:tc>
          <w:tcPr>
            <w:tcW w:w="1532" w:type="dxa"/>
            <w:shd w:val="clear" w:color="auto" w:fill="auto"/>
            <w:vAlign w:val="center"/>
          </w:tcPr>
          <w:p w14:paraId="0DBD2AB6">
            <w:pPr>
              <w:pStyle w:val="6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_GB2312" w:hAnsi="仿宋_GB2312" w:eastAsia="仿宋_GB2312" w:cs="仿宋_GB2312"/>
                <w:b w:val="0"/>
                <w:bCs w:val="0"/>
                <w:color w:val="auto"/>
                <w:spacing w:val="-1"/>
                <w:position w:val="2"/>
                <w:lang w:val="en-US" w:eastAsia="en-US"/>
              </w:rPr>
            </w:pPr>
            <w:r>
              <w:rPr>
                <w:rFonts w:hint="eastAsia" w:ascii="仿宋_GB2312" w:hAnsi="仿宋_GB2312" w:eastAsia="仿宋_GB2312" w:cs="仿宋_GB2312"/>
                <w:b w:val="0"/>
                <w:bCs w:val="0"/>
                <w:color w:val="auto"/>
                <w:spacing w:val="-1"/>
                <w:position w:val="2"/>
                <w:lang w:eastAsia="zh-CN"/>
              </w:rPr>
              <w:t>预期性</w:t>
            </w:r>
          </w:p>
        </w:tc>
      </w:tr>
      <w:bookmarkEnd w:id="224"/>
    </w:tbl>
    <w:p w14:paraId="47DD35E1">
      <w:pPr>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仿宋_GB2312" w:hAnsi="仿宋_GB2312" w:eastAsia="仿宋_GB2312" w:cs="仿宋_GB2312"/>
          <w:b w:val="0"/>
          <w:bCs w:val="0"/>
        </w:rPr>
      </w:pPr>
      <w:bookmarkStart w:id="225" w:name="_Toc31978"/>
      <w:bookmarkStart w:id="226" w:name="_Toc12842"/>
      <w:bookmarkStart w:id="227" w:name="_Toc999923878"/>
      <w:bookmarkStart w:id="228" w:name="_Toc28687"/>
      <w:bookmarkStart w:id="229" w:name="_Toc706"/>
      <w:bookmarkStart w:id="230" w:name="_Toc31308"/>
      <w:bookmarkStart w:id="231" w:name="_Toc21879"/>
      <w:bookmarkStart w:id="232" w:name="_Toc25905"/>
      <w:bookmarkStart w:id="233" w:name="_Toc22495"/>
      <w:bookmarkStart w:id="234" w:name="_Toc205"/>
      <w:bookmarkStart w:id="235" w:name="_Toc26470"/>
      <w:bookmarkStart w:id="236" w:name="_Toc23185"/>
      <w:bookmarkStart w:id="237" w:name="_Toc568"/>
      <w:bookmarkStart w:id="238" w:name="_Toc7647"/>
      <w:bookmarkStart w:id="239" w:name="_Toc215857850"/>
      <w:bookmarkStart w:id="240" w:name="_Toc1875"/>
    </w:p>
    <w:p w14:paraId="14D54A9E">
      <w:pPr>
        <w:pStyle w:val="6"/>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三</w:t>
      </w:r>
      <w:r>
        <w:rPr>
          <w:rFonts w:hint="eastAsia" w:ascii="黑体" w:hAnsi="黑体" w:eastAsia="黑体" w:cs="黑体"/>
          <w:b w:val="0"/>
          <w:bCs w:val="0"/>
        </w:rPr>
        <w:t xml:space="preserve">章 </w:t>
      </w:r>
      <w:r>
        <w:rPr>
          <w:rFonts w:hint="eastAsia" w:ascii="黑体" w:hAnsi="黑体" w:eastAsia="黑体" w:cs="黑体"/>
          <w:b w:val="0"/>
          <w:bCs w:val="0"/>
          <w:lang w:val="en-US" w:eastAsia="zh-CN"/>
        </w:rPr>
        <w:t xml:space="preserve"> 推动制造业高质量发展</w:t>
      </w:r>
      <w:r>
        <w:rPr>
          <w:rFonts w:hint="eastAsia" w:ascii="黑体" w:hAnsi="黑体" w:eastAsia="黑体" w:cs="黑体"/>
          <w:b w:val="0"/>
          <w:bCs w:val="0"/>
        </w:rPr>
        <w:t>，</w:t>
      </w:r>
      <w:r>
        <w:rPr>
          <w:rFonts w:hint="eastAsia" w:ascii="黑体" w:hAnsi="黑体" w:eastAsia="黑体" w:cs="黑体"/>
          <w:b w:val="0"/>
          <w:bCs w:val="0"/>
          <w:lang w:val="en-US" w:eastAsia="zh-CN"/>
        </w:rPr>
        <w:t>加快构建</w:t>
      </w:r>
      <w:r>
        <w:rPr>
          <w:rFonts w:hint="eastAsia" w:ascii="黑体" w:hAnsi="黑体" w:eastAsia="黑体" w:cs="黑体"/>
          <w:b w:val="0"/>
          <w:bCs w:val="0"/>
        </w:rPr>
        <w:t>现代</w:t>
      </w:r>
      <w:r>
        <w:rPr>
          <w:rFonts w:hint="eastAsia" w:ascii="黑体" w:hAnsi="黑体" w:eastAsia="黑体" w:cs="黑体"/>
          <w:b w:val="0"/>
          <w:bCs w:val="0"/>
          <w:lang w:val="en-US" w:eastAsia="zh-CN"/>
        </w:rPr>
        <w:t>化</w:t>
      </w:r>
      <w:r>
        <w:rPr>
          <w:rFonts w:hint="eastAsia" w:ascii="黑体" w:hAnsi="黑体" w:eastAsia="黑体" w:cs="黑体"/>
          <w:b w:val="0"/>
          <w:bCs w:val="0"/>
        </w:rPr>
        <w:t>产业体系</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196B01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lang w:eastAsia="zh-CN"/>
        </w:rPr>
      </w:pPr>
    </w:p>
    <w:p w14:paraId="126704ED">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lang w:eastAsia="zh-CN"/>
        </w:rPr>
      </w:pPr>
      <w:r>
        <w:rPr>
          <w:rFonts w:hint="eastAsia" w:ascii="仿宋_GB2312" w:hAnsi="仿宋_GB2312" w:eastAsia="仿宋_GB2312" w:cs="仿宋_GB2312"/>
          <w:b w:val="0"/>
          <w:bCs w:val="0"/>
          <w:color w:val="auto"/>
          <w:lang w:eastAsia="zh-CN"/>
        </w:rPr>
        <w:t>立足区位优势和产业发展基础，注重发展实体经济，坚持智能化、绿色化、融合化方向，壮大市场主体，推动重点产业聚链成群，推动传统产业优化提升和新兴产业发展壮大，构建以先进制造业为骨干的现代化产业体系，打造洛阳先进制造业基地新兴增长极。</w:t>
      </w:r>
      <w:bookmarkStart w:id="241" w:name="_Toc5202"/>
      <w:bookmarkStart w:id="242" w:name="_Toc18997"/>
      <w:bookmarkStart w:id="243" w:name="_Toc23199"/>
      <w:bookmarkStart w:id="244" w:name="_Toc21026"/>
      <w:bookmarkStart w:id="245" w:name="_Toc31765"/>
      <w:bookmarkStart w:id="246" w:name="_Toc29374"/>
      <w:bookmarkStart w:id="247" w:name="_Toc31340"/>
      <w:bookmarkStart w:id="248" w:name="_Toc31999"/>
      <w:bookmarkStart w:id="249" w:name="_Toc10613"/>
      <w:bookmarkStart w:id="250" w:name="_Toc7255"/>
      <w:bookmarkStart w:id="251" w:name="_Toc1808648665"/>
      <w:bookmarkStart w:id="252" w:name="_Toc30874"/>
      <w:bookmarkStart w:id="253" w:name="_Toc14260"/>
      <w:bookmarkStart w:id="254" w:name="_Toc215857854"/>
      <w:bookmarkStart w:id="255" w:name="_Toc29715"/>
      <w:bookmarkStart w:id="256" w:name="_Toc22722"/>
      <w:bookmarkStart w:id="257" w:name="_Toc1084"/>
    </w:p>
    <w:p w14:paraId="215E164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仿宋_GB2312" w:hAnsi="仿宋_GB2312" w:eastAsia="仿宋_GB2312" w:cs="仿宋_GB2312"/>
          <w:b w:val="0"/>
          <w:bCs w:val="0"/>
        </w:rPr>
      </w:pPr>
    </w:p>
    <w:p w14:paraId="30974108">
      <w:pPr>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一</w:t>
      </w:r>
      <w:r>
        <w:rPr>
          <w:rFonts w:hint="eastAsia" w:ascii="黑体" w:hAnsi="黑体" w:eastAsia="黑体" w:cs="黑体"/>
          <w:b w:val="0"/>
          <w:bCs w:val="0"/>
        </w:rPr>
        <w:t xml:space="preserve">节 </w:t>
      </w:r>
      <w:r>
        <w:rPr>
          <w:rFonts w:hint="eastAsia" w:ascii="黑体" w:hAnsi="黑体" w:eastAsia="黑体" w:cs="黑体"/>
          <w:b w:val="0"/>
          <w:bCs w:val="0"/>
          <w:lang w:val="en-US" w:eastAsia="zh-CN"/>
        </w:rPr>
        <w:t xml:space="preserve"> </w:t>
      </w:r>
      <w:r>
        <w:rPr>
          <w:rFonts w:hint="eastAsia" w:ascii="黑体" w:hAnsi="黑体" w:eastAsia="黑体" w:cs="黑体"/>
          <w:b w:val="0"/>
          <w:bCs w:val="0"/>
        </w:rPr>
        <w:t>优化提升传统产业</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DAE761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p>
    <w:p w14:paraId="49D2DE91">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巩固提升“中国钢制家具之都”品牌优势，推动钢制家具产业整合提升。坚持以智能化、绿色化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融合化</w:t>
      </w:r>
      <w:r>
        <w:rPr>
          <w:rFonts w:hint="eastAsia" w:ascii="仿宋_GB2312" w:hAnsi="仿宋_GB2312" w:eastAsia="仿宋_GB2312" w:cs="仿宋_GB2312"/>
          <w:b w:val="0"/>
          <w:bCs w:val="0"/>
        </w:rPr>
        <w:t>改造为方向，运用新技术、新业态、新模式，为传统优势产业注入新动能，推动其实现价值链的跃迁和发展模式的重塑，在巩固存量优势中开辟增长新空间。</w:t>
      </w:r>
    </w:p>
    <w:p w14:paraId="0941DFA2">
      <w:pPr>
        <w:pStyle w:val="8"/>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bookmarkStart w:id="258" w:name="_Toc7724"/>
      <w:bookmarkStart w:id="259" w:name="_Toc215857855"/>
      <w:bookmarkStart w:id="260" w:name="_Toc31097"/>
      <w:bookmarkStart w:id="261" w:name="_Toc1165"/>
      <w:bookmarkStart w:id="262" w:name="_Toc21745"/>
      <w:bookmarkStart w:id="263" w:name="_Toc27102"/>
      <w:bookmarkStart w:id="264" w:name="_Toc15747"/>
      <w:bookmarkStart w:id="265" w:name="_Toc18434"/>
      <w:bookmarkStart w:id="266" w:name="_Toc1440"/>
      <w:bookmarkStart w:id="267" w:name="_Toc15430"/>
      <w:bookmarkStart w:id="268" w:name="_Toc406"/>
      <w:bookmarkStart w:id="269" w:name="_Toc13996"/>
      <w:bookmarkStart w:id="270" w:name="_Toc22207"/>
      <w:bookmarkStart w:id="271" w:name="_Toc27322"/>
      <w:bookmarkStart w:id="272" w:name="_Toc37979907"/>
      <w:bookmarkStart w:id="273" w:name="_Toc10239"/>
      <w:r>
        <w:rPr>
          <w:rFonts w:hint="eastAsia" w:ascii="仿宋_GB2312" w:hAnsi="仿宋_GB2312" w:eastAsia="仿宋_GB2312" w:cs="仿宋_GB2312"/>
          <w:b w:val="0"/>
          <w:bCs w:val="0"/>
        </w:rPr>
        <w:t>一、发展智能家居制造</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243AE57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以庞村智能家居产业园、寇店</w:t>
      </w:r>
      <w:r>
        <w:rPr>
          <w:rFonts w:hint="eastAsia" w:ascii="仿宋_GB2312" w:hAnsi="仿宋_GB2312" w:eastAsia="仿宋_GB2312" w:cs="仿宋_GB2312"/>
          <w:b w:val="0"/>
          <w:bCs w:val="0"/>
          <w:lang w:val="en-US" w:eastAsia="zh-CN"/>
        </w:rPr>
        <w:t>大谷智能制造产业园</w:t>
      </w:r>
      <w:r>
        <w:rPr>
          <w:rFonts w:hint="eastAsia" w:ascii="仿宋_GB2312" w:hAnsi="仿宋_GB2312" w:eastAsia="仿宋_GB2312" w:cs="仿宋_GB2312"/>
          <w:b w:val="0"/>
          <w:bCs w:val="0"/>
        </w:rPr>
        <w:t>为载体，统一规划，分期实施，推动钢制家具产业集群转型升级、提质增效。持续推动钢制家具行业数字化转型，加快企业设备更新，全面提升钢制家具行业智造能力，实现从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传统家居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智能家居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领域战略转型。加强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中国钢制家具之都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品牌建设，举办家居设计大赛和产业博览会，广泛链接全球买家资源，以销扩产、以销振产，进一步拓展钢制家具产业集群的规模效应。鼓励智能家居产业通过电子商务及跨境贸易，扩大品牌影响力；推动先进制造业与新一代信息技术、人工智能等深度融合，巩固提升传统优势产业竞争力。扩大产业规模，着力培育龙头企业，建立重点企业培育库，培育一批年产值5亿元、10亿元、15亿元以上龙头企业。力争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末，入驻智能家居产业园的企业亩均税收达到10万元以</w:t>
      </w:r>
      <w:r>
        <w:rPr>
          <w:rFonts w:hint="eastAsia" w:ascii="仿宋_GB2312" w:hAnsi="仿宋_GB2312" w:eastAsia="仿宋_GB2312" w:cs="仿宋_GB2312"/>
          <w:b w:val="0"/>
          <w:bCs w:val="0"/>
          <w:highlight w:val="none"/>
        </w:rPr>
        <w:t>上；</w:t>
      </w:r>
      <w:r>
        <w:rPr>
          <w:rFonts w:hint="eastAsia" w:ascii="仿宋_GB2312" w:hAnsi="仿宋_GB2312" w:eastAsia="仿宋_GB2312" w:cs="仿宋_GB2312"/>
          <w:b w:val="0"/>
          <w:bCs w:val="0"/>
          <w:color w:val="auto"/>
          <w:highlight w:val="none"/>
        </w:rPr>
        <w:t>产业规模超250亿元</w:t>
      </w:r>
      <w:r>
        <w:rPr>
          <w:rFonts w:hint="eastAsia" w:ascii="仿宋_GB2312" w:hAnsi="仿宋_GB2312" w:eastAsia="仿宋_GB2312" w:cs="仿宋_GB2312"/>
          <w:b w:val="0"/>
          <w:bCs w:val="0"/>
          <w:highlight w:val="none"/>
        </w:rPr>
        <w:t>；省级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专精特新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企业、高新技术企业等重要指标在现有基础上实现翻番。</w:t>
      </w:r>
    </w:p>
    <w:p w14:paraId="68BFDA16">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74" w:name="_Toc9952"/>
      <w:bookmarkStart w:id="275" w:name="_Toc10137"/>
      <w:bookmarkStart w:id="276" w:name="_Toc27962"/>
      <w:bookmarkStart w:id="277" w:name="_Toc19586"/>
      <w:bookmarkStart w:id="278" w:name="_Toc16827"/>
      <w:bookmarkStart w:id="279" w:name="_Toc30178"/>
      <w:bookmarkStart w:id="280" w:name="_Toc2115960537"/>
      <w:bookmarkStart w:id="281" w:name="_Toc215857856"/>
      <w:bookmarkStart w:id="282" w:name="_Toc18420"/>
      <w:bookmarkStart w:id="283" w:name="_Toc671"/>
      <w:bookmarkStart w:id="284" w:name="_Toc10305"/>
      <w:bookmarkStart w:id="285" w:name="_Toc22750"/>
      <w:bookmarkStart w:id="286" w:name="_Toc12615"/>
      <w:bookmarkStart w:id="287" w:name="_Toc15623"/>
      <w:bookmarkStart w:id="288" w:name="_Toc8749"/>
      <w:r>
        <w:rPr>
          <w:rFonts w:hint="eastAsia" w:ascii="仿宋_GB2312" w:hAnsi="仿宋_GB2312" w:eastAsia="仿宋_GB2312" w:cs="仿宋_GB2312"/>
          <w:b w:val="0"/>
          <w:bCs w:val="0"/>
        </w:rPr>
        <w:t>二、</w:t>
      </w:r>
      <w:r>
        <w:rPr>
          <w:rFonts w:hint="eastAsia" w:ascii="仿宋_GB2312" w:hAnsi="仿宋_GB2312" w:eastAsia="仿宋_GB2312" w:cs="仿宋_GB2312"/>
          <w:b w:val="0"/>
          <w:bCs w:val="0"/>
          <w:lang w:val="en-US" w:eastAsia="zh-CN"/>
        </w:rPr>
        <w:t>加快</w:t>
      </w:r>
      <w:r>
        <w:rPr>
          <w:rFonts w:hint="eastAsia" w:ascii="仿宋_GB2312" w:hAnsi="仿宋_GB2312" w:eastAsia="仿宋_GB2312" w:cs="仿宋_GB2312"/>
          <w:b w:val="0"/>
          <w:bCs w:val="0"/>
        </w:rPr>
        <w:t>产业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升级</w:t>
      </w:r>
      <w:r>
        <w:rPr>
          <w:rFonts w:hint="eastAsia" w:ascii="仿宋_GB2312" w:hAnsi="仿宋_GB2312" w:eastAsia="仿宋_GB2312" w:cs="仿宋_GB2312"/>
          <w:b w:val="0"/>
          <w:bCs w:val="0"/>
        </w:rPr>
        <w:t>改造</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135F0D2D">
      <w:pPr>
        <w:pageBreakBefore w:val="0"/>
        <w:widowControl w:val="0"/>
        <w:kinsoku/>
        <w:wordWrap/>
        <w:topLinePunct w:val="0"/>
        <w:bidi w:val="0"/>
        <w:spacing w:line="600" w:lineRule="exact"/>
        <w:rPr>
          <w:rFonts w:hint="eastAsia" w:ascii="仿宋_GB2312" w:hAnsi="仿宋_GB2312" w:eastAsia="仿宋_GB2312" w:cs="仿宋_GB2312"/>
          <w:b w:val="0"/>
          <w:bCs w:val="0"/>
          <w:color w:val="auto"/>
          <w:spacing w:val="2"/>
          <w:sz w:val="32"/>
        </w:rPr>
      </w:pPr>
      <w:r>
        <w:rPr>
          <w:rFonts w:hint="eastAsia" w:ascii="仿宋_GB2312" w:hAnsi="仿宋_GB2312" w:eastAsia="仿宋_GB2312" w:cs="仿宋_GB2312"/>
          <w:b w:val="0"/>
          <w:bCs w:val="0"/>
          <w:color w:val="auto"/>
          <w:spacing w:val="2"/>
          <w:sz w:val="32"/>
        </w:rPr>
        <w:t>智能化</w:t>
      </w:r>
      <w:r>
        <w:rPr>
          <w:rFonts w:hint="eastAsia" w:ascii="仿宋_GB2312" w:hAnsi="仿宋_GB2312" w:eastAsia="仿宋_GB2312" w:cs="仿宋_GB2312"/>
          <w:b w:val="0"/>
          <w:bCs w:val="0"/>
          <w:color w:val="auto"/>
          <w:spacing w:val="2"/>
          <w:sz w:val="32"/>
          <w:lang w:val="en-US" w:eastAsia="zh-CN"/>
        </w:rPr>
        <w:t>升级改造</w:t>
      </w:r>
      <w:r>
        <w:rPr>
          <w:rFonts w:hint="eastAsia" w:ascii="仿宋_GB2312" w:hAnsi="仿宋_GB2312" w:eastAsia="仿宋_GB2312" w:cs="仿宋_GB2312"/>
          <w:b w:val="0"/>
          <w:bCs w:val="0"/>
          <w:color w:val="auto"/>
          <w:spacing w:val="2"/>
          <w:sz w:val="32"/>
        </w:rPr>
        <w:t>。积极实施</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人工智能+</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行动，统筹布局工业互联网、大数据、5G等新型技术，</w:t>
      </w:r>
      <w:r>
        <w:rPr>
          <w:rFonts w:hint="eastAsia" w:ascii="仿宋_GB2312" w:hAnsi="仿宋_GB2312" w:eastAsia="仿宋_GB2312" w:cs="仿宋_GB2312"/>
          <w:b w:val="0"/>
          <w:bCs w:val="0"/>
          <w:color w:val="auto"/>
          <w:spacing w:val="2"/>
          <w:sz w:val="32"/>
          <w:lang w:val="en-US" w:eastAsia="zh-CN"/>
        </w:rPr>
        <w:t>推动</w:t>
      </w:r>
      <w:r>
        <w:rPr>
          <w:rFonts w:hint="eastAsia" w:ascii="仿宋_GB2312" w:hAnsi="仿宋_GB2312" w:eastAsia="仿宋_GB2312" w:cs="仿宋_GB2312"/>
          <w:b w:val="0"/>
          <w:bCs w:val="0"/>
          <w:color w:val="auto"/>
          <w:spacing w:val="2"/>
          <w:sz w:val="32"/>
        </w:rPr>
        <w:t>数字化等新型基础设施建设，全面推进面向重点企业的5G网络和千兆光网的深度覆盖。推动钢制家具等传统产业企业建设智能车间</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智能家居产业聚焦柔性生产、个性化定制，</w:t>
      </w:r>
      <w:r>
        <w:rPr>
          <w:rFonts w:hint="eastAsia" w:ascii="仿宋_GB2312" w:hAnsi="仿宋_GB2312" w:eastAsia="仿宋_GB2312" w:cs="仿宋_GB2312"/>
          <w:b w:val="0"/>
          <w:bCs w:val="0"/>
          <w:color w:val="auto"/>
          <w:spacing w:val="2"/>
          <w:sz w:val="32"/>
          <w:lang w:val="en-US" w:eastAsia="zh-CN"/>
        </w:rPr>
        <w:t>发展</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数字车间+电商平台</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一体化模式。鼓励企业建设智能生产线、智能车间和智能工厂，推动工业实现智能化生产、个性化定制</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服务化延伸，树立</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智改数转</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的伊滨标杆。</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十五五</w:t>
      </w:r>
      <w:r>
        <w:rPr>
          <w:rFonts w:hint="eastAsia" w:ascii="仿宋_GB2312" w:hAnsi="仿宋_GB2312" w:eastAsia="仿宋_GB2312" w:cs="仿宋_GB2312"/>
          <w:b w:val="0"/>
          <w:bCs w:val="0"/>
          <w:color w:val="auto"/>
          <w:spacing w:val="2"/>
          <w:sz w:val="32"/>
          <w:lang w:eastAsia="zh-CN"/>
        </w:rPr>
        <w:t>”</w:t>
      </w:r>
      <w:r>
        <w:rPr>
          <w:rFonts w:hint="eastAsia" w:ascii="仿宋_GB2312" w:hAnsi="仿宋_GB2312" w:eastAsia="仿宋_GB2312" w:cs="仿宋_GB2312"/>
          <w:b w:val="0"/>
          <w:bCs w:val="0"/>
          <w:color w:val="auto"/>
          <w:spacing w:val="2"/>
          <w:sz w:val="32"/>
        </w:rPr>
        <w:t>末，建成省级智能工厂（车间）不少于</w:t>
      </w:r>
      <w:r>
        <w:rPr>
          <w:rFonts w:hint="eastAsia" w:ascii="仿宋_GB2312" w:hAnsi="仿宋_GB2312" w:eastAsia="仿宋_GB2312" w:cs="仿宋_GB2312"/>
          <w:b w:val="0"/>
          <w:bCs w:val="0"/>
          <w:color w:val="auto"/>
          <w:spacing w:val="2"/>
          <w:sz w:val="32"/>
          <w:lang w:val="en-US" w:eastAsia="zh-CN"/>
        </w:rPr>
        <w:t>8</w:t>
      </w:r>
      <w:r>
        <w:rPr>
          <w:rFonts w:hint="eastAsia" w:ascii="仿宋_GB2312" w:hAnsi="仿宋_GB2312" w:eastAsia="仿宋_GB2312" w:cs="仿宋_GB2312"/>
          <w:b w:val="0"/>
          <w:bCs w:val="0"/>
          <w:color w:val="auto"/>
          <w:spacing w:val="2"/>
          <w:sz w:val="32"/>
        </w:rPr>
        <w:t>家。</w:t>
      </w:r>
    </w:p>
    <w:p w14:paraId="470130C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绿色化</w:t>
      </w:r>
      <w:r>
        <w:rPr>
          <w:rFonts w:hint="eastAsia" w:ascii="仿宋_GB2312" w:hAnsi="仿宋_GB2312" w:eastAsia="仿宋_GB2312" w:cs="仿宋_GB2312"/>
          <w:b w:val="0"/>
          <w:bCs w:val="0"/>
          <w:color w:val="auto"/>
          <w:lang w:val="en-US" w:eastAsia="zh-CN"/>
        </w:rPr>
        <w:t>升级改造</w:t>
      </w:r>
      <w:r>
        <w:rPr>
          <w:rFonts w:hint="eastAsia" w:ascii="仿宋_GB2312" w:hAnsi="仿宋_GB2312" w:eastAsia="仿宋_GB2312" w:cs="仿宋_GB2312"/>
          <w:b w:val="0"/>
          <w:bCs w:val="0"/>
          <w:color w:val="auto"/>
        </w:rPr>
        <w:t>。大力倡导绿色发展理念，鼓励工业企业实施清洁能源替代，开展绿色设计，开发绿色产品，建设绿色工厂，着力打造一批绿色制造标杆。鼓励工业企业全面实施清洁能源替代，推动生产流程低碳化改造，降低单位产值能耗</w:t>
      </w:r>
      <w:r>
        <w:rPr>
          <w:rFonts w:hint="eastAsia" w:ascii="仿宋_GB2312" w:hAnsi="仿宋_GB2312" w:eastAsia="仿宋_GB2312" w:cs="仿宋_GB2312"/>
          <w:b w:val="0"/>
          <w:bCs w:val="0"/>
          <w:color w:val="auto"/>
          <w:lang w:val="en-US" w:eastAsia="zh-CN"/>
        </w:rPr>
        <w:t>和</w:t>
      </w:r>
      <w:r>
        <w:rPr>
          <w:rFonts w:hint="eastAsia" w:ascii="仿宋_GB2312" w:hAnsi="仿宋_GB2312" w:eastAsia="仿宋_GB2312" w:cs="仿宋_GB2312"/>
          <w:b w:val="0"/>
          <w:bCs w:val="0"/>
          <w:color w:val="auto"/>
        </w:rPr>
        <w:t>碳排放强度，引导产业链上下游协同推进绿色转型，大力发展循环经济，实现生产过程绿色化、产品全生命周期绿色化，助力洛阳实现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双碳</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目标。</w:t>
      </w:r>
    </w:p>
    <w:p w14:paraId="32C1A7E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融合化</w:t>
      </w:r>
      <w:r>
        <w:rPr>
          <w:rFonts w:hint="eastAsia" w:ascii="仿宋_GB2312" w:hAnsi="仿宋_GB2312" w:eastAsia="仿宋_GB2312" w:cs="仿宋_GB2312"/>
          <w:b w:val="0"/>
          <w:bCs w:val="0"/>
          <w:color w:val="auto"/>
          <w:lang w:val="en-US" w:eastAsia="zh-CN"/>
        </w:rPr>
        <w:t>升级改造</w:t>
      </w:r>
      <w:r>
        <w:rPr>
          <w:rFonts w:hint="eastAsia" w:ascii="仿宋_GB2312" w:hAnsi="仿宋_GB2312" w:eastAsia="仿宋_GB2312" w:cs="仿宋_GB2312"/>
          <w:b w:val="0"/>
          <w:bCs w:val="0"/>
          <w:color w:val="auto"/>
        </w:rPr>
        <w:t>。坚持以科技创新引领产业创新，因地制宜发展新质生产力，深化产业跨界融合，推动先进制造业与新一代信息技术、人工智能、数字经济深度融合，促进技术、资金、人才等创新要素高效集聚与优化配置，强化产业链上下游协同联动。推动先进制造业向服务化、融合化方向升级，构建以先进制造业为骨干的现代化产业体系。通过产业融合、创新融合、要素融合，进一步巩固先进制造业骨干地位，助力伊滨科技城当好全市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火车头</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、创新发展的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发动机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w:t>
      </w:r>
    </w:p>
    <w:p w14:paraId="1BD8ECEB">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tbl>
      <w:tblPr>
        <w:tblStyle w:val="34"/>
        <w:tblW w:w="0" w:type="auto"/>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8"/>
      </w:tblGrid>
      <w:tr w14:paraId="04E5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8" w:type="dxa"/>
          </w:tcPr>
          <w:p w14:paraId="2D7E6AF7">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color w:val="auto"/>
                <w:kern w:val="2"/>
                <w:sz w:val="28"/>
                <w:szCs w:val="28"/>
                <w:lang w:val="en-US" w:eastAsia="zh-CN"/>
              </w:rPr>
            </w:pPr>
            <w:r>
              <w:rPr>
                <w:rFonts w:hint="eastAsia" w:ascii="黑体" w:hAnsi="黑体" w:eastAsia="黑体" w:cs="黑体"/>
                <w:b w:val="0"/>
                <w:bCs w:val="0"/>
                <w:color w:val="auto"/>
                <w:kern w:val="0"/>
                <w:sz w:val="28"/>
                <w:szCs w:val="28"/>
              </w:rPr>
              <w:t>专栏</w:t>
            </w:r>
            <w:r>
              <w:rPr>
                <w:rFonts w:hint="eastAsia" w:ascii="黑体" w:hAnsi="黑体" w:eastAsia="黑体" w:cs="黑体"/>
                <w:b w:val="0"/>
                <w:bCs w:val="0"/>
                <w:color w:val="auto"/>
                <w:kern w:val="0"/>
                <w:sz w:val="28"/>
                <w:szCs w:val="28"/>
                <w:lang w:val="en-US" w:eastAsia="zh-CN"/>
              </w:rPr>
              <w:t xml:space="preserve">3-1    </w:t>
            </w:r>
            <w:r>
              <w:rPr>
                <w:rFonts w:hint="eastAsia" w:ascii="黑体" w:hAnsi="黑体" w:eastAsia="黑体" w:cs="黑体"/>
                <w:b w:val="0"/>
                <w:bCs w:val="0"/>
                <w:color w:val="auto"/>
                <w:kern w:val="0"/>
                <w:sz w:val="28"/>
                <w:szCs w:val="28"/>
              </w:rPr>
              <w:t>传统产业</w:t>
            </w:r>
            <w:r>
              <w:rPr>
                <w:rFonts w:hint="eastAsia" w:ascii="黑体" w:hAnsi="黑体" w:eastAsia="黑体" w:cs="黑体"/>
                <w:b w:val="0"/>
                <w:bCs w:val="0"/>
                <w:color w:val="auto"/>
                <w:kern w:val="0"/>
                <w:sz w:val="28"/>
                <w:szCs w:val="28"/>
                <w:lang w:val="en-US" w:eastAsia="zh-CN"/>
              </w:rPr>
              <w:t>优化提质工程</w:t>
            </w:r>
          </w:p>
        </w:tc>
      </w:tr>
      <w:tr w14:paraId="4154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8" w:type="dxa"/>
          </w:tcPr>
          <w:p w14:paraId="1D6E4162">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lang w:eastAsia="zh-CN"/>
              </w:rPr>
            </w:pPr>
            <w:r>
              <w:rPr>
                <w:rFonts w:hint="eastAsia" w:ascii="仿宋_GB2312" w:hAnsi="仿宋_GB2312" w:eastAsia="仿宋_GB2312" w:cs="仿宋_GB2312"/>
                <w:b w:val="0"/>
                <w:bCs w:val="0"/>
                <w:color w:val="auto"/>
                <w:kern w:val="2"/>
                <w:sz w:val="28"/>
                <w:szCs w:val="28"/>
                <w:lang w:val="en-US" w:eastAsia="zh-CN"/>
              </w:rPr>
              <w:t>传统优势产业集群建设。建设</w:t>
            </w:r>
            <w:r>
              <w:rPr>
                <w:rFonts w:hint="eastAsia" w:ascii="仿宋_GB2312" w:hAnsi="仿宋_GB2312" w:eastAsia="仿宋_GB2312" w:cs="仿宋_GB2312"/>
                <w:b w:val="0"/>
                <w:bCs w:val="0"/>
                <w:color w:val="auto"/>
                <w:kern w:val="2"/>
                <w:sz w:val="28"/>
                <w:szCs w:val="28"/>
              </w:rPr>
              <w:t>洛阳市智能家居产业园</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洛阳</w:t>
            </w:r>
            <w:r>
              <w:rPr>
                <w:rFonts w:hint="eastAsia" w:ascii="仿宋_GB2312" w:hAnsi="仿宋_GB2312" w:eastAsia="仿宋_GB2312" w:cs="仿宋_GB2312"/>
                <w:b w:val="0"/>
                <w:bCs w:val="0"/>
                <w:color w:val="auto"/>
                <w:kern w:val="2"/>
                <w:sz w:val="28"/>
                <w:szCs w:val="28"/>
              </w:rPr>
              <w:t>大谷智能制造产业园</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洛阳电商智联产业园</w:t>
            </w:r>
            <w:r>
              <w:rPr>
                <w:rFonts w:hint="eastAsia" w:ascii="仿宋_GB2312" w:hAnsi="仿宋_GB2312" w:eastAsia="仿宋_GB2312" w:cs="仿宋_GB2312"/>
                <w:b w:val="0"/>
                <w:bCs w:val="0"/>
                <w:color w:val="auto"/>
                <w:kern w:val="2"/>
                <w:sz w:val="28"/>
                <w:szCs w:val="28"/>
                <w:lang w:val="en-US" w:eastAsia="zh-CN"/>
              </w:rPr>
              <w:t>等项目；谋划传统钢制家具产业园项目31个。</w:t>
            </w:r>
          </w:p>
          <w:p w14:paraId="3D05F701">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lang w:val="en-US" w:eastAsia="zh-CN"/>
              </w:rPr>
              <w:t>企业扩能提质工程。推动实施</w:t>
            </w:r>
            <w:r>
              <w:rPr>
                <w:rFonts w:hint="eastAsia" w:ascii="仿宋_GB2312" w:hAnsi="仿宋_GB2312" w:eastAsia="仿宋_GB2312" w:cs="仿宋_GB2312"/>
                <w:b w:val="0"/>
                <w:bCs w:val="0"/>
                <w:color w:val="auto"/>
                <w:kern w:val="2"/>
                <w:sz w:val="28"/>
                <w:szCs w:val="28"/>
              </w:rPr>
              <w:t>洛阳鑫锦华智能装备产业扩建</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锦华钢制家具</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战狼家具有限公司年产3万台钢制办公家具</w:t>
            </w:r>
            <w:r>
              <w:rPr>
                <w:rFonts w:hint="eastAsia" w:ascii="仿宋_GB2312" w:hAnsi="仿宋_GB2312" w:eastAsia="仿宋_GB2312" w:cs="仿宋_GB2312"/>
                <w:b w:val="0"/>
                <w:bCs w:val="0"/>
                <w:color w:val="auto"/>
                <w:kern w:val="2"/>
                <w:sz w:val="28"/>
                <w:szCs w:val="28"/>
                <w:lang w:val="en-US" w:eastAsia="zh-CN"/>
              </w:rPr>
              <w:t>等扩能提质项目41个</w:t>
            </w:r>
            <w:r>
              <w:rPr>
                <w:rFonts w:hint="eastAsia" w:ascii="仿宋_GB2312" w:hAnsi="仿宋_GB2312" w:eastAsia="仿宋_GB2312" w:cs="仿宋_GB2312"/>
                <w:b w:val="0"/>
                <w:bCs w:val="0"/>
                <w:color w:val="auto"/>
                <w:kern w:val="2"/>
                <w:sz w:val="28"/>
                <w:szCs w:val="28"/>
                <w:lang w:eastAsia="zh-CN"/>
              </w:rPr>
              <w:t>。</w:t>
            </w:r>
          </w:p>
        </w:tc>
      </w:tr>
    </w:tbl>
    <w:p w14:paraId="69BEB1E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rPr>
      </w:pPr>
    </w:p>
    <w:p w14:paraId="749233DD">
      <w:pPr>
        <w:pStyle w:val="6"/>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val="0"/>
          <w:lang w:val="en-US" w:eastAsia="zh-CN"/>
        </w:rPr>
      </w:pPr>
      <w:bookmarkStart w:id="289" w:name="_Toc16090"/>
      <w:bookmarkStart w:id="290" w:name="_Toc25367"/>
      <w:bookmarkStart w:id="291" w:name="_Toc4241"/>
      <w:bookmarkStart w:id="292" w:name="_Toc4232"/>
      <w:bookmarkStart w:id="293" w:name="_Toc22310"/>
      <w:bookmarkStart w:id="294" w:name="_Toc1147599480"/>
      <w:bookmarkStart w:id="295" w:name="_Toc13573"/>
      <w:bookmarkStart w:id="296" w:name="_Toc6445"/>
      <w:r>
        <w:rPr>
          <w:rFonts w:hint="eastAsia" w:ascii="黑体" w:hAnsi="黑体" w:eastAsia="黑体" w:cs="黑体"/>
          <w:b w:val="0"/>
          <w:bCs w:val="0"/>
          <w:lang w:val="en-US" w:eastAsia="zh-CN"/>
        </w:rPr>
        <w:t>第二节  培育壮大新兴产业</w:t>
      </w:r>
      <w:bookmarkEnd w:id="257"/>
      <w:bookmarkEnd w:id="289"/>
      <w:bookmarkEnd w:id="290"/>
      <w:bookmarkEnd w:id="291"/>
      <w:bookmarkEnd w:id="292"/>
      <w:bookmarkEnd w:id="293"/>
      <w:bookmarkEnd w:id="294"/>
      <w:bookmarkEnd w:id="295"/>
      <w:bookmarkEnd w:id="296"/>
    </w:p>
    <w:p w14:paraId="02CD2E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rPr>
      </w:pPr>
    </w:p>
    <w:p w14:paraId="002F014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聚焦新能源电池、高端装备制造等产业，坚持创新驱动、链群协同，着力提升产业链现代化水平和集群竞争力。深刻把握全球能源革命和国家</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双碳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目标带来的时代机遇，将新能源产业作为引领全区产业体系重塑的战略性支点和塑造区域形象的第一名片。以中州时代新能源科技有限公司等龙头项目为核心牵引，聚焦动力电池及储能系统领域，构建从</w:t>
      </w:r>
      <w:r>
        <w:rPr>
          <w:rFonts w:hint="eastAsia" w:ascii="仿宋_GB2312" w:hAnsi="仿宋_GB2312" w:eastAsia="仿宋_GB2312" w:cs="仿宋_GB2312"/>
          <w:b w:val="0"/>
          <w:bCs w:val="0"/>
          <w:color w:val="auto"/>
        </w:rPr>
        <w:t>关键材料、核心部件到系统集成、回收利用的全生命周期产业链，全力打造立足中原、辐射全国、具有全国</w:t>
      </w:r>
      <w:r>
        <w:rPr>
          <w:rFonts w:hint="eastAsia" w:ascii="仿宋_GB2312" w:hAnsi="仿宋_GB2312" w:eastAsia="仿宋_GB2312" w:cs="仿宋_GB2312"/>
          <w:b w:val="0"/>
          <w:bCs w:val="0"/>
          <w:color w:val="auto"/>
          <w:lang w:val="en-US" w:eastAsia="zh-CN"/>
        </w:rPr>
        <w:t>竞争力</w:t>
      </w:r>
      <w:r>
        <w:rPr>
          <w:rFonts w:hint="eastAsia" w:ascii="仿宋_GB2312" w:hAnsi="仿宋_GB2312" w:eastAsia="仿宋_GB2312" w:cs="仿宋_GB2312"/>
          <w:b w:val="0"/>
          <w:bCs w:val="0"/>
          <w:color w:val="auto"/>
        </w:rPr>
        <w:t>的新能源</w:t>
      </w:r>
      <w:r>
        <w:rPr>
          <w:rFonts w:hint="eastAsia" w:ascii="仿宋_GB2312" w:hAnsi="仿宋_GB2312" w:eastAsia="仿宋_GB2312" w:cs="仿宋_GB2312"/>
          <w:b w:val="0"/>
          <w:bCs w:val="0"/>
          <w:color w:val="auto"/>
          <w:lang w:val="en-US" w:eastAsia="zh-CN"/>
        </w:rPr>
        <w:t>电池</w:t>
      </w:r>
      <w:r>
        <w:rPr>
          <w:rFonts w:hint="eastAsia" w:ascii="仿宋_GB2312" w:hAnsi="仿宋_GB2312" w:eastAsia="仿宋_GB2312" w:cs="仿宋_GB2312"/>
          <w:b w:val="0"/>
          <w:bCs w:val="0"/>
        </w:rPr>
        <w:t>产业基地。</w:t>
      </w:r>
    </w:p>
    <w:p w14:paraId="26516806">
      <w:pPr>
        <w:pStyle w:val="8"/>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bookmarkStart w:id="297" w:name="_Toc23601"/>
      <w:bookmarkStart w:id="298" w:name="_Toc10536"/>
      <w:bookmarkStart w:id="299" w:name="_Toc6017"/>
      <w:bookmarkStart w:id="300" w:name="_Toc19598"/>
      <w:bookmarkStart w:id="301" w:name="_Toc27918"/>
      <w:bookmarkStart w:id="302" w:name="_Toc14769"/>
      <w:bookmarkStart w:id="303" w:name="_Toc11936"/>
      <w:bookmarkStart w:id="304" w:name="_Toc28316"/>
      <w:bookmarkStart w:id="305" w:name="_Toc25782"/>
      <w:bookmarkStart w:id="306" w:name="_Toc215857852"/>
      <w:bookmarkStart w:id="307" w:name="_Toc770786041"/>
      <w:bookmarkStart w:id="308" w:name="_Toc9263"/>
      <w:bookmarkStart w:id="309" w:name="_Toc18729"/>
      <w:bookmarkStart w:id="310" w:name="_Toc6773"/>
      <w:bookmarkStart w:id="311" w:name="_Toc11058"/>
      <w:bookmarkStart w:id="312" w:name="_Toc28053"/>
      <w:r>
        <w:rPr>
          <w:rFonts w:hint="eastAsia" w:ascii="仿宋_GB2312" w:hAnsi="仿宋_GB2312" w:eastAsia="仿宋_GB2312" w:cs="仿宋_GB2312"/>
          <w:b w:val="0"/>
          <w:bCs w:val="0"/>
        </w:rPr>
        <w:t>一、打造新能源</w:t>
      </w:r>
      <w:r>
        <w:rPr>
          <w:rFonts w:hint="eastAsia" w:ascii="仿宋_GB2312" w:hAnsi="仿宋_GB2312" w:eastAsia="仿宋_GB2312" w:cs="仿宋_GB2312"/>
          <w:b w:val="0"/>
          <w:bCs w:val="0"/>
          <w:lang w:val="en-US" w:eastAsia="zh-CN"/>
        </w:rPr>
        <w:t>电池</w:t>
      </w:r>
      <w:r>
        <w:rPr>
          <w:rFonts w:hint="eastAsia" w:ascii="仿宋_GB2312" w:hAnsi="仿宋_GB2312" w:eastAsia="仿宋_GB2312" w:cs="仿宋_GB2312"/>
          <w:b w:val="0"/>
          <w:bCs w:val="0"/>
        </w:rPr>
        <w:t>产业集群</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C10767D">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val="en-US" w:eastAsia="zh-CN"/>
        </w:rPr>
        <w:t>发挥</w:t>
      </w:r>
      <w:r>
        <w:rPr>
          <w:rFonts w:hint="eastAsia" w:ascii="仿宋_GB2312" w:hAnsi="仿宋_GB2312" w:eastAsia="仿宋_GB2312" w:cs="仿宋_GB2312"/>
          <w:b w:val="0"/>
          <w:bCs w:val="0"/>
          <w:color w:val="auto"/>
        </w:rPr>
        <w:t>链主企业核心引领作用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驱动产业链上下游优质资源加速集聚。重点发展锂离子动力电池集成组装，加强氢燃料电池、固态电池、钠离子电池等新体系动力电池技术储备。</w:t>
      </w:r>
      <w:r>
        <w:rPr>
          <w:rFonts w:hint="eastAsia" w:ascii="仿宋_GB2312" w:hAnsi="仿宋_GB2312" w:eastAsia="仿宋_GB2312" w:cs="仿宋_GB2312"/>
          <w:b w:val="0"/>
          <w:bCs w:val="0"/>
          <w:color w:val="auto"/>
          <w:lang w:val="en-US" w:eastAsia="zh-CN"/>
        </w:rPr>
        <w:t>重点招引和培育结构件、正负极材料、隔膜等关键材料领域的头部企业</w:t>
      </w:r>
      <w:r>
        <w:rPr>
          <w:rFonts w:hint="eastAsia" w:ascii="仿宋_GB2312" w:hAnsi="仿宋_GB2312" w:eastAsia="仿宋_GB2312" w:cs="仿宋_GB2312"/>
          <w:b w:val="0"/>
          <w:bCs w:val="0"/>
          <w:color w:val="auto"/>
        </w:rPr>
        <w:t>，支持多元化技术路线的协同发展。持续扩大电芯制造与电池系统集成的规模优势与技术优势，集聚发展锂电芯制造、锂电池模组包装检测、电池管理系统集成（BMS）等电池集成组装环节，支持企业建设</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灯塔工厂</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，实现生产效率、产品性能与质量控制的代际引领。形成</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电池+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的赋能效应，推动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伊滨电池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成为驱动终端应用变革的核心力量。培育形成1000亿级新能源</w:t>
      </w:r>
      <w:r>
        <w:rPr>
          <w:rFonts w:hint="eastAsia" w:ascii="仿宋_GB2312" w:hAnsi="仿宋_GB2312" w:eastAsia="仿宋_GB2312" w:cs="仿宋_GB2312"/>
          <w:b w:val="0"/>
          <w:bCs w:val="0"/>
          <w:color w:val="auto"/>
          <w:lang w:val="en-US" w:eastAsia="zh-CN"/>
        </w:rPr>
        <w:t>电池</w:t>
      </w:r>
      <w:r>
        <w:rPr>
          <w:rFonts w:hint="eastAsia" w:ascii="仿宋_GB2312" w:hAnsi="仿宋_GB2312" w:eastAsia="仿宋_GB2312" w:cs="仿宋_GB2312"/>
          <w:b w:val="0"/>
          <w:bCs w:val="0"/>
          <w:color w:val="auto"/>
        </w:rPr>
        <w:t>产业集群。</w:t>
      </w:r>
    </w:p>
    <w:p w14:paraId="3E9E6623">
      <w:pPr>
        <w:pStyle w:val="8"/>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bookmarkStart w:id="313" w:name="_Toc7553"/>
      <w:bookmarkStart w:id="314" w:name="_Toc32123"/>
      <w:bookmarkStart w:id="315" w:name="_Toc23715"/>
      <w:bookmarkStart w:id="316" w:name="_Toc18703"/>
      <w:bookmarkStart w:id="317" w:name="_Toc19732"/>
      <w:bookmarkStart w:id="318" w:name="_Toc4012"/>
      <w:bookmarkStart w:id="319" w:name="_Toc45800945"/>
      <w:bookmarkStart w:id="320" w:name="_Toc688"/>
      <w:bookmarkStart w:id="321" w:name="_Toc32048"/>
      <w:bookmarkStart w:id="322" w:name="_Toc2287"/>
      <w:bookmarkStart w:id="323" w:name="_Toc4364"/>
      <w:bookmarkStart w:id="324" w:name="_Toc215857853"/>
      <w:bookmarkStart w:id="325" w:name="_Toc28652"/>
      <w:bookmarkStart w:id="326" w:name="_Toc12344"/>
      <w:bookmarkStart w:id="327" w:name="_Toc29813"/>
      <w:bookmarkStart w:id="328" w:name="_Toc19673"/>
      <w:r>
        <w:rPr>
          <w:rFonts w:hint="eastAsia" w:ascii="仿宋_GB2312" w:hAnsi="仿宋_GB2312" w:eastAsia="仿宋_GB2312" w:cs="仿宋_GB2312"/>
          <w:b w:val="0"/>
          <w:bCs w:val="0"/>
        </w:rPr>
        <w:t>二、高标准建设新能源产业</w:t>
      </w:r>
      <w:bookmarkEnd w:id="313"/>
      <w:r>
        <w:rPr>
          <w:rFonts w:hint="eastAsia" w:ascii="仿宋_GB2312" w:hAnsi="仿宋_GB2312" w:eastAsia="仿宋_GB2312" w:cs="仿宋_GB2312"/>
          <w:b w:val="0"/>
          <w:bCs w:val="0"/>
        </w:rPr>
        <w:t>园</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5DC1268D">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高标准</w:t>
      </w:r>
      <w:r>
        <w:rPr>
          <w:rFonts w:hint="eastAsia" w:ascii="仿宋_GB2312" w:hAnsi="仿宋_GB2312" w:eastAsia="仿宋_GB2312" w:cs="仿宋_GB2312"/>
          <w:b w:val="0"/>
          <w:bCs w:val="0"/>
        </w:rPr>
        <w:t>打造以动力电池配套、储能制造、新能源汽车为主导，配套设施完善、产城高效融合、国内环境最好、服务最优、建筑最美观的新能源产业园区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构建政府主导、龙头引领、多元发展的产业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生态雨林</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立足服务龙头企业，招引新能源供应链企业入驻园区，同时，布局轻量化车身、动力电池梯次利用、智能驾驶等高附加值产业入驻发展，</w:t>
      </w:r>
      <w:r>
        <w:rPr>
          <w:rFonts w:hint="eastAsia" w:ascii="仿宋_GB2312" w:hAnsi="仿宋_GB2312" w:eastAsia="仿宋_GB2312" w:cs="仿宋_GB2312"/>
          <w:b w:val="0"/>
          <w:bCs w:val="0"/>
        </w:rPr>
        <w:t>加速形成协作配套紧密、竞争力强劲的新能源产业集群。</w:t>
      </w:r>
    </w:p>
    <w:p w14:paraId="68157D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rPr>
      </w:pPr>
    </w:p>
    <w:tbl>
      <w:tblPr>
        <w:tblStyle w:val="34"/>
        <w:tblW w:w="8857"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7"/>
      </w:tblGrid>
      <w:tr w14:paraId="5B4C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8857" w:type="dxa"/>
          </w:tcPr>
          <w:p w14:paraId="64A45F6A">
            <w:pPr>
              <w:pStyle w:val="2"/>
              <w:keepNext w:val="0"/>
              <w:keepLines w:val="0"/>
              <w:pageBreakBefore w:val="0"/>
              <w:widowControl w:val="0"/>
              <w:suppressLineNumbers w:val="0"/>
              <w:kinsoku/>
              <w:wordWrap/>
              <w:topLinePunct w:val="0"/>
              <w:bidi w:val="0"/>
              <w:snapToGrid w:val="0"/>
              <w:spacing w:before="0" w:beforeAutospacing="0" w:after="0" w:afterAutospacing="0" w:line="600" w:lineRule="exact"/>
              <w:ind w:left="0" w:right="0"/>
              <w:jc w:val="center"/>
              <w:rPr>
                <w:rFonts w:hint="eastAsia" w:ascii="仿宋_GB2312" w:hAnsi="仿宋_GB2312" w:eastAsia="仿宋_GB2312" w:cs="仿宋_GB2312"/>
                <w:b w:val="0"/>
                <w:bCs w:val="0"/>
                <w:color w:val="auto"/>
                <w:vertAlign w:val="baseline"/>
                <w:lang w:val="en-US" w:eastAsia="zh-CN"/>
              </w:rPr>
            </w:pPr>
            <w:r>
              <w:rPr>
                <w:rFonts w:hint="eastAsia" w:ascii="黑体" w:hAnsi="黑体" w:eastAsia="黑体" w:cs="黑体"/>
                <w:b w:val="0"/>
                <w:bCs w:val="0"/>
                <w:color w:val="auto"/>
                <w:kern w:val="0"/>
                <w:sz w:val="28"/>
                <w:szCs w:val="28"/>
                <w:lang w:val="en-US" w:eastAsia="zh-CN"/>
              </w:rPr>
              <w:t xml:space="preserve">专栏3-2    </w:t>
            </w:r>
            <w:r>
              <w:rPr>
                <w:rFonts w:hint="eastAsia" w:ascii="黑体" w:hAnsi="黑体" w:eastAsia="黑体" w:cs="黑体"/>
                <w:b w:val="0"/>
                <w:bCs w:val="0"/>
                <w:color w:val="auto"/>
                <w:kern w:val="0"/>
                <w:sz w:val="28"/>
                <w:szCs w:val="28"/>
              </w:rPr>
              <w:t>新能源产业</w:t>
            </w:r>
            <w:r>
              <w:rPr>
                <w:rFonts w:hint="eastAsia" w:ascii="黑体" w:hAnsi="黑体" w:eastAsia="黑体" w:cs="黑体"/>
                <w:b w:val="0"/>
                <w:bCs w:val="0"/>
                <w:color w:val="auto"/>
                <w:kern w:val="0"/>
                <w:sz w:val="28"/>
                <w:szCs w:val="28"/>
                <w:lang w:val="en-US" w:eastAsia="zh-CN"/>
              </w:rPr>
              <w:t>建设工程</w:t>
            </w:r>
          </w:p>
        </w:tc>
      </w:tr>
      <w:tr w14:paraId="232B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7" w:type="dxa"/>
          </w:tcPr>
          <w:p w14:paraId="70CE7437">
            <w:pPr>
              <w:keepNext w:val="0"/>
              <w:keepLines w:val="0"/>
              <w:pageBreakBefore w:val="0"/>
              <w:widowControl w:val="0"/>
              <w:suppressLineNumbers w:val="0"/>
              <w:kinsoku/>
              <w:wordWrap/>
              <w:topLinePunct w:val="0"/>
              <w:bidi w:val="0"/>
              <w:snapToGrid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lang w:val="en-US" w:eastAsia="zh-CN"/>
              </w:rPr>
              <w:t>新能源建设项目。建设</w:t>
            </w:r>
            <w:r>
              <w:rPr>
                <w:rFonts w:hint="eastAsia" w:ascii="仿宋_GB2312" w:hAnsi="仿宋_GB2312" w:eastAsia="仿宋_GB2312" w:cs="仿宋_GB2312"/>
                <w:b w:val="0"/>
                <w:bCs w:val="0"/>
                <w:color w:val="auto"/>
                <w:kern w:val="2"/>
                <w:sz w:val="28"/>
                <w:szCs w:val="28"/>
              </w:rPr>
              <w:t>中州时代新能源电池产业基地续建项目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西电200MW/400MWh独立储能电站项目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中测新能源精密仪器智能制造产业园</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华域汽车动力电池盒扩建</w:t>
            </w:r>
            <w:r>
              <w:rPr>
                <w:rFonts w:hint="eastAsia" w:ascii="仿宋_GB2312" w:hAnsi="仿宋_GB2312" w:eastAsia="仿宋_GB2312" w:cs="仿宋_GB2312"/>
                <w:b w:val="0"/>
                <w:bCs w:val="0"/>
                <w:color w:val="auto"/>
                <w:kern w:val="2"/>
                <w:sz w:val="28"/>
                <w:szCs w:val="28"/>
                <w:lang w:val="en-US" w:eastAsia="zh-CN"/>
              </w:rPr>
              <w:t>等项目；谋划新能源及其配套类项目38个。</w:t>
            </w:r>
          </w:p>
          <w:p w14:paraId="087BCACB">
            <w:pPr>
              <w:keepNext w:val="0"/>
              <w:keepLines w:val="0"/>
              <w:pageBreakBefore w:val="0"/>
              <w:widowControl w:val="0"/>
              <w:suppressLineNumbers w:val="0"/>
              <w:kinsoku/>
              <w:wordWrap/>
              <w:topLinePunct w:val="0"/>
              <w:bidi w:val="0"/>
              <w:snapToGrid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rPr>
              <w:t>新能源汽车零部件总成项目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建设</w:t>
            </w:r>
            <w:r>
              <w:rPr>
                <w:rFonts w:hint="eastAsia" w:ascii="仿宋_GB2312" w:hAnsi="仿宋_GB2312" w:eastAsia="仿宋_GB2312" w:cs="仿宋_GB2312"/>
                <w:b w:val="0"/>
                <w:bCs w:val="0"/>
                <w:color w:val="auto"/>
                <w:kern w:val="2"/>
                <w:sz w:val="28"/>
                <w:szCs w:val="28"/>
              </w:rPr>
              <w:t>西睿液冷板生产基地项目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得一新能源精密电子连接件生产基地项目二期</w:t>
            </w:r>
            <w:r>
              <w:rPr>
                <w:rFonts w:hint="eastAsia" w:ascii="仿宋_GB2312" w:hAnsi="仿宋_GB2312" w:eastAsia="仿宋_GB2312" w:cs="仿宋_GB2312"/>
                <w:b w:val="0"/>
                <w:bCs w:val="0"/>
                <w:color w:val="auto"/>
                <w:kern w:val="2"/>
                <w:sz w:val="28"/>
                <w:szCs w:val="28"/>
                <w:lang w:val="en-US" w:eastAsia="zh-CN"/>
              </w:rPr>
              <w:t>等项目；谋划</w:t>
            </w:r>
            <w:r>
              <w:rPr>
                <w:rFonts w:hint="eastAsia" w:ascii="仿宋_GB2312" w:hAnsi="仿宋_GB2312" w:eastAsia="仿宋_GB2312" w:cs="仿宋_GB2312"/>
                <w:b w:val="0"/>
                <w:bCs w:val="0"/>
                <w:color w:val="auto"/>
                <w:kern w:val="2"/>
                <w:sz w:val="28"/>
                <w:szCs w:val="28"/>
              </w:rPr>
              <w:t>新能源汽车零部件总成项目</w:t>
            </w:r>
            <w:r>
              <w:rPr>
                <w:rFonts w:hint="eastAsia" w:ascii="仿宋_GB2312" w:hAnsi="仿宋_GB2312" w:eastAsia="仿宋_GB2312" w:cs="仿宋_GB2312"/>
                <w:b w:val="0"/>
                <w:bCs w:val="0"/>
                <w:color w:val="auto"/>
                <w:kern w:val="2"/>
                <w:sz w:val="28"/>
                <w:szCs w:val="28"/>
                <w:lang w:val="en-US" w:eastAsia="zh-CN"/>
              </w:rPr>
              <w:t>11个。</w:t>
            </w:r>
          </w:p>
          <w:p w14:paraId="0AFBEC87">
            <w:pPr>
              <w:keepNext w:val="0"/>
              <w:keepLines w:val="0"/>
              <w:pageBreakBefore w:val="0"/>
              <w:widowControl w:val="0"/>
              <w:suppressLineNumbers w:val="0"/>
              <w:kinsoku/>
              <w:wordWrap/>
              <w:topLinePunct w:val="0"/>
              <w:bidi w:val="0"/>
              <w:snapToGrid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lang w:val="en-US" w:eastAsia="zh-CN"/>
              </w:rPr>
              <w:t>产业园区项目。推动建设</w:t>
            </w:r>
            <w:r>
              <w:rPr>
                <w:rFonts w:hint="eastAsia" w:ascii="仿宋_GB2312" w:hAnsi="仿宋_GB2312" w:eastAsia="仿宋_GB2312" w:cs="仿宋_GB2312"/>
                <w:b w:val="0"/>
                <w:bCs w:val="0"/>
                <w:color w:val="auto"/>
                <w:kern w:val="2"/>
                <w:sz w:val="28"/>
                <w:szCs w:val="28"/>
                <w:lang w:eastAsia="zh-CN"/>
              </w:rPr>
              <w:t>国创动力电池配套产业园（二期）、洛阳和德新能源产业园</w:t>
            </w:r>
            <w:r>
              <w:rPr>
                <w:rFonts w:hint="eastAsia" w:ascii="仿宋_GB2312" w:hAnsi="仿宋_GB2312" w:eastAsia="仿宋_GB2312" w:cs="仿宋_GB2312"/>
                <w:b w:val="0"/>
                <w:bCs w:val="0"/>
                <w:color w:val="auto"/>
                <w:kern w:val="2"/>
                <w:sz w:val="28"/>
                <w:szCs w:val="28"/>
                <w:lang w:val="en-US" w:eastAsia="zh-CN"/>
              </w:rPr>
              <w:t>项目、九创科技创新产业园项目等产业园区项目7个。</w:t>
            </w:r>
          </w:p>
          <w:p w14:paraId="0984A179">
            <w:pPr>
              <w:keepNext w:val="0"/>
              <w:keepLines w:val="0"/>
              <w:pageBreakBefore w:val="0"/>
              <w:widowControl w:val="0"/>
              <w:suppressLineNumbers w:val="0"/>
              <w:kinsoku/>
              <w:wordWrap/>
              <w:topLinePunct w:val="0"/>
              <w:bidi w:val="0"/>
              <w:snapToGrid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vertAlign w:val="baseline"/>
              </w:rPr>
            </w:pPr>
            <w:r>
              <w:rPr>
                <w:rFonts w:hint="eastAsia" w:ascii="仿宋_GB2312" w:hAnsi="仿宋_GB2312" w:eastAsia="仿宋_GB2312" w:cs="仿宋_GB2312"/>
                <w:b w:val="0"/>
                <w:bCs w:val="0"/>
                <w:color w:val="auto"/>
                <w:kern w:val="2"/>
                <w:sz w:val="28"/>
                <w:szCs w:val="28"/>
                <w:lang w:val="en-US" w:eastAsia="zh-CN"/>
              </w:rPr>
              <w:t>城市更新社会事业服务业类。建设时代广场等</w:t>
            </w:r>
            <w:r>
              <w:rPr>
                <w:rFonts w:hint="eastAsia" w:ascii="仿宋_GB2312" w:hAnsi="仿宋_GB2312" w:eastAsia="仿宋_GB2312" w:cs="仿宋_GB2312"/>
                <w:b w:val="0"/>
                <w:bCs w:val="0"/>
                <w:color w:val="auto"/>
                <w:kern w:val="2"/>
                <w:sz w:val="28"/>
                <w:szCs w:val="28"/>
              </w:rPr>
              <w:t>中州时代新能源产业园配套生活基础设施项目；</w:t>
            </w:r>
            <w:r>
              <w:rPr>
                <w:rFonts w:hint="eastAsia" w:ascii="仿宋_GB2312" w:hAnsi="仿宋_GB2312" w:eastAsia="仿宋_GB2312" w:cs="仿宋_GB2312"/>
                <w:b w:val="0"/>
                <w:bCs w:val="0"/>
                <w:color w:val="auto"/>
                <w:kern w:val="2"/>
                <w:sz w:val="28"/>
                <w:szCs w:val="28"/>
                <w:lang w:val="en-US" w:eastAsia="zh-CN"/>
              </w:rPr>
              <w:t>推动实施</w:t>
            </w:r>
            <w:r>
              <w:rPr>
                <w:rFonts w:hint="eastAsia" w:ascii="仿宋_GB2312" w:hAnsi="仿宋_GB2312" w:eastAsia="仿宋_GB2312" w:cs="仿宋_GB2312"/>
                <w:b w:val="0"/>
                <w:bCs w:val="0"/>
                <w:color w:val="auto"/>
                <w:kern w:val="2"/>
                <w:sz w:val="28"/>
                <w:szCs w:val="28"/>
              </w:rPr>
              <w:t>新能源产业园拆迁项目</w:t>
            </w:r>
            <w:r>
              <w:rPr>
                <w:rFonts w:hint="eastAsia" w:ascii="仿宋_GB2312" w:hAnsi="仿宋_GB2312" w:eastAsia="仿宋_GB2312" w:cs="仿宋_GB2312"/>
                <w:b w:val="0"/>
                <w:bCs w:val="0"/>
                <w:color w:val="auto"/>
                <w:kern w:val="2"/>
                <w:sz w:val="28"/>
                <w:szCs w:val="28"/>
                <w:lang w:val="en-US" w:eastAsia="zh-CN"/>
              </w:rPr>
              <w:t>5个，</w:t>
            </w:r>
            <w:r>
              <w:rPr>
                <w:rFonts w:hint="eastAsia" w:ascii="仿宋_GB2312" w:hAnsi="仿宋_GB2312" w:eastAsia="仿宋_GB2312" w:cs="仿宋_GB2312"/>
                <w:b w:val="0"/>
                <w:bCs w:val="0"/>
                <w:color w:val="auto"/>
                <w:kern w:val="2"/>
                <w:sz w:val="28"/>
                <w:szCs w:val="28"/>
              </w:rPr>
              <w:t>道路</w:t>
            </w:r>
            <w:r>
              <w:rPr>
                <w:rFonts w:hint="eastAsia" w:ascii="仿宋_GB2312" w:hAnsi="仿宋_GB2312" w:eastAsia="仿宋_GB2312" w:cs="仿宋_GB2312"/>
                <w:b w:val="0"/>
                <w:bCs w:val="0"/>
                <w:color w:val="auto"/>
                <w:kern w:val="2"/>
                <w:sz w:val="28"/>
                <w:szCs w:val="28"/>
                <w:lang w:val="en-US" w:eastAsia="zh-CN"/>
              </w:rPr>
              <w:t>建设项目7个</w:t>
            </w:r>
            <w:r>
              <w:rPr>
                <w:rFonts w:hint="eastAsia" w:ascii="仿宋_GB2312" w:hAnsi="仿宋_GB2312" w:eastAsia="仿宋_GB2312" w:cs="仿宋_GB2312"/>
                <w:b w:val="0"/>
                <w:bCs w:val="0"/>
                <w:color w:val="auto"/>
                <w:kern w:val="2"/>
                <w:sz w:val="28"/>
                <w:szCs w:val="28"/>
                <w:lang w:eastAsia="zh-CN"/>
              </w:rPr>
              <w:t>。</w:t>
            </w:r>
          </w:p>
        </w:tc>
      </w:tr>
    </w:tbl>
    <w:p w14:paraId="6EF54E17">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_GB2312" w:eastAsia="仿宋_GB2312" w:cs="仿宋_GB2312"/>
          <w:b w:val="0"/>
          <w:bCs w:val="0"/>
          <w:color w:val="auto"/>
        </w:rPr>
      </w:pPr>
    </w:p>
    <w:p w14:paraId="16E5BE8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329" w:name="_Toc957"/>
      <w:bookmarkStart w:id="330" w:name="_Toc6423"/>
      <w:bookmarkStart w:id="331" w:name="_Toc24790"/>
      <w:bookmarkStart w:id="332" w:name="_Toc12531"/>
      <w:bookmarkStart w:id="333" w:name="_Toc5495"/>
      <w:bookmarkStart w:id="334" w:name="_Toc29023"/>
      <w:bookmarkStart w:id="335" w:name="_Toc21458"/>
      <w:bookmarkStart w:id="336" w:name="_Toc5874"/>
      <w:bookmarkStart w:id="337" w:name="_Toc1567063121"/>
      <w:bookmarkStart w:id="338" w:name="_Toc15379"/>
      <w:bookmarkStart w:id="339" w:name="_Toc28898"/>
      <w:bookmarkStart w:id="340" w:name="_Toc215857857"/>
      <w:bookmarkStart w:id="341" w:name="_Toc26575"/>
      <w:bookmarkStart w:id="342" w:name="_Toc25418"/>
      <w:bookmarkStart w:id="343" w:name="_Toc25867"/>
      <w:bookmarkStart w:id="344" w:name="_Toc24422"/>
      <w:bookmarkStart w:id="345" w:name="_Toc215857860"/>
      <w:bookmarkStart w:id="346" w:name="_Toc12117"/>
      <w:bookmarkStart w:id="347" w:name="_Toc1880"/>
      <w:bookmarkStart w:id="348" w:name="_Toc32229"/>
      <w:bookmarkStart w:id="349" w:name="_Toc32704"/>
      <w:bookmarkStart w:id="350" w:name="_Toc6029"/>
      <w:bookmarkStart w:id="351" w:name="_Toc12336"/>
      <w:r>
        <w:rPr>
          <w:rFonts w:hint="eastAsia" w:ascii="仿宋_GB2312" w:hAnsi="仿宋_GB2312" w:eastAsia="仿宋_GB2312" w:cs="仿宋_GB2312"/>
          <w:b w:val="0"/>
          <w:bCs w:val="0"/>
        </w:rPr>
        <w:t>三</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做强高端装备制造业</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B6B84AB">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立足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装备+场景</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双轮驱动，聚焦新能源电池、智能矿山装备细分赛道，强化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整机牵引、部件协同、区域联合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联动机制，到2030年力争高端装备制造业产值突破250亿元，国家级专精特新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小巨人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企业达到</w:t>
      </w:r>
      <w:r>
        <w:rPr>
          <w:rFonts w:hint="eastAsia" w:ascii="仿宋_GB2312" w:hAnsi="仿宋_GB2312" w:eastAsia="仿宋_GB2312" w:cs="仿宋_GB2312"/>
          <w:b w:val="0"/>
          <w:bCs w:val="0"/>
        </w:rPr>
        <w:t>5家，建成具有特色的高端装备集成创新高地。</w:t>
      </w:r>
    </w:p>
    <w:p w14:paraId="12364DBB">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352" w:name="_Toc24204"/>
      <w:bookmarkStart w:id="353" w:name="_Toc32079"/>
      <w:bookmarkStart w:id="354" w:name="_Toc19228"/>
      <w:bookmarkStart w:id="355" w:name="_Toc28168"/>
      <w:bookmarkStart w:id="356" w:name="_Toc215857858"/>
      <w:bookmarkStart w:id="357" w:name="_Toc11665"/>
      <w:bookmarkStart w:id="358" w:name="_Toc410"/>
      <w:r>
        <w:rPr>
          <w:rFonts w:hint="eastAsia" w:ascii="仿宋_GB2312" w:hAnsi="仿宋_GB2312" w:eastAsia="仿宋_GB2312" w:cs="仿宋_GB2312"/>
          <w:b w:val="0"/>
          <w:bCs w:val="0"/>
        </w:rPr>
        <w:t>注重延伸产业链条</w:t>
      </w:r>
      <w:bookmarkEnd w:id="352"/>
      <w:bookmarkEnd w:id="353"/>
      <w:bookmarkEnd w:id="354"/>
      <w:bookmarkEnd w:id="355"/>
      <w:bookmarkEnd w:id="356"/>
      <w:bookmarkEnd w:id="357"/>
      <w:bookmarkEnd w:id="358"/>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聚焦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集群化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的发展方向，重点围绕新能源电池、智能矿山装备、高端轴承、航空光电装备、显示新材料等特色领域，鼓励</w:t>
      </w:r>
      <w:r>
        <w:rPr>
          <w:rFonts w:hint="eastAsia" w:ascii="仿宋_GB2312" w:hAnsi="仿宋_GB2312" w:eastAsia="仿宋_GB2312" w:cs="仿宋_GB2312"/>
          <w:b w:val="0"/>
          <w:bCs w:val="0"/>
          <w:lang w:val="en-US" w:eastAsia="zh-CN"/>
        </w:rPr>
        <w:t>重点</w:t>
      </w:r>
      <w:r>
        <w:rPr>
          <w:rFonts w:hint="eastAsia" w:ascii="仿宋_GB2312" w:hAnsi="仿宋_GB2312" w:eastAsia="仿宋_GB2312" w:cs="仿宋_GB2312"/>
          <w:b w:val="0"/>
          <w:bCs w:val="0"/>
        </w:rPr>
        <w:t>链主企业开放供应链，带动</w:t>
      </w:r>
      <w:r>
        <w:rPr>
          <w:rFonts w:hint="eastAsia" w:ascii="仿宋_GB2312" w:hAnsi="仿宋_GB2312" w:eastAsia="仿宋_GB2312" w:cs="仿宋_GB2312"/>
          <w:b w:val="0"/>
          <w:bCs w:val="0"/>
          <w:lang w:val="en-US" w:eastAsia="zh-CN"/>
        </w:rPr>
        <w:t>相关</w:t>
      </w:r>
      <w:r>
        <w:rPr>
          <w:rFonts w:hint="eastAsia" w:ascii="仿宋_GB2312" w:hAnsi="仿宋_GB2312" w:eastAsia="仿宋_GB2312" w:cs="仿宋_GB2312"/>
          <w:b w:val="0"/>
          <w:bCs w:val="0"/>
        </w:rPr>
        <w:t>专精特新企业发展，实现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链主+专精特新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协同发展。支持企业联合龙门实验室、洛阳中科信息产业研究院等科研机构，围绕高精度传感、嵌入式控制、轻量化结构等共性技术开展联合攻关，提升核心零部件自主化水平。形成龙头引领、配套集聚、协作紧密的高端装备制造生态体系。</w:t>
      </w:r>
    </w:p>
    <w:p w14:paraId="33543C4F">
      <w:pPr>
        <w:pageBreakBefore w:val="0"/>
        <w:widowControl w:val="0"/>
        <w:kinsoku/>
        <w:wordWrap/>
        <w:topLinePunct w:val="0"/>
        <w:bidi w:val="0"/>
        <w:spacing w:line="600" w:lineRule="exact"/>
        <w:ind w:firstLine="656"/>
        <w:rPr>
          <w:rFonts w:hint="eastAsia" w:ascii="仿宋_GB2312" w:hAnsi="仿宋_GB2312" w:eastAsia="仿宋_GB2312" w:cs="仿宋_GB2312"/>
          <w:b w:val="0"/>
          <w:bCs w:val="0"/>
        </w:rPr>
      </w:pPr>
      <w:bookmarkStart w:id="359" w:name="_Toc12956"/>
      <w:bookmarkStart w:id="360" w:name="_Toc32746"/>
      <w:bookmarkStart w:id="361" w:name="_Toc215857859"/>
      <w:bookmarkStart w:id="362" w:name="_Toc8578"/>
      <w:bookmarkStart w:id="363" w:name="_Toc20571"/>
      <w:bookmarkStart w:id="364" w:name="_Toc10345"/>
      <w:bookmarkStart w:id="365" w:name="_Toc9727"/>
      <w:r>
        <w:rPr>
          <w:rFonts w:hint="eastAsia" w:ascii="仿宋_GB2312" w:hAnsi="仿宋_GB2312" w:eastAsia="仿宋_GB2312" w:cs="仿宋_GB2312"/>
          <w:b w:val="0"/>
          <w:bCs w:val="0"/>
        </w:rPr>
        <w:t>推动产业协同发展</w:t>
      </w:r>
      <w:bookmarkEnd w:id="359"/>
      <w:bookmarkEnd w:id="360"/>
      <w:bookmarkEnd w:id="361"/>
      <w:bookmarkEnd w:id="362"/>
      <w:bookmarkEnd w:id="363"/>
      <w:bookmarkEnd w:id="364"/>
      <w:bookmarkEnd w:id="365"/>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加强区内产业协同，促进显示新材料与装备整机融合，开发适用于车载显示、机载屏显、特种舱体等新型装备部件；联动</w:t>
      </w:r>
      <w:r>
        <w:rPr>
          <w:rFonts w:hint="eastAsia" w:ascii="仿宋_GB2312" w:hAnsi="仿宋_GB2312" w:eastAsia="仿宋_GB2312" w:cs="仿宋_GB2312"/>
          <w:b w:val="0"/>
          <w:bCs w:val="0"/>
          <w:lang w:val="en-US" w:eastAsia="zh-CN"/>
        </w:rPr>
        <w:t>中州</w:t>
      </w:r>
      <w:r>
        <w:rPr>
          <w:rFonts w:hint="eastAsia" w:ascii="仿宋_GB2312" w:hAnsi="仿宋_GB2312" w:eastAsia="仿宋_GB2312" w:cs="仿宋_GB2312"/>
          <w:b w:val="0"/>
          <w:bCs w:val="0"/>
        </w:rPr>
        <w:t>时代等新能源企业，发展储能装备、移动电源系统等新能源专用设备。主动融入洛阳市</w:t>
      </w:r>
      <w:r>
        <w:rPr>
          <w:rFonts w:hint="eastAsia" w:ascii="仿宋_GB2312" w:hAnsi="仿宋_GB2312" w:eastAsia="仿宋_GB2312" w:cs="仿宋_GB2312"/>
          <w:b w:val="0"/>
          <w:bCs w:val="0"/>
          <w:lang w:val="en-US" w:eastAsia="zh-CN"/>
        </w:rPr>
        <w:t>12条重点产业链</w:t>
      </w:r>
      <w:r>
        <w:rPr>
          <w:rFonts w:hint="eastAsia" w:ascii="仿宋_GB2312" w:hAnsi="仿宋_GB2312" w:eastAsia="仿宋_GB2312" w:cs="仿宋_GB2312"/>
          <w:b w:val="0"/>
          <w:bCs w:val="0"/>
        </w:rPr>
        <w:t>体系，推动区域产业协调发展。</w:t>
      </w:r>
    </w:p>
    <w:p w14:paraId="31A15F49">
      <w:pPr>
        <w:pageBreakBefore w:val="0"/>
        <w:widowControl w:val="0"/>
        <w:kinsoku/>
        <w:wordWrap/>
        <w:topLinePunct w:val="0"/>
        <w:bidi w:val="0"/>
        <w:spacing w:line="600" w:lineRule="exact"/>
        <w:ind w:firstLine="656"/>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lang w:eastAsia="zh-CN"/>
        </w:rPr>
        <w:t>发展新一代信息技术。依托洛阳电子功能材料、光电子元器件产业优势基础，发挥中航工业光电所等光电子产业龙头企业引领作用，聚焦光、电连接器等核心优势产品，持续推动其向高速率、高频率、微型化、集成化方向迭代升级，提升产业本地配套率与市场协同效率。面向新能源汽车电动化、智能化、网联化“新三化”趋势，大力发展高压连接器、高速数据连接器、智能充电枪等车载产品。面向数据中心、5G通信、人工智能算力等“新基建”需求，突破光通信模块、高速背板连接器等核心技术。面向航空航天、高端装备等特种领域，研发耐高温、抗强振、长寿命的高可靠性连接器及传感器产品，形成具有自主知识产权的核心技术和拳头产品，打造国内领先的高端连接器产业基地。</w:t>
      </w:r>
    </w:p>
    <w:p w14:paraId="0C66AB6B">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366" w:name="_Toc24904"/>
      <w:bookmarkStart w:id="367" w:name="_Toc5328"/>
      <w:bookmarkStart w:id="368" w:name="_Toc215857862"/>
      <w:bookmarkStart w:id="369" w:name="_Toc32081"/>
      <w:bookmarkStart w:id="370" w:name="_Toc29698"/>
      <w:bookmarkStart w:id="371" w:name="_Toc20848"/>
      <w:bookmarkStart w:id="372" w:name="_Toc19319"/>
      <w:bookmarkStart w:id="373" w:name="_Toc24179"/>
      <w:bookmarkStart w:id="374" w:name="_Toc1055"/>
      <w:bookmarkStart w:id="375" w:name="_Toc29530"/>
      <w:bookmarkStart w:id="376" w:name="_Toc6901"/>
      <w:bookmarkStart w:id="377" w:name="_Toc933"/>
      <w:bookmarkStart w:id="378" w:name="_Toc21568"/>
      <w:bookmarkStart w:id="379" w:name="_Toc27371"/>
      <w:bookmarkStart w:id="380" w:name="_Toc283052327"/>
      <w:bookmarkStart w:id="381" w:name="_Toc13198"/>
      <w:bookmarkStart w:id="382" w:name="_Toc2770"/>
      <w:r>
        <w:rPr>
          <w:rFonts w:hint="eastAsia" w:ascii="仿宋_GB2312" w:hAnsi="仿宋_GB2312" w:eastAsia="仿宋_GB2312" w:cs="仿宋_GB2312"/>
          <w:b w:val="0"/>
          <w:bCs w:val="0"/>
          <w:lang w:val="en-US" w:eastAsia="zh-CN"/>
        </w:rPr>
        <w:t>四</w:t>
      </w:r>
      <w:r>
        <w:rPr>
          <w:rFonts w:hint="eastAsia" w:ascii="仿宋_GB2312" w:hAnsi="仿宋_GB2312" w:eastAsia="仿宋_GB2312" w:cs="仿宋_GB2312"/>
          <w:b w:val="0"/>
          <w:bCs w:val="0"/>
        </w:rPr>
        <w:t>、培育发展低空经济</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244E215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抢抓国家深化低空空域管理改革和通航产业发展的战略机遇，将低空经济作为培育未来增长点的重要方向。积极与省市对接，争取A类飞行服务站建设资质。大力发展以无人机、电动垂直起降飞行器（eVTOL）为代表的低空经济新业态。依托万安山通用</w:t>
      </w:r>
      <w:r>
        <w:rPr>
          <w:rFonts w:hint="eastAsia" w:ascii="仿宋_GB2312" w:hAnsi="仿宋_GB2312" w:eastAsia="仿宋_GB2312" w:cs="仿宋_GB2312"/>
          <w:b w:val="0"/>
          <w:bCs w:val="0"/>
          <w:color w:val="auto"/>
          <w:lang w:val="en-US" w:eastAsia="zh-CN"/>
        </w:rPr>
        <w:t>航空</w:t>
      </w:r>
      <w:r>
        <w:rPr>
          <w:rFonts w:hint="eastAsia" w:ascii="仿宋_GB2312" w:hAnsi="仿宋_GB2312" w:eastAsia="仿宋_GB2312" w:cs="仿宋_GB2312"/>
          <w:b w:val="0"/>
          <w:bCs w:val="0"/>
          <w:color w:val="auto"/>
        </w:rPr>
        <w:t>机场，建设飞行营地、固定翼飞机观光走廊，开发低空文旅消费场景。重点发展工业级无人机场景应用，拓展其在农林植保、电力巡检、应急救援、地理测绘、物流配送等领域的深度应用。积极引进eVTOL整机及核心零部件研发制造项目。规划建设无人机综合测试试飞基地和垂直起降场等基础设施，引育低空经济运维公司，在数字平台搭建、运营管理系统建设、飞行监控和数据联通等方面进行合作。构建集研发、制造、运营、服务、培训于一体的低空经济产业生态，打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天空之城</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w:t>
      </w:r>
    </w:p>
    <w:p w14:paraId="76ACCEFD">
      <w:pPr>
        <w:pageBreakBefore w:val="0"/>
        <w:widowControl w:val="0"/>
        <w:kinsoku/>
        <w:wordWrap/>
        <w:topLinePunct w:val="0"/>
        <w:bidi w:val="0"/>
        <w:spacing w:line="600" w:lineRule="exact"/>
        <w:ind w:firstLine="656"/>
        <w:rPr>
          <w:rFonts w:hint="eastAsia" w:ascii="仿宋_GB2312" w:hAnsi="仿宋_GB2312" w:eastAsia="仿宋_GB2312" w:cs="仿宋_GB2312"/>
          <w:b w:val="0"/>
          <w:bCs w:val="0"/>
          <w:lang w:eastAsia="zh-CN"/>
        </w:rPr>
      </w:pPr>
    </w:p>
    <w:tbl>
      <w:tblPr>
        <w:tblStyle w:val="34"/>
        <w:tblW w:w="0" w:type="auto"/>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3"/>
      </w:tblGrid>
      <w:tr w14:paraId="5203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3" w:type="dxa"/>
          </w:tcPr>
          <w:p w14:paraId="6949E2F2">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color w:val="auto"/>
                <w:kern w:val="2"/>
                <w:sz w:val="28"/>
                <w:szCs w:val="28"/>
                <w:lang w:val="en-US" w:eastAsia="zh-CN"/>
              </w:rPr>
            </w:pPr>
            <w:r>
              <w:rPr>
                <w:rFonts w:hint="eastAsia" w:ascii="黑体" w:hAnsi="黑体" w:eastAsia="黑体" w:cs="黑体"/>
                <w:b w:val="0"/>
                <w:bCs w:val="0"/>
                <w:color w:val="auto"/>
                <w:kern w:val="2"/>
                <w:sz w:val="28"/>
                <w:szCs w:val="28"/>
              </w:rPr>
              <w:t>专栏</w:t>
            </w:r>
            <w:r>
              <w:rPr>
                <w:rFonts w:hint="eastAsia" w:ascii="黑体" w:hAnsi="黑体" w:eastAsia="黑体" w:cs="黑体"/>
                <w:b w:val="0"/>
                <w:bCs w:val="0"/>
                <w:color w:val="auto"/>
                <w:kern w:val="2"/>
                <w:sz w:val="28"/>
                <w:szCs w:val="28"/>
                <w:lang w:val="en-US" w:eastAsia="zh-CN"/>
              </w:rPr>
              <w:t xml:space="preserve">3-3    </w:t>
            </w:r>
            <w:r>
              <w:rPr>
                <w:rFonts w:hint="eastAsia" w:ascii="黑体" w:hAnsi="黑体" w:eastAsia="黑体" w:cs="黑体"/>
                <w:b w:val="0"/>
                <w:bCs w:val="0"/>
                <w:color w:val="auto"/>
                <w:kern w:val="2"/>
                <w:sz w:val="28"/>
                <w:szCs w:val="28"/>
              </w:rPr>
              <w:t>新兴产业</w:t>
            </w:r>
            <w:r>
              <w:rPr>
                <w:rFonts w:hint="eastAsia" w:ascii="黑体" w:hAnsi="黑体" w:eastAsia="黑体" w:cs="黑体"/>
                <w:b w:val="0"/>
                <w:bCs w:val="0"/>
                <w:color w:val="auto"/>
                <w:kern w:val="2"/>
                <w:sz w:val="28"/>
                <w:szCs w:val="28"/>
                <w:lang w:val="en-US" w:eastAsia="zh-CN"/>
              </w:rPr>
              <w:t>建设项目</w:t>
            </w:r>
          </w:p>
        </w:tc>
      </w:tr>
      <w:tr w14:paraId="1B24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3" w:hRule="atLeast"/>
        </w:trPr>
        <w:tc>
          <w:tcPr>
            <w:tcW w:w="8853" w:type="dxa"/>
          </w:tcPr>
          <w:p w14:paraId="4215A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560"/>
              <w:jc w:val="left"/>
              <w:textAlignment w:val="auto"/>
              <w:rPr>
                <w:rFonts w:hint="eastAsia" w:ascii="仿宋_GB2312" w:hAnsi="仿宋_GB2312" w:eastAsia="仿宋_GB2312" w:cs="仿宋_GB2312"/>
                <w:b w:val="0"/>
                <w:bCs w:val="0"/>
                <w:color w:val="auto"/>
                <w:kern w:val="2"/>
                <w:sz w:val="28"/>
                <w:szCs w:val="28"/>
                <w:lang w:eastAsia="zh-CN"/>
              </w:rPr>
            </w:pPr>
            <w:r>
              <w:rPr>
                <w:rFonts w:hint="eastAsia" w:ascii="仿宋_GB2312" w:hAnsi="仿宋_GB2312" w:eastAsia="仿宋_GB2312" w:cs="仿宋_GB2312"/>
                <w:b w:val="0"/>
                <w:bCs w:val="0"/>
                <w:color w:val="auto"/>
                <w:kern w:val="2"/>
                <w:sz w:val="28"/>
                <w:szCs w:val="28"/>
                <w:lang w:val="en-US" w:eastAsia="zh-CN"/>
              </w:rPr>
              <w:t>新兴产业园区建设项目。建设</w:t>
            </w:r>
            <w:r>
              <w:rPr>
                <w:rFonts w:hint="eastAsia" w:ascii="仿宋_GB2312" w:hAnsi="仿宋_GB2312" w:eastAsia="仿宋_GB2312" w:cs="仿宋_GB2312"/>
                <w:b w:val="0"/>
                <w:bCs w:val="0"/>
                <w:color w:val="auto"/>
                <w:kern w:val="2"/>
                <w:sz w:val="28"/>
                <w:szCs w:val="28"/>
                <w:lang w:eastAsia="zh-CN"/>
              </w:rPr>
              <w:t>中航工业光电所</w:t>
            </w:r>
            <w:r>
              <w:rPr>
                <w:rFonts w:hint="eastAsia" w:ascii="仿宋_GB2312" w:hAnsi="仿宋_GB2312" w:eastAsia="仿宋_GB2312" w:cs="仿宋_GB2312"/>
                <w:b w:val="0"/>
                <w:bCs w:val="0"/>
                <w:color w:val="auto"/>
                <w:kern w:val="2"/>
                <w:sz w:val="28"/>
                <w:szCs w:val="28"/>
              </w:rPr>
              <w:t>产业基地二期</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轴研科技产业园（二期）建设项目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长河之星智能装配与制造基地项目</w:t>
            </w:r>
            <w:r>
              <w:rPr>
                <w:rFonts w:hint="eastAsia" w:ascii="仿宋_GB2312" w:hAnsi="仿宋_GB2312" w:eastAsia="仿宋_GB2312" w:cs="仿宋_GB2312"/>
                <w:b w:val="0"/>
                <w:bCs w:val="0"/>
                <w:color w:val="auto"/>
                <w:kern w:val="2"/>
                <w:sz w:val="28"/>
                <w:szCs w:val="28"/>
                <w:lang w:val="en-US" w:eastAsia="zh-CN"/>
              </w:rPr>
              <w:t>；谋划新兴产业园区建设项目4个</w:t>
            </w:r>
            <w:r>
              <w:rPr>
                <w:rFonts w:hint="eastAsia" w:ascii="仿宋_GB2312" w:hAnsi="仿宋_GB2312" w:eastAsia="仿宋_GB2312" w:cs="仿宋_GB2312"/>
                <w:b w:val="0"/>
                <w:bCs w:val="0"/>
                <w:color w:val="auto"/>
                <w:kern w:val="2"/>
                <w:sz w:val="28"/>
                <w:szCs w:val="28"/>
                <w:lang w:eastAsia="zh-CN"/>
              </w:rPr>
              <w:t>。</w:t>
            </w:r>
          </w:p>
          <w:p w14:paraId="26202B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560"/>
              <w:jc w:val="left"/>
              <w:textAlignment w:val="auto"/>
              <w:rPr>
                <w:rFonts w:hint="eastAsia" w:ascii="仿宋_GB2312" w:hAnsi="仿宋_GB2312" w:eastAsia="仿宋_GB2312" w:cs="仿宋_GB2312"/>
                <w:b w:val="0"/>
                <w:bCs w:val="0"/>
                <w:color w:val="auto"/>
                <w:kern w:val="2"/>
                <w:sz w:val="28"/>
                <w:szCs w:val="28"/>
                <w:lang w:eastAsia="zh-CN"/>
              </w:rPr>
            </w:pPr>
            <w:r>
              <w:rPr>
                <w:rFonts w:hint="eastAsia" w:ascii="仿宋_GB2312" w:hAnsi="仿宋_GB2312" w:eastAsia="仿宋_GB2312" w:cs="仿宋_GB2312"/>
                <w:b w:val="0"/>
                <w:bCs w:val="0"/>
                <w:color w:val="auto"/>
                <w:kern w:val="2"/>
                <w:sz w:val="28"/>
                <w:szCs w:val="28"/>
                <w:lang w:val="en-US" w:eastAsia="zh-CN"/>
              </w:rPr>
              <w:t>新兴产业提质项目。建设</w:t>
            </w:r>
            <w:r>
              <w:rPr>
                <w:rFonts w:hint="eastAsia" w:ascii="仿宋_GB2312" w:hAnsi="仿宋_GB2312" w:eastAsia="仿宋_GB2312" w:cs="仿宋_GB2312"/>
                <w:b w:val="0"/>
                <w:bCs w:val="0"/>
                <w:color w:val="auto"/>
                <w:kern w:val="2"/>
                <w:sz w:val="28"/>
                <w:szCs w:val="28"/>
              </w:rPr>
              <w:t>科思智能精密智造二期</w:t>
            </w:r>
            <w:r>
              <w:rPr>
                <w:rFonts w:hint="eastAsia" w:ascii="仿宋_GB2312" w:hAnsi="仿宋_GB2312" w:eastAsia="仿宋_GB2312" w:cs="仿宋_GB2312"/>
                <w:b w:val="0"/>
                <w:bCs w:val="0"/>
                <w:color w:val="auto"/>
                <w:kern w:val="2"/>
                <w:sz w:val="28"/>
                <w:szCs w:val="28"/>
                <w:lang w:val="en-US" w:eastAsia="zh-CN"/>
              </w:rPr>
              <w:t>项目；谋划新兴产业提质项目8个</w:t>
            </w:r>
            <w:r>
              <w:rPr>
                <w:rFonts w:hint="eastAsia" w:ascii="仿宋_GB2312" w:hAnsi="仿宋_GB2312" w:eastAsia="仿宋_GB2312" w:cs="仿宋_GB2312"/>
                <w:b w:val="0"/>
                <w:bCs w:val="0"/>
                <w:color w:val="auto"/>
                <w:kern w:val="2"/>
                <w:sz w:val="28"/>
                <w:szCs w:val="28"/>
                <w:lang w:eastAsia="zh-CN"/>
              </w:rPr>
              <w:t>。</w:t>
            </w:r>
          </w:p>
        </w:tc>
      </w:tr>
    </w:tbl>
    <w:p w14:paraId="28378EBF">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bookmarkStart w:id="383" w:name="_Toc13216"/>
      <w:bookmarkStart w:id="384" w:name="_Toc13946"/>
      <w:bookmarkStart w:id="385" w:name="_Toc18096"/>
      <w:bookmarkStart w:id="386" w:name="_Toc18901"/>
      <w:bookmarkStart w:id="387" w:name="_Toc10455"/>
      <w:bookmarkStart w:id="388" w:name="_Toc132687906"/>
      <w:bookmarkStart w:id="389" w:name="_Toc14886"/>
      <w:bookmarkStart w:id="390" w:name="_Toc88"/>
      <w:r>
        <w:rPr>
          <w:rFonts w:hint="eastAsia" w:ascii="黑体" w:hAnsi="黑体" w:eastAsia="黑体" w:cs="黑体"/>
          <w:b w:val="0"/>
          <w:bCs w:val="0"/>
          <w:lang w:val="en-US" w:eastAsia="zh-CN"/>
        </w:rPr>
        <w:t xml:space="preserve">第三节 </w:t>
      </w:r>
      <w:bookmarkEnd w:id="344"/>
      <w:bookmarkEnd w:id="345"/>
      <w:bookmarkEnd w:id="346"/>
      <w:bookmarkEnd w:id="347"/>
      <w:r>
        <w:rPr>
          <w:rFonts w:hint="eastAsia" w:ascii="黑体" w:hAnsi="黑体" w:eastAsia="黑体" w:cs="黑体"/>
          <w:b w:val="0"/>
          <w:bCs w:val="0"/>
          <w:lang w:val="en-US" w:eastAsia="zh-CN"/>
        </w:rPr>
        <w:t xml:space="preserve"> 前瞻布局未来产业</w:t>
      </w:r>
      <w:bookmarkEnd w:id="348"/>
      <w:bookmarkEnd w:id="349"/>
      <w:bookmarkEnd w:id="350"/>
      <w:bookmarkEnd w:id="351"/>
      <w:bookmarkEnd w:id="383"/>
      <w:bookmarkEnd w:id="384"/>
      <w:bookmarkEnd w:id="385"/>
      <w:bookmarkEnd w:id="386"/>
      <w:bookmarkEnd w:id="387"/>
      <w:bookmarkEnd w:id="388"/>
      <w:bookmarkEnd w:id="389"/>
      <w:bookmarkEnd w:id="390"/>
    </w:p>
    <w:p w14:paraId="3F53DE6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b w:val="0"/>
          <w:bCs w:val="0"/>
        </w:rPr>
      </w:pPr>
    </w:p>
    <w:p w14:paraId="766BF9B8">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rPr>
        <w:t>实施未来产业启航工程，强化基础性、前瞻性技术布局，加强未来产业识别和动态调整，建立未来产业投入增长和风险分担机制，以未来技术转化和产业跨界融合为重点，推进新产品及新技术示范推广</w:t>
      </w:r>
      <w:r>
        <w:rPr>
          <w:rFonts w:hint="eastAsia" w:ascii="仿宋_GB2312" w:hAnsi="仿宋_GB2312" w:eastAsia="仿宋_GB2312" w:cs="仿宋_GB2312"/>
          <w:b w:val="0"/>
          <w:bCs w:val="0"/>
          <w:lang w:eastAsia="zh-CN"/>
        </w:rPr>
        <w:t>。</w:t>
      </w:r>
    </w:p>
    <w:p w14:paraId="1F765AE4">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391" w:name="_Toc27915"/>
      <w:bookmarkStart w:id="392" w:name="_Toc8150"/>
      <w:bookmarkStart w:id="393" w:name="_Toc26017"/>
      <w:bookmarkStart w:id="394" w:name="_Toc10918"/>
      <w:bookmarkStart w:id="395" w:name="_Toc23069"/>
      <w:bookmarkStart w:id="396" w:name="_Toc3899"/>
      <w:bookmarkStart w:id="397" w:name="_Toc16942"/>
      <w:bookmarkStart w:id="398" w:name="_Toc27748"/>
      <w:bookmarkStart w:id="399" w:name="_Toc27105"/>
      <w:bookmarkStart w:id="400" w:name="_Toc1809"/>
      <w:bookmarkStart w:id="401" w:name="_Toc3567"/>
      <w:bookmarkStart w:id="402" w:name="_Toc7404"/>
      <w:bookmarkStart w:id="403" w:name="_Toc894655196"/>
      <w:bookmarkStart w:id="404" w:name="_Toc3027"/>
      <w:bookmarkStart w:id="405" w:name="_Toc215857864"/>
      <w:bookmarkStart w:id="406" w:name="_Toc25442"/>
      <w:bookmarkStart w:id="407" w:name="_Toc14946"/>
      <w:r>
        <w:rPr>
          <w:rFonts w:hint="eastAsia" w:ascii="仿宋_GB2312" w:hAnsi="仿宋_GB2312" w:eastAsia="仿宋_GB2312" w:cs="仿宋_GB2312"/>
          <w:b w:val="0"/>
          <w:bCs w:val="0"/>
          <w:lang w:val="en-US" w:eastAsia="zh-CN"/>
        </w:rPr>
        <w:t>一</w:t>
      </w:r>
      <w:r>
        <w:rPr>
          <w:rFonts w:hint="eastAsia" w:ascii="仿宋_GB2312" w:hAnsi="仿宋_GB2312" w:eastAsia="仿宋_GB2312" w:cs="仿宋_GB2312"/>
          <w:b w:val="0"/>
          <w:bCs w:val="0"/>
        </w:rPr>
        <w:t>、探索布局机器人</w:t>
      </w:r>
      <w:bookmarkEnd w:id="391"/>
      <w:bookmarkEnd w:id="392"/>
      <w:r>
        <w:rPr>
          <w:rFonts w:hint="eastAsia" w:ascii="仿宋_GB2312" w:hAnsi="仿宋_GB2312" w:eastAsia="仿宋_GB2312" w:cs="仿宋_GB2312"/>
          <w:b w:val="0"/>
          <w:bCs w:val="0"/>
        </w:rPr>
        <w:t>产业</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1A89AE0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依托洛阳在智能装备、精密轴承、伺服电机等领域的深厚产业基础，系统布局人形机器人产业链。积极引进和培育碳纤维复合材料的研发和制造企业，推动其在机器人骨骼、臂膀等承力结构件上的应用。重点关注PEEK（聚醚醚酮）等特种工程塑料的应用，利用其自润滑、耐磨损等优异特性，开发用于机器人关节、齿轮等精密部件，提升机器人的耐用性和精细操作能力，形成以高性能新材料为支撑的机器人本体制造优势。积极探索人形机器人在工业制造、医疗康养、特种作业等领域的应用。</w:t>
      </w:r>
    </w:p>
    <w:p w14:paraId="2EE6FEAB">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408" w:name="_Toc27198"/>
      <w:bookmarkStart w:id="409" w:name="_Toc32449"/>
      <w:bookmarkStart w:id="410" w:name="_Toc12814"/>
      <w:bookmarkStart w:id="411" w:name="_Toc159"/>
      <w:bookmarkStart w:id="412" w:name="_Toc3725"/>
      <w:bookmarkStart w:id="413" w:name="_Toc12368"/>
      <w:bookmarkStart w:id="414" w:name="_Toc31399"/>
      <w:bookmarkStart w:id="415" w:name="_Toc22352"/>
      <w:bookmarkStart w:id="416" w:name="_Toc4890"/>
      <w:bookmarkStart w:id="417" w:name="_Toc215857865"/>
      <w:bookmarkStart w:id="418" w:name="_Toc28445"/>
      <w:bookmarkStart w:id="419" w:name="_Toc1756"/>
      <w:bookmarkStart w:id="420" w:name="_Toc16129"/>
      <w:bookmarkStart w:id="421" w:name="_Toc299"/>
      <w:bookmarkStart w:id="422" w:name="_Toc10280"/>
      <w:bookmarkStart w:id="423" w:name="_Toc1900204055"/>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链式布局</w:t>
      </w:r>
      <w:r>
        <w:rPr>
          <w:rFonts w:hint="eastAsia" w:ascii="仿宋_GB2312" w:hAnsi="仿宋_GB2312" w:eastAsia="仿宋_GB2312" w:cs="仿宋_GB2312"/>
          <w:b w:val="0"/>
          <w:bCs w:val="0"/>
        </w:rPr>
        <w:t>新型储能</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EC4A6B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紧盯</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后锂电时代</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能源技术变革，将新型储能作为未来能源体系的核心环节进行战略性培育。支持龙门实验室等科研平台围绕钠离子电池、全固态电池、液流电池等前沿技术路线，开展基础研究和技术攻关，力争形成原创性、颠覆性技术成果。鼓励建设多元化技术路线的储能电站，在发电侧、电网侧和用户侧全面探索</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新能源+储能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的商业化应用模式和市场机制。</w:t>
      </w:r>
    </w:p>
    <w:p w14:paraId="27533CB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val="0"/>
          <w:bCs w:val="0"/>
        </w:rPr>
      </w:pPr>
    </w:p>
    <w:tbl>
      <w:tblPr>
        <w:tblStyle w:val="34"/>
        <w:tblW w:w="0" w:type="auto"/>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5"/>
      </w:tblGrid>
      <w:tr w14:paraId="5C7C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834" w:type="dxa"/>
          </w:tcPr>
          <w:p w14:paraId="441C5ABA">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kern w:val="2"/>
                <w:vertAlign w:val="baseline"/>
                <w:lang w:val="en-US" w:eastAsia="zh-CN"/>
              </w:rPr>
            </w:pPr>
            <w:r>
              <w:rPr>
                <w:rFonts w:hint="eastAsia" w:ascii="黑体" w:hAnsi="黑体" w:eastAsia="黑体" w:cs="黑体"/>
                <w:b w:val="0"/>
                <w:bCs w:val="0"/>
                <w:color w:val="auto"/>
                <w:kern w:val="2"/>
                <w:sz w:val="28"/>
                <w:szCs w:val="28"/>
                <w:lang w:val="en-US" w:eastAsia="zh-CN"/>
              </w:rPr>
              <w:t>专栏3-4    未来产业建设项目</w:t>
            </w:r>
          </w:p>
        </w:tc>
      </w:tr>
      <w:tr w14:paraId="572D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834" w:type="dxa"/>
          </w:tcPr>
          <w:p w14:paraId="300FEC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仿宋_GB2312" w:hAnsi="仿宋_GB2312" w:eastAsia="仿宋_GB2312" w:cs="仿宋_GB2312"/>
                <w:b w:val="0"/>
                <w:bCs w:val="0"/>
                <w:kern w:val="2"/>
                <w:sz w:val="28"/>
                <w:szCs w:val="28"/>
              </w:rPr>
            </w:pPr>
            <w:r>
              <w:rPr>
                <w:rFonts w:hint="eastAsia" w:ascii="仿宋_GB2312" w:hAnsi="仿宋_GB2312" w:eastAsia="仿宋_GB2312" w:cs="仿宋_GB2312"/>
                <w:b w:val="0"/>
                <w:bCs w:val="0"/>
                <w:kern w:val="2"/>
                <w:sz w:val="28"/>
                <w:szCs w:val="28"/>
                <w:lang w:val="en-US" w:eastAsia="zh-CN"/>
              </w:rPr>
              <w:t>未来产业培育项目。谋划人形机器人、</w:t>
            </w:r>
            <w:r>
              <w:rPr>
                <w:rFonts w:hint="eastAsia" w:ascii="仿宋_GB2312" w:hAnsi="仿宋_GB2312" w:eastAsia="仿宋_GB2312" w:cs="仿宋_GB2312"/>
                <w:b w:val="0"/>
                <w:bCs w:val="0"/>
                <w:kern w:val="2"/>
                <w:sz w:val="28"/>
                <w:szCs w:val="28"/>
              </w:rPr>
              <w:t>第三代半导体用关键材料</w:t>
            </w:r>
            <w:r>
              <w:rPr>
                <w:rFonts w:hint="eastAsia" w:ascii="仿宋_GB2312" w:hAnsi="仿宋_GB2312" w:eastAsia="仿宋_GB2312" w:cs="仿宋_GB2312"/>
                <w:b w:val="0"/>
                <w:bCs w:val="0"/>
                <w:color w:val="auto"/>
                <w:kern w:val="2"/>
                <w:sz w:val="28"/>
                <w:szCs w:val="28"/>
                <w:lang w:val="en-US" w:eastAsia="zh-CN"/>
              </w:rPr>
              <w:t>等</w:t>
            </w:r>
            <w:r>
              <w:rPr>
                <w:rFonts w:hint="eastAsia" w:ascii="仿宋_GB2312" w:hAnsi="仿宋_GB2312" w:eastAsia="仿宋_GB2312" w:cs="仿宋_GB2312"/>
                <w:b w:val="0"/>
                <w:bCs w:val="0"/>
                <w:kern w:val="2"/>
                <w:sz w:val="28"/>
                <w:szCs w:val="28"/>
                <w:lang w:val="en-US" w:eastAsia="zh-CN"/>
              </w:rPr>
              <w:t>未来产业培育项目6个</w:t>
            </w:r>
            <w:r>
              <w:rPr>
                <w:rFonts w:hint="eastAsia" w:ascii="仿宋_GB2312" w:hAnsi="仿宋_GB2312" w:eastAsia="仿宋_GB2312" w:cs="仿宋_GB2312"/>
                <w:b w:val="0"/>
                <w:bCs w:val="0"/>
                <w:color w:val="auto"/>
                <w:kern w:val="2"/>
                <w:sz w:val="28"/>
                <w:szCs w:val="28"/>
                <w:lang w:eastAsia="zh-CN"/>
              </w:rPr>
              <w:t>。</w:t>
            </w:r>
          </w:p>
        </w:tc>
      </w:tr>
    </w:tbl>
    <w:p w14:paraId="245FCEA0">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2F837F93">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bookmarkStart w:id="424" w:name="_Toc26938"/>
      <w:bookmarkStart w:id="425" w:name="_Toc7218"/>
      <w:bookmarkStart w:id="426" w:name="_Toc14633"/>
      <w:bookmarkStart w:id="427" w:name="_Toc6201"/>
      <w:bookmarkStart w:id="428" w:name="_Toc30714"/>
      <w:bookmarkStart w:id="429" w:name="_Toc25411"/>
      <w:bookmarkStart w:id="430" w:name="_Toc9001"/>
      <w:bookmarkStart w:id="431" w:name="_Toc215857872"/>
      <w:bookmarkStart w:id="432" w:name="_Toc31086"/>
      <w:bookmarkStart w:id="433" w:name="_Toc15836"/>
      <w:bookmarkStart w:id="434" w:name="_Toc20285"/>
      <w:bookmarkStart w:id="435" w:name="_Toc25678"/>
      <w:bookmarkStart w:id="436" w:name="_Toc25284"/>
      <w:bookmarkStart w:id="437" w:name="_Toc2005295103"/>
      <w:bookmarkStart w:id="438" w:name="_Toc18563"/>
      <w:r>
        <w:rPr>
          <w:rFonts w:hint="eastAsia" w:ascii="黑体" w:hAnsi="黑体" w:eastAsia="黑体" w:cs="黑体"/>
          <w:b w:val="0"/>
          <w:bCs w:val="0"/>
          <w:lang w:val="en-US" w:eastAsia="zh-CN"/>
        </w:rPr>
        <w:t>第四节  推动服务业高质量发展</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6AA7BE54">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439" w:name="_Toc7947"/>
    </w:p>
    <w:p w14:paraId="4FF842B4">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eastAsia="zh-CN"/>
        </w:rPr>
      </w:pPr>
      <w:r>
        <w:rPr>
          <w:rFonts w:hint="eastAsia" w:ascii="仿宋_GB2312" w:hAnsi="仿宋_GB2312" w:eastAsia="仿宋_GB2312" w:cs="仿宋_GB2312"/>
          <w:b w:val="0"/>
          <w:bCs w:val="0"/>
        </w:rPr>
        <w:t>坚持现代服务业与先进制造业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两业融合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color w:val="auto"/>
        </w:rPr>
        <w:t>发展，以</w:t>
      </w:r>
      <w:r>
        <w:rPr>
          <w:rFonts w:hint="eastAsia" w:ascii="仿宋_GB2312" w:hAnsi="仿宋_GB2312" w:eastAsia="仿宋_GB2312" w:cs="仿宋_GB2312"/>
          <w:b w:val="0"/>
          <w:bCs w:val="0"/>
          <w:color w:val="auto"/>
          <w:lang w:val="en-US" w:eastAsia="zh-CN"/>
        </w:rPr>
        <w:t>生产性</w:t>
      </w:r>
      <w:r>
        <w:rPr>
          <w:rFonts w:hint="eastAsia" w:ascii="仿宋_GB2312" w:hAnsi="仿宋_GB2312" w:eastAsia="仿宋_GB2312" w:cs="仿宋_GB2312"/>
          <w:b w:val="0"/>
          <w:bCs w:val="0"/>
          <w:color w:val="auto"/>
        </w:rPr>
        <w:t>服务赋能制造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以生活性服务支撑制造，</w:t>
      </w:r>
      <w:r>
        <w:rPr>
          <w:rFonts w:hint="eastAsia" w:ascii="仿宋_GB2312" w:hAnsi="仿宋_GB2312" w:eastAsia="仿宋_GB2312" w:cs="仿宋_GB2312"/>
          <w:b w:val="0"/>
          <w:bCs w:val="0"/>
          <w:color w:val="auto"/>
        </w:rPr>
        <w:t>实施现代服务业扩能提质行动，构建现代服务业产业体系，</w:t>
      </w:r>
      <w:r>
        <w:rPr>
          <w:rFonts w:hint="eastAsia" w:ascii="仿宋_GB2312" w:hAnsi="仿宋_GB2312" w:eastAsia="仿宋_GB2312" w:cs="仿宋_GB2312"/>
          <w:b w:val="0"/>
          <w:bCs w:val="0"/>
          <w:color w:val="auto"/>
          <w:lang w:val="en-US" w:eastAsia="zh-CN"/>
        </w:rPr>
        <w:t>建设</w:t>
      </w:r>
      <w:r>
        <w:rPr>
          <w:rFonts w:hint="eastAsia" w:ascii="仿宋_GB2312" w:hAnsi="仿宋_GB2312" w:eastAsia="仿宋_GB2312" w:cs="仿宋_GB2312"/>
          <w:b w:val="0"/>
          <w:bCs w:val="0"/>
          <w:color w:val="auto"/>
        </w:rPr>
        <w:t>具有较大竞争力的</w:t>
      </w:r>
      <w:r>
        <w:rPr>
          <w:rFonts w:hint="eastAsia" w:ascii="仿宋_GB2312" w:hAnsi="仿宋_GB2312" w:eastAsia="仿宋_GB2312" w:cs="仿宋_GB2312"/>
          <w:b w:val="0"/>
          <w:bCs w:val="0"/>
          <w:color w:val="auto"/>
          <w:lang w:val="en-US" w:eastAsia="zh-CN"/>
        </w:rPr>
        <w:t>现代</w:t>
      </w:r>
      <w:r>
        <w:rPr>
          <w:rFonts w:hint="eastAsia" w:ascii="仿宋_GB2312" w:hAnsi="仿宋_GB2312" w:eastAsia="仿宋_GB2312" w:cs="仿宋_GB2312"/>
          <w:b w:val="0"/>
          <w:bCs w:val="0"/>
          <w:color w:val="auto"/>
        </w:rPr>
        <w:t>服务业基地</w:t>
      </w:r>
      <w:r>
        <w:rPr>
          <w:rFonts w:hint="eastAsia" w:ascii="仿宋_GB2312" w:hAnsi="仿宋_GB2312" w:eastAsia="仿宋_GB2312" w:cs="仿宋_GB2312"/>
          <w:b w:val="0"/>
          <w:bCs w:val="0"/>
          <w:color w:val="auto"/>
          <w:lang w:eastAsia="zh-CN"/>
        </w:rPr>
        <w:t>。</w:t>
      </w:r>
    </w:p>
    <w:p w14:paraId="13F2E568">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440" w:name="_Toc5623"/>
      <w:bookmarkStart w:id="441" w:name="_Toc31818"/>
      <w:bookmarkStart w:id="442" w:name="_Toc28544"/>
      <w:bookmarkStart w:id="443" w:name="_Toc28040"/>
      <w:bookmarkStart w:id="444" w:name="_Toc31839"/>
      <w:bookmarkStart w:id="445" w:name="_Toc21751"/>
      <w:bookmarkStart w:id="446" w:name="_Toc449119810"/>
      <w:bookmarkStart w:id="447" w:name="_Toc31625"/>
      <w:bookmarkStart w:id="448" w:name="_Toc4561"/>
      <w:bookmarkStart w:id="449" w:name="_Toc20109"/>
      <w:bookmarkStart w:id="450" w:name="_Toc13083"/>
      <w:bookmarkStart w:id="451" w:name="_Toc9120"/>
      <w:bookmarkStart w:id="452" w:name="_Toc215857873"/>
      <w:bookmarkStart w:id="453" w:name="_Toc21762"/>
      <w:bookmarkStart w:id="454" w:name="_Toc30806"/>
      <w:r>
        <w:rPr>
          <w:rFonts w:hint="eastAsia" w:ascii="仿宋_GB2312" w:hAnsi="仿宋_GB2312" w:eastAsia="仿宋_GB2312" w:cs="仿宋_GB2312"/>
          <w:b w:val="0"/>
          <w:bCs w:val="0"/>
        </w:rPr>
        <w:t>一、</w:t>
      </w:r>
      <w:bookmarkEnd w:id="440"/>
      <w:bookmarkEnd w:id="441"/>
      <w:bookmarkEnd w:id="442"/>
      <w:bookmarkEnd w:id="443"/>
      <w:bookmarkEnd w:id="444"/>
      <w:bookmarkEnd w:id="445"/>
      <w:r>
        <w:rPr>
          <w:rFonts w:hint="eastAsia" w:ascii="仿宋_GB2312" w:hAnsi="仿宋_GB2312" w:eastAsia="仿宋_GB2312" w:cs="仿宋_GB2312"/>
          <w:b w:val="0"/>
          <w:bCs w:val="0"/>
        </w:rPr>
        <w:t>推进生产性服务业向专业化和价值链高端延伸</w:t>
      </w:r>
      <w:bookmarkEnd w:id="446"/>
      <w:bookmarkEnd w:id="447"/>
    </w:p>
    <w:p w14:paraId="4FC61510">
      <w:pPr>
        <w:pageBreakBefore w:val="0"/>
        <w:widowControl w:val="0"/>
        <w:tabs>
          <w:tab w:val="left" w:pos="3807"/>
        </w:tabs>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培育发展总部经济</w:t>
      </w:r>
      <w:bookmarkEnd w:id="448"/>
      <w:bookmarkEnd w:id="449"/>
      <w:bookmarkEnd w:id="450"/>
      <w:bookmarkEnd w:id="451"/>
      <w:bookmarkEnd w:id="452"/>
      <w:bookmarkEnd w:id="453"/>
      <w:bookmarkEnd w:id="454"/>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以科技大厦、会展中心等现有</w:t>
      </w:r>
      <w:r>
        <w:rPr>
          <w:rFonts w:hint="eastAsia" w:ascii="仿宋_GB2312" w:hAnsi="仿宋_GB2312" w:eastAsia="仿宋_GB2312" w:cs="仿宋_GB2312"/>
          <w:b w:val="0"/>
          <w:bCs w:val="0"/>
          <w:lang w:eastAsia="zh-CN"/>
        </w:rPr>
        <w:t>楼宇场馆</w:t>
      </w:r>
      <w:r>
        <w:rPr>
          <w:rFonts w:hint="eastAsia" w:ascii="仿宋_GB2312" w:hAnsi="仿宋_GB2312" w:eastAsia="仿宋_GB2312" w:cs="仿宋_GB2312"/>
          <w:b w:val="0"/>
          <w:bCs w:val="0"/>
        </w:rPr>
        <w:t>为中心，重点布局科技金融、总部办公、高端商务、法律会计、检验检测认证等专业服务业，大力发展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平台经济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头部经济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，吸引国内外知名企业设立区域总部、研发中心或功能性机构。</w:t>
      </w:r>
      <w:r>
        <w:rPr>
          <w:rFonts w:hint="eastAsia" w:ascii="仿宋_GB2312" w:hAnsi="仿宋_GB2312" w:eastAsia="仿宋_GB2312" w:cs="仿宋_GB2312"/>
          <w:b w:val="0"/>
          <w:bCs w:val="0"/>
          <w:lang w:val="en-US" w:eastAsia="zh-CN"/>
        </w:rPr>
        <w:t>吸引</w:t>
      </w:r>
      <w:r>
        <w:rPr>
          <w:rFonts w:hint="eastAsia" w:ascii="仿宋_GB2312" w:hAnsi="仿宋_GB2312" w:eastAsia="仿宋_GB2312" w:cs="仿宋_GB2312"/>
          <w:b w:val="0"/>
          <w:bCs w:val="0"/>
        </w:rPr>
        <w:t>行业领军企业</w:t>
      </w:r>
      <w:r>
        <w:rPr>
          <w:rFonts w:hint="eastAsia" w:ascii="仿宋_GB2312" w:hAnsi="仿宋_GB2312" w:eastAsia="仿宋_GB2312" w:cs="仿宋_GB2312"/>
          <w:b w:val="0"/>
          <w:bCs w:val="0"/>
          <w:lang w:val="en-US" w:eastAsia="zh-CN"/>
        </w:rPr>
        <w:t>的</w:t>
      </w:r>
      <w:r>
        <w:rPr>
          <w:rFonts w:hint="eastAsia" w:ascii="仿宋_GB2312" w:hAnsi="仿宋_GB2312" w:eastAsia="仿宋_GB2312" w:cs="仿宋_GB2312"/>
          <w:b w:val="0"/>
          <w:bCs w:val="0"/>
        </w:rPr>
        <w:t>研发、销售、结算中心</w:t>
      </w:r>
      <w:r>
        <w:rPr>
          <w:rFonts w:hint="eastAsia" w:ascii="仿宋_GB2312" w:hAnsi="仿宋_GB2312" w:eastAsia="仿宋_GB2312" w:cs="仿宋_GB2312"/>
          <w:b w:val="0"/>
          <w:bCs w:val="0"/>
          <w:lang w:val="en-US" w:eastAsia="zh-CN"/>
        </w:rPr>
        <w:t>等</w:t>
      </w:r>
      <w:r>
        <w:rPr>
          <w:rFonts w:hint="eastAsia" w:ascii="仿宋_GB2312" w:hAnsi="仿宋_GB2312" w:eastAsia="仿宋_GB2312" w:cs="仿宋_GB2312"/>
          <w:b w:val="0"/>
          <w:bCs w:val="0"/>
        </w:rPr>
        <w:t>功能性总部</w:t>
      </w:r>
      <w:r>
        <w:rPr>
          <w:rFonts w:hint="eastAsia" w:ascii="仿宋_GB2312" w:hAnsi="仿宋_GB2312" w:eastAsia="仿宋_GB2312" w:cs="仿宋_GB2312"/>
          <w:b w:val="0"/>
          <w:bCs w:val="0"/>
          <w:lang w:val="en-US" w:eastAsia="zh-CN"/>
        </w:rPr>
        <w:t>在伊滨</w:t>
      </w:r>
      <w:r>
        <w:rPr>
          <w:rFonts w:hint="eastAsia" w:ascii="仿宋_GB2312" w:hAnsi="仿宋_GB2312" w:eastAsia="仿宋_GB2312" w:cs="仿宋_GB2312"/>
          <w:b w:val="0"/>
          <w:bCs w:val="0"/>
        </w:rPr>
        <w:t>设立区域性</w:t>
      </w:r>
      <w:r>
        <w:rPr>
          <w:rFonts w:hint="eastAsia" w:ascii="仿宋_GB2312" w:hAnsi="仿宋_GB2312" w:eastAsia="仿宋_GB2312" w:cs="仿宋_GB2312"/>
          <w:b w:val="0"/>
          <w:bCs w:val="0"/>
          <w:lang w:val="en-US" w:eastAsia="zh-CN"/>
        </w:rPr>
        <w:t>分</w:t>
      </w:r>
      <w:r>
        <w:rPr>
          <w:rFonts w:hint="eastAsia" w:ascii="仿宋_GB2312" w:hAnsi="仿宋_GB2312" w:eastAsia="仿宋_GB2312" w:cs="仿宋_GB2312"/>
          <w:b w:val="0"/>
          <w:bCs w:val="0"/>
        </w:rPr>
        <w:t>部。强化高端人才引进与服务配套，建设高品质社区与商务载体，在办公用房、人才落户、子女教育、医疗保障等方面提供</w:t>
      </w:r>
      <w:r>
        <w:rPr>
          <w:rFonts w:hint="eastAsia" w:ascii="仿宋_GB2312" w:hAnsi="仿宋_GB2312" w:eastAsia="仿宋_GB2312" w:cs="仿宋_GB2312"/>
          <w:b w:val="0"/>
          <w:bCs w:val="0"/>
          <w:lang w:val="en-US" w:eastAsia="zh-CN"/>
        </w:rPr>
        <w:t>具有竞争力</w:t>
      </w:r>
      <w:r>
        <w:rPr>
          <w:rFonts w:hint="eastAsia" w:ascii="仿宋_GB2312" w:hAnsi="仿宋_GB2312" w:eastAsia="仿宋_GB2312" w:cs="仿宋_GB2312"/>
          <w:b w:val="0"/>
          <w:bCs w:val="0"/>
        </w:rPr>
        <w:t>的</w:t>
      </w:r>
      <w:r>
        <w:rPr>
          <w:rFonts w:hint="eastAsia" w:ascii="仿宋_GB2312" w:hAnsi="仿宋_GB2312" w:eastAsia="仿宋_GB2312" w:cs="仿宋_GB2312"/>
          <w:b w:val="0"/>
          <w:bCs w:val="0"/>
          <w:lang w:val="en-US" w:eastAsia="zh-CN"/>
        </w:rPr>
        <w:t>优质</w:t>
      </w:r>
      <w:r>
        <w:rPr>
          <w:rFonts w:hint="eastAsia" w:ascii="仿宋_GB2312" w:hAnsi="仿宋_GB2312" w:eastAsia="仿宋_GB2312" w:cs="仿宋_GB2312"/>
          <w:b w:val="0"/>
          <w:bCs w:val="0"/>
        </w:rPr>
        <w:t>服务。</w:t>
      </w:r>
    </w:p>
    <w:p w14:paraId="63344B1D">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455" w:name="_Toc18536"/>
      <w:bookmarkStart w:id="456" w:name="_Toc18530"/>
      <w:bookmarkStart w:id="457" w:name="_Toc3626"/>
      <w:bookmarkStart w:id="458" w:name="_Toc21861"/>
      <w:bookmarkStart w:id="459" w:name="_Toc31738"/>
      <w:bookmarkStart w:id="460" w:name="_Toc31660"/>
      <w:bookmarkStart w:id="461" w:name="_Toc215857875"/>
      <w:r>
        <w:rPr>
          <w:rFonts w:hint="eastAsia" w:ascii="仿宋_GB2312" w:hAnsi="仿宋_GB2312" w:eastAsia="仿宋_GB2312" w:cs="仿宋_GB2312"/>
          <w:b w:val="0"/>
          <w:bCs w:val="0"/>
        </w:rPr>
        <w:t>做优做强现代物流</w:t>
      </w:r>
      <w:bookmarkEnd w:id="455"/>
      <w:bookmarkEnd w:id="456"/>
      <w:bookmarkEnd w:id="457"/>
      <w:bookmarkEnd w:id="458"/>
      <w:bookmarkEnd w:id="459"/>
      <w:bookmarkEnd w:id="460"/>
      <w:bookmarkEnd w:id="461"/>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枢纽+通道+网络</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为发展模式，构建服务洛阳、辐射豫西、链接全国的现代智慧物流体系。高标准谋划建设</w:t>
      </w:r>
      <w:r>
        <w:rPr>
          <w:rFonts w:hint="eastAsia" w:ascii="仿宋_GB2312" w:hAnsi="仿宋_GB2312" w:eastAsia="仿宋_GB2312" w:cs="仿宋_GB2312"/>
          <w:b w:val="0"/>
          <w:bCs w:val="0"/>
          <w:color w:val="auto"/>
          <w:lang w:val="en-US" w:eastAsia="zh-CN"/>
        </w:rPr>
        <w:t>新能源、钢制家具等</w:t>
      </w:r>
      <w:r>
        <w:rPr>
          <w:rFonts w:hint="eastAsia" w:ascii="仿宋_GB2312" w:hAnsi="仿宋_GB2312" w:eastAsia="仿宋_GB2312" w:cs="仿宋_GB2312"/>
          <w:b w:val="0"/>
          <w:bCs w:val="0"/>
          <w:color w:val="auto"/>
        </w:rPr>
        <w:t>区域性物流园，</w:t>
      </w:r>
      <w:r>
        <w:rPr>
          <w:rFonts w:hint="eastAsia" w:ascii="仿宋_GB2312" w:hAnsi="仿宋_GB2312" w:eastAsia="仿宋_GB2312" w:cs="仿宋_GB2312"/>
          <w:b w:val="0"/>
          <w:bCs w:val="0"/>
        </w:rPr>
        <w:t>加快推进豫西智慧物流园、国晟智慧物流产业园、新能源产业物流园等建设，建成集仓储、转运、分拨、配送于一体的综合性物流园区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完善现代化综合交通运输体系，大力发展多式联运，促进物流产业降本提质</w:t>
      </w:r>
      <w:r>
        <w:rPr>
          <w:rFonts w:hint="eastAsia" w:ascii="仿宋_GB2312" w:hAnsi="仿宋_GB2312" w:eastAsia="仿宋_GB2312" w:cs="仿宋_GB2312"/>
          <w:b w:val="0"/>
          <w:bCs w:val="0"/>
        </w:rPr>
        <w:t>。发展专业化供应链服务。围绕先进装备制造、新材料、新能源等产业，大力发展嵌入式供应链服务，提供从原材料采购、库存管理到产成品分销的全链条解决方案，降低实体企业物流成本。培育壮大冷链及城市配送物流。响应消费升级需求，布局建设高标准冷链仓储设施，完善覆盖城乡的末端配送网络，支持农产品上行和生鲜电商发展，保障城市高品质生活供给。</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末，全区社会物流总额超过2000亿元。</w:t>
      </w:r>
    </w:p>
    <w:p w14:paraId="280EB301">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bookmarkStart w:id="462" w:name="_Toc22523"/>
      <w:bookmarkStart w:id="463" w:name="_Toc17957"/>
      <w:bookmarkStart w:id="464" w:name="_Toc26380"/>
      <w:r>
        <w:rPr>
          <w:rFonts w:hint="eastAsia" w:ascii="仿宋_GB2312" w:hAnsi="仿宋_GB2312" w:eastAsia="仿宋_GB2312" w:cs="仿宋_GB2312"/>
          <w:b w:val="0"/>
          <w:bCs w:val="0"/>
        </w:rPr>
        <w:t>培育电商市场主体</w:t>
      </w:r>
      <w:bookmarkEnd w:id="462"/>
      <w:bookmarkEnd w:id="463"/>
      <w:bookmarkEnd w:id="464"/>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依托洛阳综合保税区政策优势，充分拓展钢制家具跨境出海经验，鼓励各类企业深度融合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电商+产业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。加强与现代物流产业的联动，提供高效、低成本的仓储配送服务。积极发展电商代运营、整合营销、数据分析等专业服务，营造良好的电商产业生态。实施品牌战略，</w:t>
      </w:r>
      <w:r>
        <w:rPr>
          <w:rFonts w:hint="eastAsia" w:ascii="仿宋_GB2312" w:hAnsi="仿宋_GB2312" w:eastAsia="仿宋_GB2312" w:cs="仿宋_GB2312"/>
          <w:b w:val="0"/>
          <w:bCs w:val="0"/>
          <w:lang w:eastAsia="zh-CN"/>
        </w:rPr>
        <w:t>擦亮“</w:t>
      </w:r>
      <w:r>
        <w:rPr>
          <w:rFonts w:hint="eastAsia" w:ascii="仿宋_GB2312" w:hAnsi="仿宋_GB2312" w:eastAsia="仿宋_GB2312" w:cs="仿宋_GB2312"/>
          <w:b w:val="0"/>
          <w:bCs w:val="0"/>
        </w:rPr>
        <w:t>伊滨钢制家具</w:t>
      </w:r>
      <w:r>
        <w:rPr>
          <w:rFonts w:hint="eastAsia" w:ascii="仿宋_GB2312" w:hAnsi="仿宋_GB2312" w:eastAsia="仿宋_GB2312" w:cs="仿宋_GB2312"/>
          <w:b w:val="0"/>
          <w:bCs w:val="0"/>
          <w:lang w:eastAsia="zh-CN"/>
        </w:rPr>
        <w:t>”中国消费名品名片</w:t>
      </w:r>
      <w:r>
        <w:rPr>
          <w:rFonts w:hint="eastAsia" w:ascii="仿宋_GB2312" w:hAnsi="仿宋_GB2312" w:eastAsia="仿宋_GB2312" w:cs="仿宋_GB2312"/>
          <w:b w:val="0"/>
          <w:bCs w:val="0"/>
        </w:rPr>
        <w:t>，加强伊滨特色产品的品牌培育和推广，引导企业提升产品质量和包装设计，开展品牌营销活动，提高品牌知名度和美誉度。加快电商平台建设。依托洛阳综合保税区等高能级开放平台，充分发挥传统产业优势，将跨境电子商务作为推动外向型经济发展的新引擎和传统产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二次创业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的新通道。引进和培育跨境电商平台、第三方物流服务商、支付机构和专业营销机构。实施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品牌出海</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专项行动，支持企业通过建立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海外仓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、运用独立站、社交媒体矩阵营销等方式，直接面向海外终端消费者，塑造自主品牌形象，摆脱代工依赖。加强对跨境电商人才的引育，开展政策宣讲和实务操作培训，营造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敢闯敢试、包容创新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的跨境电商发展生态，推动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伊滨制造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优质产品通达全球。力争</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color w:val="auto"/>
        </w:rPr>
        <w:t>末，全区年</w:t>
      </w:r>
      <w:r>
        <w:rPr>
          <w:rFonts w:hint="eastAsia" w:ascii="仿宋_GB2312" w:hAnsi="仿宋_GB2312" w:eastAsia="仿宋_GB2312" w:cs="仿宋_GB2312"/>
          <w:b w:val="0"/>
          <w:bCs w:val="0"/>
          <w:color w:val="auto"/>
          <w:lang w:val="en-US" w:eastAsia="zh-CN"/>
        </w:rPr>
        <w:t>进</w:t>
      </w:r>
      <w:r>
        <w:rPr>
          <w:rFonts w:hint="eastAsia" w:ascii="仿宋_GB2312" w:hAnsi="仿宋_GB2312" w:eastAsia="仿宋_GB2312" w:cs="仿宋_GB2312"/>
          <w:b w:val="0"/>
          <w:bCs w:val="0"/>
          <w:color w:val="auto"/>
        </w:rPr>
        <w:t>出口额达30亿元以上。</w:t>
      </w:r>
    </w:p>
    <w:p w14:paraId="34433BF3">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465" w:name="_Toc14778"/>
      <w:bookmarkStart w:id="466" w:name="_Toc23326"/>
      <w:bookmarkStart w:id="467" w:name="_Toc31062"/>
      <w:bookmarkStart w:id="468" w:name="_Toc28303"/>
      <w:bookmarkStart w:id="469" w:name="_Toc26688"/>
      <w:bookmarkStart w:id="470" w:name="_Toc25323"/>
      <w:bookmarkStart w:id="471" w:name="_Toc10660"/>
      <w:bookmarkStart w:id="472" w:name="_Toc1978525506"/>
      <w:r>
        <w:rPr>
          <w:rFonts w:hint="eastAsia" w:ascii="仿宋_GB2312" w:hAnsi="仿宋_GB2312" w:eastAsia="仿宋_GB2312" w:cs="仿宋_GB2312"/>
          <w:b w:val="0"/>
          <w:bCs w:val="0"/>
          <w:lang w:val="en-US" w:eastAsia="zh-CN"/>
        </w:rPr>
        <w:t>二、促进</w:t>
      </w:r>
      <w:bookmarkEnd w:id="465"/>
      <w:bookmarkEnd w:id="466"/>
      <w:bookmarkEnd w:id="467"/>
      <w:bookmarkEnd w:id="468"/>
      <w:bookmarkEnd w:id="469"/>
      <w:bookmarkEnd w:id="470"/>
      <w:r>
        <w:rPr>
          <w:rFonts w:hint="eastAsia" w:ascii="仿宋_GB2312" w:hAnsi="仿宋_GB2312" w:eastAsia="仿宋_GB2312" w:cs="仿宋_GB2312"/>
          <w:b w:val="0"/>
          <w:bCs w:val="0"/>
          <w:lang w:val="en-US" w:eastAsia="zh-CN"/>
        </w:rPr>
        <w:t>生活性服务业高品质多样化便利化发展</w:t>
      </w:r>
      <w:bookmarkEnd w:id="471"/>
      <w:bookmarkEnd w:id="472"/>
    </w:p>
    <w:bookmarkEnd w:id="439"/>
    <w:p w14:paraId="7D4C2699">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473" w:name="_Toc23793"/>
      <w:bookmarkStart w:id="474" w:name="_Toc965"/>
      <w:bookmarkStart w:id="475" w:name="_Toc25317"/>
      <w:bookmarkStart w:id="476" w:name="_Toc17986"/>
      <w:bookmarkStart w:id="477" w:name="_Toc21640"/>
      <w:bookmarkStart w:id="478" w:name="_Toc215857868"/>
      <w:bookmarkStart w:id="479" w:name="_Toc27585"/>
      <w:bookmarkStart w:id="480" w:name="_Toc15815"/>
      <w:bookmarkStart w:id="481" w:name="_Toc21848"/>
      <w:bookmarkStart w:id="482" w:name="_Toc11288"/>
      <w:bookmarkStart w:id="483" w:name="_Toc29163"/>
      <w:bookmarkStart w:id="484" w:name="_Toc13018"/>
      <w:bookmarkStart w:id="485" w:name="_Toc17815"/>
      <w:bookmarkStart w:id="486" w:name="_Toc215857866"/>
      <w:bookmarkStart w:id="487" w:name="_Toc146"/>
      <w:bookmarkStart w:id="488" w:name="_Toc21388"/>
      <w:r>
        <w:rPr>
          <w:rFonts w:hint="eastAsia" w:ascii="仿宋_GB2312" w:hAnsi="仿宋_GB2312" w:eastAsia="仿宋_GB2312" w:cs="仿宋_GB2312"/>
          <w:b w:val="0"/>
          <w:bCs w:val="0"/>
        </w:rPr>
        <w:t>推进特色商业街区建设</w:t>
      </w:r>
      <w:bookmarkEnd w:id="473"/>
      <w:bookmarkEnd w:id="474"/>
      <w:bookmarkEnd w:id="475"/>
      <w:bookmarkEnd w:id="476"/>
      <w:bookmarkEnd w:id="477"/>
      <w:bookmarkEnd w:id="478"/>
      <w:bookmarkEnd w:id="479"/>
      <w:bookmarkEnd w:id="480"/>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规划布局多层次、特色化的商业空间，打造沉浸式、体验式消费新场景。围绕中</w:t>
      </w:r>
      <w:r>
        <w:rPr>
          <w:rFonts w:hint="eastAsia" w:ascii="仿宋_GB2312" w:hAnsi="仿宋_GB2312" w:eastAsia="仿宋_GB2312" w:cs="仿宋_GB2312"/>
          <w:b w:val="0"/>
          <w:bCs w:val="0"/>
          <w:lang w:val="en-US" w:eastAsia="zh-CN"/>
        </w:rPr>
        <w:t>心轴带</w:t>
      </w:r>
      <w:r>
        <w:rPr>
          <w:rFonts w:hint="eastAsia" w:ascii="仿宋_GB2312" w:hAnsi="仿宋_GB2312" w:eastAsia="仿宋_GB2312" w:cs="仿宋_GB2312"/>
          <w:b w:val="0"/>
          <w:bCs w:val="0"/>
        </w:rPr>
        <w:t>、伊水两岸等核心景观资源，规划建设集高端购物中心、甲级写字楼、星级酒店、文化艺术场馆于一体的城市核心商圈，提升城市商业能级。加快建设会展酒店、熊出没酒店等7个高端酒店。结合历史文化、潮流时尚等元素，打造华林苑、提升诸葛里等7个特色商业街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聚焦夜间经济与分时体验，深化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文旅+百业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政策，打造24小时智慧文旅综合体。以</w:t>
      </w:r>
      <w:r>
        <w:rPr>
          <w:rFonts w:hint="eastAsia" w:ascii="仿宋_GB2312" w:hAnsi="仿宋_GB2312" w:eastAsia="仿宋_GB2312" w:cs="仿宋_GB2312"/>
          <w:b w:val="0"/>
          <w:bCs w:val="0"/>
          <w:lang w:val="en-US" w:eastAsia="zh-CN"/>
        </w:rPr>
        <w:t>中心轴带、</w:t>
      </w:r>
      <w:r>
        <w:rPr>
          <w:rFonts w:hint="eastAsia" w:ascii="仿宋_GB2312" w:hAnsi="仿宋_GB2312" w:eastAsia="仿宋_GB2312" w:cs="仿宋_GB2312"/>
          <w:b w:val="0"/>
          <w:bCs w:val="0"/>
        </w:rPr>
        <w:t>立雪公园、伊水游园等为节点，打造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日咖夜酒</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青年消费场景。鼓励发展夜间经济、周末集市，整合智慧零售、无人酒店等新业态，形成15分钟文商旅消费圈。</w:t>
      </w:r>
    </w:p>
    <w:p w14:paraId="147816C4">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大力发展新兴服务业。有序发展平台经济、共享经济、网上商城、快递配送等新模式新产业，大力发展文化旅游、研学体验、健康养老、商务会展、沉浸演艺经济、社区服务</w:t>
      </w:r>
      <w:r>
        <w:rPr>
          <w:rFonts w:hint="eastAsia" w:ascii="仿宋_GB2312" w:hAnsi="仿宋_GB2312" w:eastAsia="仿宋_GB2312" w:cs="仿宋_GB2312"/>
          <w:b w:val="0"/>
          <w:bCs w:val="0"/>
          <w:lang w:eastAsia="zh-CN"/>
        </w:rPr>
        <w:t>等产业，</w:t>
      </w:r>
      <w:r>
        <w:rPr>
          <w:rFonts w:hint="eastAsia" w:ascii="仿宋_GB2312" w:hAnsi="仿宋_GB2312" w:eastAsia="仿宋_GB2312" w:cs="仿宋_GB2312"/>
          <w:b w:val="0"/>
          <w:bCs w:val="0"/>
        </w:rPr>
        <w:t>为洛阳打造全域旅游城市提供支撑。</w:t>
      </w:r>
    </w:p>
    <w:p w14:paraId="3640207C">
      <w:pPr>
        <w:pStyle w:val="2"/>
        <w:rPr>
          <w:rFonts w:hint="eastAsia"/>
        </w:rPr>
      </w:pPr>
    </w:p>
    <w:tbl>
      <w:tblPr>
        <w:tblStyle w:val="34"/>
        <w:tblpPr w:leftFromText="180" w:rightFromText="180" w:vertAnchor="text" w:horzAnchor="page" w:tblpX="1541" w:tblpY="1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1"/>
      </w:tblGrid>
      <w:tr w14:paraId="5BB8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8" w:hRule="atLeast"/>
        </w:trPr>
        <w:tc>
          <w:tcPr>
            <w:tcW w:w="8952" w:type="dxa"/>
          </w:tcPr>
          <w:p w14:paraId="13861B8A">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color w:val="auto"/>
                <w:kern w:val="2"/>
                <w:sz w:val="28"/>
                <w:szCs w:val="28"/>
                <w:lang w:val="en-US" w:eastAsia="zh-CN"/>
              </w:rPr>
            </w:pPr>
            <w:r>
              <w:rPr>
                <w:rFonts w:hint="eastAsia" w:ascii="黑体" w:hAnsi="黑体" w:eastAsia="黑体" w:cs="黑体"/>
                <w:b w:val="0"/>
                <w:bCs w:val="0"/>
                <w:color w:val="auto"/>
                <w:kern w:val="2"/>
                <w:sz w:val="28"/>
                <w:szCs w:val="28"/>
                <w:lang w:val="en-US" w:eastAsia="zh-CN"/>
              </w:rPr>
              <w:t xml:space="preserve">专栏3-5    </w:t>
            </w:r>
            <w:r>
              <w:rPr>
                <w:rFonts w:hint="eastAsia" w:ascii="黑体" w:hAnsi="黑体" w:eastAsia="黑体" w:cs="黑体"/>
                <w:b w:val="0"/>
                <w:bCs w:val="0"/>
                <w:color w:val="auto"/>
                <w:kern w:val="2"/>
                <w:sz w:val="28"/>
                <w:szCs w:val="28"/>
              </w:rPr>
              <w:t>现代服务业</w:t>
            </w:r>
            <w:r>
              <w:rPr>
                <w:rFonts w:hint="eastAsia" w:ascii="黑体" w:hAnsi="黑体" w:eastAsia="黑体" w:cs="黑体"/>
                <w:b w:val="0"/>
                <w:bCs w:val="0"/>
                <w:color w:val="auto"/>
                <w:kern w:val="2"/>
                <w:sz w:val="28"/>
                <w:szCs w:val="28"/>
                <w:lang w:val="en-US" w:eastAsia="zh-CN"/>
              </w:rPr>
              <w:t>建设项目</w:t>
            </w:r>
          </w:p>
        </w:tc>
      </w:tr>
      <w:tr w14:paraId="109E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952" w:type="dxa"/>
          </w:tcPr>
          <w:p w14:paraId="716B0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560"/>
              <w:jc w:val="left"/>
              <w:textAlignment w:val="auto"/>
              <w:rPr>
                <w:rFonts w:hint="eastAsia" w:ascii="仿宋_GB2312" w:hAnsi="仿宋_GB2312" w:eastAsia="仿宋_GB2312" w:cs="仿宋_GB2312"/>
                <w:b w:val="0"/>
                <w:bCs w:val="0"/>
                <w:color w:val="auto"/>
                <w:kern w:val="2"/>
                <w:sz w:val="28"/>
                <w:szCs w:val="28"/>
                <w:lang w:eastAsia="zh-CN"/>
              </w:rPr>
            </w:pPr>
            <w:r>
              <w:rPr>
                <w:rFonts w:hint="eastAsia" w:ascii="仿宋_GB2312" w:hAnsi="仿宋_GB2312" w:eastAsia="仿宋_GB2312" w:cs="仿宋_GB2312"/>
                <w:b w:val="0"/>
                <w:bCs w:val="0"/>
                <w:color w:val="auto"/>
                <w:kern w:val="2"/>
                <w:sz w:val="28"/>
                <w:szCs w:val="28"/>
                <w:lang w:val="en-US" w:eastAsia="zh-CN"/>
              </w:rPr>
              <w:t>服务业提质项目。建设</w:t>
            </w:r>
            <w:r>
              <w:rPr>
                <w:rFonts w:hint="eastAsia" w:ascii="仿宋_GB2312" w:hAnsi="仿宋_GB2312" w:eastAsia="仿宋_GB2312" w:cs="仿宋_GB2312"/>
                <w:b w:val="0"/>
                <w:bCs w:val="0"/>
                <w:color w:val="auto"/>
                <w:kern w:val="2"/>
                <w:sz w:val="28"/>
                <w:szCs w:val="28"/>
              </w:rPr>
              <w:t>华夏历史文明传承创新产业园</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国创玉泉商业广场</w:t>
            </w:r>
            <w:r>
              <w:rPr>
                <w:rFonts w:hint="eastAsia" w:ascii="仿宋_GB2312" w:hAnsi="仿宋_GB2312" w:eastAsia="仿宋_GB2312" w:cs="仿宋_GB2312"/>
                <w:b w:val="0"/>
                <w:bCs w:val="0"/>
                <w:color w:val="auto"/>
                <w:kern w:val="2"/>
                <w:sz w:val="28"/>
                <w:szCs w:val="28"/>
                <w:lang w:val="en-US" w:eastAsia="zh-CN"/>
              </w:rPr>
              <w:t>项目；谋划新型商业综合体项目3个，</w:t>
            </w:r>
            <w:r>
              <w:rPr>
                <w:rFonts w:hint="eastAsia" w:ascii="仿宋_GB2312" w:hAnsi="仿宋_GB2312" w:eastAsia="仿宋_GB2312" w:cs="仿宋_GB2312"/>
                <w:b w:val="0"/>
                <w:bCs w:val="0"/>
                <w:color w:val="auto"/>
                <w:kern w:val="2"/>
                <w:sz w:val="28"/>
                <w:szCs w:val="28"/>
              </w:rPr>
              <w:t>特色商业街区建设项目</w:t>
            </w:r>
            <w:r>
              <w:rPr>
                <w:rFonts w:hint="eastAsia" w:ascii="仿宋_GB2312" w:hAnsi="仿宋_GB2312" w:eastAsia="仿宋_GB2312" w:cs="仿宋_GB2312"/>
                <w:b w:val="0"/>
                <w:bCs w:val="0"/>
                <w:color w:val="auto"/>
                <w:kern w:val="2"/>
                <w:sz w:val="28"/>
                <w:szCs w:val="28"/>
                <w:lang w:val="en-US" w:eastAsia="zh-CN"/>
              </w:rPr>
              <w:t>4个</w:t>
            </w:r>
            <w:r>
              <w:rPr>
                <w:rFonts w:hint="eastAsia" w:ascii="仿宋_GB2312" w:hAnsi="仿宋_GB2312" w:eastAsia="仿宋_GB2312" w:cs="仿宋_GB2312"/>
                <w:b w:val="0"/>
                <w:bCs w:val="0"/>
                <w:color w:val="auto"/>
                <w:kern w:val="2"/>
                <w:sz w:val="28"/>
                <w:szCs w:val="28"/>
                <w:lang w:eastAsia="zh-CN"/>
              </w:rPr>
              <w:t>。</w:t>
            </w:r>
          </w:p>
          <w:p w14:paraId="07D5C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560"/>
              <w:jc w:val="left"/>
              <w:textAlignment w:val="auto"/>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val="en-US" w:eastAsia="zh-CN"/>
              </w:rPr>
              <w:t>现代物流基地项目。建设</w:t>
            </w:r>
            <w:r>
              <w:rPr>
                <w:rFonts w:hint="eastAsia" w:ascii="仿宋_GB2312" w:hAnsi="仿宋_GB2312" w:eastAsia="仿宋_GB2312" w:cs="仿宋_GB2312"/>
                <w:b w:val="0"/>
                <w:bCs w:val="0"/>
                <w:color w:val="auto"/>
                <w:kern w:val="2"/>
                <w:sz w:val="28"/>
                <w:szCs w:val="28"/>
              </w:rPr>
              <w:t>国晟智慧物流产业园项目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洛阳钢制家具产业集群货运综合枢纽项目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谋划现代物流基地项目5个。</w:t>
            </w:r>
          </w:p>
        </w:tc>
      </w:tr>
    </w:tbl>
    <w:p w14:paraId="30E93B33">
      <w:pPr>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jc w:val="center"/>
        <w:textAlignment w:val="auto"/>
        <w:rPr>
          <w:rFonts w:hint="eastAsia" w:ascii="仿宋_GB2312" w:hAnsi="仿宋_GB2312" w:eastAsia="仿宋_GB2312" w:cs="仿宋_GB2312"/>
          <w:b w:val="0"/>
          <w:bCs w:val="0"/>
          <w:lang w:val="en-US" w:eastAsia="zh-CN"/>
        </w:rPr>
      </w:pPr>
      <w:bookmarkStart w:id="489" w:name="_Toc11424"/>
      <w:bookmarkStart w:id="490" w:name="_Toc1265859433"/>
      <w:bookmarkStart w:id="491" w:name="_Toc8975"/>
      <w:bookmarkStart w:id="492" w:name="_Toc13007"/>
      <w:bookmarkStart w:id="493" w:name="_Toc6744"/>
      <w:bookmarkStart w:id="494" w:name="_Toc30939"/>
      <w:bookmarkStart w:id="495" w:name="_Toc20502"/>
      <w:bookmarkStart w:id="496" w:name="_Toc24152"/>
    </w:p>
    <w:p w14:paraId="30497D7B">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第四章  强化创新驱动，建设高水平伊滨科技城</w:t>
      </w:r>
      <w:bookmarkEnd w:id="481"/>
      <w:bookmarkEnd w:id="482"/>
      <w:bookmarkEnd w:id="483"/>
      <w:bookmarkEnd w:id="489"/>
      <w:bookmarkEnd w:id="490"/>
      <w:bookmarkEnd w:id="491"/>
      <w:bookmarkEnd w:id="492"/>
      <w:bookmarkEnd w:id="493"/>
      <w:bookmarkEnd w:id="494"/>
      <w:bookmarkEnd w:id="495"/>
      <w:bookmarkEnd w:id="496"/>
    </w:p>
    <w:p w14:paraId="6344D4B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b w:val="0"/>
          <w:bCs w:val="0"/>
          <w:lang w:eastAsia="zh-CN"/>
        </w:rPr>
      </w:pPr>
    </w:p>
    <w:p w14:paraId="3640F977">
      <w:pPr>
        <w:pageBreakBefore w:val="0"/>
        <w:widowControl w:val="0"/>
        <w:kinsoku/>
        <w:wordWrap/>
        <w:topLinePunct w:val="0"/>
        <w:bidi w:val="0"/>
        <w:spacing w:line="600" w:lineRule="exact"/>
        <w:rPr>
          <w:rFonts w:hint="eastAsia" w:ascii="仿宋_GB2312" w:hAnsi="仿宋_GB2312" w:eastAsia="仿宋_GB2312" w:cs="仿宋_GB2312"/>
          <w:b w:val="0"/>
          <w:bCs w:val="0"/>
          <w:color w:val="FF0000"/>
        </w:rPr>
      </w:pPr>
      <w:r>
        <w:rPr>
          <w:rFonts w:hint="eastAsia" w:ascii="仿宋_GB2312" w:hAnsi="仿宋_GB2312" w:eastAsia="仿宋_GB2312" w:cs="仿宋_GB2312"/>
          <w:b w:val="0"/>
          <w:bCs w:val="0"/>
          <w:lang w:eastAsia="zh-CN"/>
        </w:rPr>
        <w:t>抢抓</w:t>
      </w:r>
      <w:r>
        <w:rPr>
          <w:rFonts w:hint="eastAsia" w:ascii="仿宋_GB2312" w:hAnsi="仿宋_GB2312" w:eastAsia="仿宋_GB2312" w:cs="仿宋_GB2312"/>
          <w:b w:val="0"/>
          <w:bCs w:val="0"/>
        </w:rPr>
        <w:t>新一轮科技革命和产业变革机遇，深入实施创新驱动发展战略，推动创新链、产业链、资金链、人才链深度融合，以科技创新驱动产业创新，加快形成新质生产力，尽快将伊滨科技城打造成为立足中原、辐射全国、具有重要影响力的科技创新高地</w:t>
      </w:r>
      <w:r>
        <w:rPr>
          <w:rFonts w:hint="eastAsia" w:ascii="仿宋_GB2312" w:hAnsi="仿宋_GB2312" w:eastAsia="仿宋_GB2312" w:cs="仿宋_GB2312"/>
          <w:b w:val="0"/>
          <w:bCs w:val="0"/>
          <w:lang w:eastAsia="zh-CN"/>
        </w:rPr>
        <w:t>，构建特色优势显著的科技创新中心</w:t>
      </w:r>
      <w:r>
        <w:rPr>
          <w:rFonts w:hint="eastAsia" w:ascii="仿宋_GB2312" w:hAnsi="仿宋_GB2312" w:eastAsia="仿宋_GB2312" w:cs="仿宋_GB2312"/>
          <w:b w:val="0"/>
          <w:bCs w:val="0"/>
        </w:rPr>
        <w:t>。</w:t>
      </w:r>
    </w:p>
    <w:p w14:paraId="7CCE1179">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497" w:name="_Toc10529"/>
      <w:bookmarkStart w:id="498" w:name="_Toc805"/>
      <w:bookmarkStart w:id="499" w:name="_Toc23381"/>
      <w:bookmarkStart w:id="500" w:name="_Toc30936"/>
      <w:bookmarkStart w:id="501" w:name="_Toc10864"/>
      <w:bookmarkStart w:id="502" w:name="_Toc604343212"/>
      <w:bookmarkStart w:id="503" w:name="_Toc23865"/>
      <w:bookmarkStart w:id="504" w:name="_Toc29007"/>
      <w:bookmarkStart w:id="505" w:name="_Toc25048"/>
      <w:bookmarkStart w:id="506" w:name="_Toc11522"/>
      <w:bookmarkStart w:id="507" w:name="_Toc11889"/>
    </w:p>
    <w:p w14:paraId="624CCF58">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第一节  构建高能级创新平台矩阵</w:t>
      </w:r>
      <w:bookmarkEnd w:id="497"/>
      <w:bookmarkEnd w:id="498"/>
      <w:bookmarkEnd w:id="499"/>
      <w:bookmarkEnd w:id="500"/>
      <w:bookmarkEnd w:id="501"/>
      <w:bookmarkEnd w:id="502"/>
      <w:bookmarkEnd w:id="503"/>
      <w:bookmarkEnd w:id="504"/>
    </w:p>
    <w:p w14:paraId="2B7CB2E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rPr>
      </w:pPr>
    </w:p>
    <w:p w14:paraId="0F54B6FA">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构建多层次、高能级、开放协同的创新平台体系为抓手，着力增强在前沿技术和关键共性技术领域的源头供给能力，以龙门实验室、国家农机装备创新中心等重大平台为战略支点，以伊滨智慧岛为全区创新策源的重要载体，打造区域战略科技创新的重要节点。</w:t>
      </w:r>
    </w:p>
    <w:p w14:paraId="190D727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508" w:name="_Toc207"/>
      <w:bookmarkStart w:id="509" w:name="_Toc31351"/>
      <w:bookmarkStart w:id="510" w:name="_Toc4593"/>
      <w:bookmarkStart w:id="511" w:name="_Toc1858460748"/>
      <w:bookmarkStart w:id="512" w:name="_Toc7425"/>
      <w:bookmarkStart w:id="513" w:name="_Toc5688"/>
      <w:bookmarkStart w:id="514" w:name="_Toc20445"/>
      <w:bookmarkStart w:id="515" w:name="_Toc30507"/>
      <w:bookmarkStart w:id="516" w:name="_Toc20483"/>
      <w:bookmarkStart w:id="517" w:name="_Toc10875"/>
      <w:bookmarkStart w:id="518" w:name="_Toc13877"/>
      <w:r>
        <w:rPr>
          <w:rFonts w:hint="eastAsia" w:ascii="仿宋_GB2312" w:hAnsi="仿宋_GB2312" w:eastAsia="仿宋_GB2312" w:cs="仿宋_GB2312"/>
          <w:b w:val="0"/>
          <w:bCs w:val="0"/>
        </w:rPr>
        <w:t>一、</w:t>
      </w:r>
      <w:r>
        <w:rPr>
          <w:rFonts w:hint="eastAsia" w:ascii="仿宋_GB2312" w:hAnsi="仿宋_GB2312" w:eastAsia="仿宋_GB2312" w:cs="仿宋_GB2312"/>
          <w:b w:val="0"/>
          <w:bCs w:val="0"/>
          <w:lang w:val="en-US" w:eastAsia="zh-CN"/>
        </w:rPr>
        <w:t>培育高能级</w:t>
      </w:r>
      <w:r>
        <w:rPr>
          <w:rFonts w:hint="eastAsia" w:ascii="仿宋_GB2312" w:hAnsi="仿宋_GB2312" w:eastAsia="仿宋_GB2312" w:cs="仿宋_GB2312"/>
          <w:b w:val="0"/>
          <w:bCs w:val="0"/>
        </w:rPr>
        <w:t>创新平台载体</w:t>
      </w:r>
      <w:bookmarkEnd w:id="508"/>
      <w:bookmarkEnd w:id="509"/>
      <w:bookmarkEnd w:id="510"/>
      <w:bookmarkEnd w:id="511"/>
      <w:bookmarkEnd w:id="512"/>
      <w:bookmarkEnd w:id="513"/>
      <w:bookmarkEnd w:id="514"/>
      <w:bookmarkEnd w:id="515"/>
      <w:bookmarkEnd w:id="516"/>
      <w:bookmarkEnd w:id="517"/>
      <w:bookmarkEnd w:id="518"/>
    </w:p>
    <w:p w14:paraId="28801E54">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高标准建设伊滨科技城。加快建设伊滨智慧岛，谋划伊滨科创CBD，</w:t>
      </w:r>
      <w:r>
        <w:rPr>
          <w:rFonts w:hint="eastAsia" w:ascii="仿宋_GB2312" w:hAnsi="仿宋_GB2312" w:eastAsia="仿宋_GB2312" w:cs="仿宋_GB2312"/>
          <w:b w:val="0"/>
          <w:bCs w:val="0"/>
          <w:lang w:val="en-US" w:eastAsia="zh-CN"/>
        </w:rPr>
        <w:t>高水平</w:t>
      </w:r>
      <w:r>
        <w:rPr>
          <w:rFonts w:hint="eastAsia" w:ascii="仿宋_GB2312" w:hAnsi="仿宋_GB2312" w:eastAsia="仿宋_GB2312" w:cs="仿宋_GB2312"/>
          <w:b w:val="0"/>
          <w:bCs w:val="0"/>
        </w:rPr>
        <w:t>建好用好龙门实验室、国家农机装备创新中心，推动科研成果快速转化落地，基本建成在新材料和农机装备细分领域具有全国重要影响力的科技创新高地。合理布局产业承载区和服务配套区，在城区建成10到15个200到300亩的产业</w:t>
      </w:r>
      <w:r>
        <w:rPr>
          <w:rFonts w:hint="eastAsia" w:ascii="仿宋_GB2312" w:hAnsi="仿宋_GB2312" w:eastAsia="仿宋_GB2312" w:cs="仿宋_GB2312"/>
          <w:b w:val="0"/>
          <w:bCs w:val="0"/>
          <w:lang w:val="en-US" w:eastAsia="zh-CN"/>
        </w:rPr>
        <w:t>园</w:t>
      </w:r>
      <w:r>
        <w:rPr>
          <w:rFonts w:hint="eastAsia" w:ascii="仿宋_GB2312" w:hAnsi="仿宋_GB2312" w:eastAsia="仿宋_GB2312" w:cs="仿宋_GB2312"/>
          <w:b w:val="0"/>
          <w:bCs w:val="0"/>
        </w:rPr>
        <w:t>区，加快推进产业链与创新链融合发展，</w:t>
      </w:r>
      <w:r>
        <w:rPr>
          <w:rFonts w:hint="eastAsia" w:ascii="仿宋_GB2312" w:hAnsi="仿宋_GB2312" w:eastAsia="仿宋_GB2312" w:cs="仿宋_GB2312"/>
          <w:b w:val="0"/>
          <w:bCs w:val="0"/>
          <w:lang w:val="en-US" w:eastAsia="zh-CN"/>
        </w:rPr>
        <w:t>积极</w:t>
      </w:r>
      <w:r>
        <w:rPr>
          <w:rFonts w:hint="eastAsia" w:ascii="仿宋_GB2312" w:hAnsi="仿宋_GB2312" w:eastAsia="仿宋_GB2312" w:cs="仿宋_GB2312"/>
          <w:b w:val="0"/>
          <w:bCs w:val="0"/>
        </w:rPr>
        <w:t>推进概念验证中心、中试基地建设。力争到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w:t>
      </w:r>
      <w:r>
        <w:rPr>
          <w:rFonts w:hint="eastAsia" w:ascii="仿宋_GB2312" w:hAnsi="仿宋_GB2312" w:eastAsia="仿宋_GB2312" w:cs="仿宋_GB2312"/>
          <w:b w:val="0"/>
          <w:bCs w:val="0"/>
          <w:lang w:val="en-US" w:eastAsia="zh-CN"/>
        </w:rPr>
        <w:t>新增省级以上创新</w:t>
      </w:r>
      <w:r>
        <w:rPr>
          <w:rFonts w:hint="eastAsia" w:ascii="仿宋_GB2312" w:hAnsi="仿宋_GB2312" w:eastAsia="仿宋_GB2312" w:cs="仿宋_GB2312"/>
          <w:b w:val="0"/>
          <w:bCs w:val="0"/>
        </w:rPr>
        <w:t>平台</w:t>
      </w:r>
      <w:r>
        <w:rPr>
          <w:rFonts w:hint="eastAsia" w:ascii="仿宋_GB2312" w:hAnsi="仿宋_GB2312" w:eastAsia="仿宋_GB2312" w:cs="仿宋_GB2312"/>
          <w:b w:val="0"/>
          <w:bCs w:val="0"/>
          <w:lang w:val="en-US" w:eastAsia="zh-CN"/>
        </w:rPr>
        <w:t>20个，</w:t>
      </w:r>
      <w:r>
        <w:rPr>
          <w:rFonts w:hint="eastAsia" w:ascii="仿宋_GB2312" w:hAnsi="仿宋_GB2312" w:eastAsia="仿宋_GB2312" w:cs="仿宋_GB2312"/>
          <w:b w:val="0"/>
          <w:bCs w:val="0"/>
        </w:rPr>
        <w:t>区域创新能力大幅跃升。</w:t>
      </w:r>
      <w:bookmarkStart w:id="519" w:name="_Toc20834"/>
      <w:bookmarkStart w:id="520" w:name="_Toc16875"/>
      <w:bookmarkStart w:id="521" w:name="_Toc4709"/>
    </w:p>
    <w:p w14:paraId="1EC35C1A">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522" w:name="_Toc6015"/>
      <w:bookmarkStart w:id="523" w:name="_Toc22751"/>
      <w:bookmarkStart w:id="524" w:name="_Toc23608"/>
      <w:bookmarkStart w:id="525" w:name="_Toc1182361671"/>
      <w:bookmarkStart w:id="526" w:name="_Toc21268"/>
      <w:bookmarkStart w:id="527" w:name="_Toc24382"/>
      <w:bookmarkStart w:id="528" w:name="_Toc14341"/>
      <w:bookmarkStart w:id="529" w:name="_Toc20298"/>
      <w:r>
        <w:rPr>
          <w:rFonts w:hint="eastAsia" w:ascii="仿宋_GB2312" w:hAnsi="仿宋_GB2312" w:eastAsia="仿宋_GB2312" w:cs="仿宋_GB2312"/>
          <w:b w:val="0"/>
          <w:bCs w:val="0"/>
        </w:rPr>
        <w:t>二、</w:t>
      </w:r>
      <w:r>
        <w:rPr>
          <w:rFonts w:hint="eastAsia" w:ascii="仿宋_GB2312" w:hAnsi="仿宋_GB2312" w:eastAsia="仿宋_GB2312" w:cs="仿宋_GB2312"/>
          <w:b w:val="0"/>
          <w:bCs w:val="0"/>
          <w:lang w:val="en-US" w:eastAsia="zh-CN"/>
        </w:rPr>
        <w:t>打造</w:t>
      </w:r>
      <w:r>
        <w:rPr>
          <w:rFonts w:hint="eastAsia" w:ascii="仿宋_GB2312" w:hAnsi="仿宋_GB2312" w:eastAsia="仿宋_GB2312" w:cs="仿宋_GB2312"/>
          <w:b w:val="0"/>
          <w:bCs w:val="0"/>
        </w:rPr>
        <w:t>开放型创新合作平台</w:t>
      </w:r>
      <w:bookmarkEnd w:id="519"/>
      <w:bookmarkEnd w:id="520"/>
      <w:bookmarkEnd w:id="521"/>
      <w:bookmarkEnd w:id="522"/>
      <w:bookmarkEnd w:id="523"/>
      <w:bookmarkEnd w:id="524"/>
      <w:bookmarkEnd w:id="525"/>
      <w:bookmarkEnd w:id="526"/>
      <w:bookmarkEnd w:id="527"/>
      <w:bookmarkEnd w:id="528"/>
      <w:bookmarkEnd w:id="529"/>
    </w:p>
    <w:p w14:paraId="0835F527">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rPr>
        <w:t>实施更加主动的开放创新战略。以</w:t>
      </w:r>
      <w:r>
        <w:rPr>
          <w:rFonts w:hint="eastAsia" w:ascii="仿宋_GB2312" w:hAnsi="仿宋_GB2312" w:eastAsia="仿宋_GB2312" w:cs="仿宋_GB2312"/>
          <w:b w:val="0"/>
          <w:bCs w:val="0"/>
          <w:lang w:val="en-US" w:eastAsia="zh-CN"/>
        </w:rPr>
        <w:t>郑开洛科技创新走廊</w:t>
      </w:r>
      <w:r>
        <w:rPr>
          <w:rFonts w:hint="eastAsia" w:ascii="仿宋_GB2312" w:hAnsi="仿宋_GB2312" w:eastAsia="仿宋_GB2312" w:cs="仿宋_GB2312"/>
          <w:b w:val="0"/>
          <w:bCs w:val="0"/>
        </w:rPr>
        <w:t>建设为主要抓手，秉持开放合作、互利共赢理念，构建内外联动、要素融通的开放型创新协作网络，将伊滨科技新城打造成为国内国际双循环格局中的关键创新节点，推动创新政策互通互认，建立统一开放的科技资源要素市场。依托河南自贸试验区洛阳片区，积极承接国际科技合作项目，打造具有区域影响力的科技交流平台。深化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一带一路</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沿线国家科技合作，建立与国际接轨的科研管理制度，营造开放包容的国际化创新环境。鼓励探索</w:t>
      </w:r>
      <w:r>
        <w:rPr>
          <w:rFonts w:hint="eastAsia" w:ascii="仿宋_GB2312" w:hAnsi="仿宋_GB2312" w:eastAsia="仿宋_GB2312" w:cs="仿宋_GB2312"/>
          <w:b w:val="0"/>
          <w:bCs w:val="0"/>
          <w:lang w:val="en-US" w:eastAsia="zh-CN"/>
        </w:rPr>
        <w:t>研发、转化异地</w:t>
      </w:r>
      <w:r>
        <w:rPr>
          <w:rFonts w:hint="eastAsia" w:ascii="仿宋_GB2312" w:hAnsi="仿宋_GB2312" w:eastAsia="仿宋_GB2312" w:cs="仿宋_GB2312"/>
          <w:b w:val="0"/>
          <w:bCs w:val="0"/>
        </w:rPr>
        <w:t>协同发展模式。</w:t>
      </w:r>
    </w:p>
    <w:p w14:paraId="4E3F617D">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530" w:name="_Toc31178"/>
      <w:bookmarkStart w:id="531" w:name="_Toc22398"/>
      <w:bookmarkStart w:id="532" w:name="_Toc31338"/>
      <w:bookmarkStart w:id="533" w:name="_Toc26823"/>
      <w:bookmarkStart w:id="534" w:name="_Toc10264"/>
      <w:bookmarkStart w:id="535" w:name="_Toc19532"/>
      <w:bookmarkStart w:id="536" w:name="_Toc1529781561"/>
      <w:bookmarkStart w:id="537" w:name="_Toc23052"/>
      <w:bookmarkStart w:id="538" w:name="_Toc15633"/>
      <w:bookmarkStart w:id="539" w:name="_Toc22569"/>
      <w:bookmarkStart w:id="540" w:name="_Toc7014"/>
    </w:p>
    <w:p w14:paraId="4656A6EB">
      <w:pPr>
        <w:pStyle w:val="6"/>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第二节 </w:t>
      </w:r>
      <w:bookmarkEnd w:id="530"/>
      <w:bookmarkEnd w:id="531"/>
      <w:bookmarkEnd w:id="532"/>
      <w:r>
        <w:rPr>
          <w:rFonts w:hint="eastAsia" w:ascii="黑体" w:hAnsi="黑体" w:eastAsia="黑体" w:cs="黑体"/>
          <w:b w:val="0"/>
          <w:bCs w:val="0"/>
          <w:lang w:val="en-US" w:eastAsia="zh-CN"/>
        </w:rPr>
        <w:t xml:space="preserve"> 推动科技创新与产业创新深度融合</w:t>
      </w:r>
      <w:bookmarkEnd w:id="533"/>
      <w:bookmarkEnd w:id="534"/>
      <w:bookmarkEnd w:id="535"/>
      <w:bookmarkEnd w:id="536"/>
      <w:bookmarkEnd w:id="537"/>
      <w:bookmarkEnd w:id="538"/>
      <w:bookmarkEnd w:id="539"/>
      <w:bookmarkEnd w:id="540"/>
    </w:p>
    <w:p w14:paraId="51A5B0A9">
      <w:pPr>
        <w:pageBreakBefore w:val="0"/>
        <w:widowControl w:val="0"/>
        <w:kinsoku/>
        <w:wordWrap/>
        <w:topLinePunct w:val="0"/>
        <w:bidi w:val="0"/>
        <w:spacing w:line="600" w:lineRule="exact"/>
        <w:ind w:firstLine="643"/>
        <w:rPr>
          <w:rFonts w:hint="eastAsia" w:ascii="仿宋_GB2312" w:hAnsi="仿宋_GB2312" w:eastAsia="仿宋_GB2312" w:cs="仿宋_GB2312"/>
          <w:b w:val="0"/>
          <w:bCs w:val="0"/>
          <w:color w:val="auto"/>
        </w:rPr>
      </w:pPr>
    </w:p>
    <w:p w14:paraId="48573289">
      <w:pPr>
        <w:pageBreakBefore w:val="0"/>
        <w:widowControl w:val="0"/>
        <w:kinsoku/>
        <w:wordWrap/>
        <w:topLinePunct w:val="0"/>
        <w:bidi w:val="0"/>
        <w:spacing w:line="600" w:lineRule="exact"/>
        <w:ind w:firstLine="643"/>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坚持把企业作为技术创新的主体，构建覆盖企业全生命周期的孵化育成体系，培育高新技术企业和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专精特新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企业，形成大中小企业融通创新、梯次发展的生动格局。以伊滨科技城为企业孵化和产业培育的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主战场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，以各专业化科技产业社区为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作战单元</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，形成</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一城统领、多园协同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的产业创新集群。</w:t>
      </w:r>
    </w:p>
    <w:p w14:paraId="28A072F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541" w:name="_Toc1664111059"/>
      <w:bookmarkStart w:id="542" w:name="_Toc23944"/>
      <w:bookmarkStart w:id="543" w:name="_Toc16704"/>
      <w:bookmarkStart w:id="544" w:name="_Toc13509"/>
      <w:bookmarkStart w:id="545" w:name="_Toc23727"/>
      <w:bookmarkStart w:id="546" w:name="_Toc19758"/>
      <w:bookmarkStart w:id="547" w:name="_Toc12888"/>
      <w:bookmarkStart w:id="548" w:name="_Toc28747"/>
      <w:bookmarkStart w:id="549" w:name="_Toc11587"/>
      <w:bookmarkStart w:id="550" w:name="_Toc2322"/>
      <w:bookmarkStart w:id="551" w:name="_Toc9880"/>
      <w:r>
        <w:rPr>
          <w:rFonts w:hint="eastAsia" w:ascii="仿宋_GB2312" w:hAnsi="仿宋_GB2312" w:eastAsia="仿宋_GB2312" w:cs="仿宋_GB2312"/>
          <w:b w:val="0"/>
          <w:bCs w:val="0"/>
        </w:rPr>
        <w:t>一、推进科技型企业孵化育成体系建设</w:t>
      </w:r>
      <w:bookmarkEnd w:id="541"/>
      <w:bookmarkEnd w:id="542"/>
      <w:bookmarkEnd w:id="543"/>
      <w:bookmarkEnd w:id="544"/>
      <w:bookmarkEnd w:id="545"/>
      <w:bookmarkEnd w:id="546"/>
      <w:bookmarkEnd w:id="547"/>
      <w:bookmarkEnd w:id="548"/>
      <w:bookmarkEnd w:id="549"/>
      <w:bookmarkEnd w:id="550"/>
      <w:bookmarkEnd w:id="551"/>
    </w:p>
    <w:p w14:paraId="77C32EC1">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支持现有众创空间等载体向孵化器转型，持续加强伊滨智慧岛科技企业孵化器、国宏智能装备孵化器等孵化载体建设，围绕先进装备制造、新能源、智能家居等重点行业，进一步提升专业化培育服务能力；支持洛阳理工学院国家大学科技园重塑重构，强化高校科技成果转化质效，提高技术成果与企业需求之间的供需匹配</w:t>
      </w:r>
      <w:r>
        <w:rPr>
          <w:rFonts w:hint="eastAsia" w:ascii="仿宋_GB2312" w:hAnsi="仿宋_GB2312" w:eastAsia="仿宋_GB2312" w:cs="仿宋_GB2312"/>
          <w:b w:val="0"/>
          <w:bCs w:val="0"/>
          <w:color w:val="auto"/>
          <w:lang w:eastAsia="zh-CN"/>
        </w:rPr>
        <w:t>度，</w:t>
      </w:r>
      <w:r>
        <w:rPr>
          <w:rFonts w:hint="eastAsia" w:ascii="仿宋_GB2312" w:hAnsi="仿宋_GB2312" w:eastAsia="仿宋_GB2312" w:cs="仿宋_GB2312"/>
          <w:b w:val="0"/>
          <w:bCs w:val="0"/>
          <w:color w:val="auto"/>
        </w:rPr>
        <w:t>鼓励企业与高校、科研院所深度合作，开展中小企业</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链式</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数字化转型，</w:t>
      </w:r>
      <w:r>
        <w:rPr>
          <w:rFonts w:hint="eastAsia" w:ascii="仿宋_GB2312" w:hAnsi="仿宋_GB2312" w:eastAsia="仿宋_GB2312" w:cs="仿宋_GB2312"/>
          <w:b w:val="0"/>
          <w:bCs w:val="0"/>
          <w:color w:val="auto"/>
          <w:lang w:val="en-US" w:eastAsia="zh-CN"/>
        </w:rPr>
        <w:t>完善</w:t>
      </w:r>
      <w:r>
        <w:rPr>
          <w:rFonts w:hint="eastAsia" w:ascii="仿宋_GB2312" w:hAnsi="仿宋_GB2312" w:eastAsia="仿宋_GB2312" w:cs="仿宋_GB2312"/>
          <w:b w:val="0"/>
          <w:bCs w:val="0"/>
          <w:color w:val="auto"/>
        </w:rPr>
        <w:t>高新技术企业梯次培育体系、企业全生命周期科技金融支撑体系。</w:t>
      </w:r>
    </w:p>
    <w:p w14:paraId="1CDA8D9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552" w:name="_Toc30043"/>
      <w:bookmarkStart w:id="553" w:name="_Toc32113"/>
      <w:bookmarkStart w:id="554" w:name="_Toc15181"/>
      <w:bookmarkStart w:id="555" w:name="_Toc21780"/>
      <w:bookmarkStart w:id="556" w:name="_Toc8198"/>
      <w:bookmarkStart w:id="557" w:name="_Toc6671"/>
      <w:bookmarkStart w:id="558" w:name="_Toc643908492"/>
      <w:bookmarkStart w:id="559" w:name="_Toc17039"/>
      <w:bookmarkStart w:id="560" w:name="_Toc2660"/>
      <w:bookmarkStart w:id="561" w:name="_Toc22985"/>
      <w:bookmarkStart w:id="562" w:name="_Toc25435"/>
      <w:r>
        <w:rPr>
          <w:rFonts w:hint="eastAsia" w:ascii="仿宋_GB2312" w:hAnsi="仿宋_GB2312" w:eastAsia="仿宋_GB2312" w:cs="仿宋_GB2312"/>
          <w:b w:val="0"/>
          <w:bCs w:val="0"/>
        </w:rPr>
        <w:t>二、实施创新型企业梯度培育计划</w:t>
      </w:r>
      <w:bookmarkEnd w:id="552"/>
      <w:bookmarkEnd w:id="553"/>
      <w:bookmarkEnd w:id="554"/>
      <w:bookmarkEnd w:id="555"/>
      <w:bookmarkEnd w:id="556"/>
      <w:bookmarkEnd w:id="557"/>
      <w:bookmarkEnd w:id="558"/>
      <w:bookmarkEnd w:id="559"/>
      <w:bookmarkEnd w:id="560"/>
      <w:bookmarkEnd w:id="561"/>
      <w:bookmarkEnd w:id="562"/>
    </w:p>
    <w:p w14:paraId="10C7D192">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发挥大型企业龙头作用，争取培育一批独角兽企业、瞪羚企业、专精特新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小巨人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企业。建立高新技术企业培育库，对入库企业实行精准辅导和跟踪服务，帮助企业解决在知识产权、研发管理、财税规划等方面遇到的难题，推动高新技术企业数量实现倍增。聚焦产业链关键环节，筛选一批创新能力强、市场占有率高、掌握核心技术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专精特新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中小企业，在资金、用地、人才等方面给予</w:t>
      </w:r>
      <w:r>
        <w:rPr>
          <w:rFonts w:hint="eastAsia" w:ascii="仿宋_GB2312" w:hAnsi="仿宋_GB2312" w:eastAsia="仿宋_GB2312" w:cs="仿宋_GB2312"/>
          <w:b w:val="0"/>
          <w:bCs w:val="0"/>
          <w:color w:val="auto"/>
          <w:lang w:val="en-US" w:eastAsia="zh-CN"/>
        </w:rPr>
        <w:t>保障</w:t>
      </w:r>
      <w:r>
        <w:rPr>
          <w:rFonts w:hint="eastAsia" w:ascii="仿宋_GB2312" w:hAnsi="仿宋_GB2312" w:eastAsia="仿宋_GB2312" w:cs="仿宋_GB2312"/>
          <w:b w:val="0"/>
          <w:bCs w:val="0"/>
          <w:color w:val="auto"/>
        </w:rPr>
        <w:t>，支持其向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小巨人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企业和制造业单项冠军企业迈进。加强上市后备企业的遴选和培育，提供全方位的上市辅导服务，支持更多优质科技企业通过资本市场做大做强。</w:t>
      </w:r>
      <w:bookmarkStart w:id="563" w:name="_Toc32035"/>
      <w:bookmarkStart w:id="564" w:name="_Toc27280"/>
      <w:bookmarkStart w:id="565" w:name="_Toc19323"/>
      <w:bookmarkStart w:id="566" w:name="_Toc10966"/>
      <w:bookmarkStart w:id="567" w:name="_Toc5193"/>
      <w:bookmarkStart w:id="568" w:name="_Toc15156"/>
      <w:bookmarkStart w:id="569" w:name="_Toc637057731"/>
      <w:bookmarkStart w:id="570" w:name="_Toc26610"/>
      <w:bookmarkStart w:id="571" w:name="_Toc22062"/>
      <w:bookmarkStart w:id="572" w:name="_Toc4871"/>
      <w:bookmarkStart w:id="573" w:name="_Toc8351"/>
    </w:p>
    <w:p w14:paraId="352429E4">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p w14:paraId="498CA2EC">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第三节  推动科技成果转化</w:t>
      </w:r>
      <w:bookmarkEnd w:id="563"/>
      <w:bookmarkEnd w:id="564"/>
      <w:bookmarkEnd w:id="565"/>
      <w:bookmarkEnd w:id="566"/>
      <w:bookmarkEnd w:id="567"/>
      <w:bookmarkEnd w:id="568"/>
      <w:bookmarkEnd w:id="569"/>
      <w:bookmarkEnd w:id="570"/>
      <w:bookmarkEnd w:id="571"/>
      <w:bookmarkEnd w:id="572"/>
      <w:bookmarkEnd w:id="573"/>
    </w:p>
    <w:p w14:paraId="626D7575">
      <w:pPr>
        <w:pageBreakBefore w:val="0"/>
        <w:widowControl w:val="0"/>
        <w:kinsoku/>
        <w:wordWrap/>
        <w:topLinePunct w:val="0"/>
        <w:bidi w:val="0"/>
        <w:spacing w:line="600" w:lineRule="exact"/>
        <w:rPr>
          <w:rFonts w:hint="eastAsia" w:ascii="仿宋_GB2312" w:hAnsi="仿宋_GB2312" w:eastAsia="仿宋_GB2312" w:cs="仿宋_GB2312"/>
          <w:b w:val="0"/>
          <w:bCs w:val="0"/>
          <w:color w:val="auto"/>
          <w:kern w:val="2"/>
        </w:rPr>
      </w:pPr>
    </w:p>
    <w:p w14:paraId="3179372E">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kern w:val="2"/>
        </w:rPr>
        <w:t>充分发挥科技成果转移转化引领作用，提升洛阳中科信息产业研究院等技术转移示范机构的带动作用，鼓励和支持</w:t>
      </w:r>
      <w:r>
        <w:rPr>
          <w:rFonts w:hint="eastAsia" w:ascii="仿宋_GB2312" w:hAnsi="仿宋_GB2312" w:eastAsia="仿宋_GB2312" w:cs="仿宋_GB2312"/>
          <w:b w:val="0"/>
          <w:bCs w:val="0"/>
          <w:color w:val="auto"/>
          <w:spacing w:val="0"/>
          <w:sz w:val="32"/>
          <w:szCs w:val="32"/>
          <w:lang w:eastAsia="zh-CN"/>
        </w:rPr>
        <w:t>中航工业光电所、</w:t>
      </w:r>
      <w:r>
        <w:rPr>
          <w:rFonts w:hint="eastAsia" w:ascii="仿宋_GB2312" w:hAnsi="仿宋_GB2312" w:eastAsia="仿宋_GB2312" w:cs="仿宋_GB2312"/>
          <w:b w:val="0"/>
          <w:bCs w:val="0"/>
          <w:color w:val="auto"/>
          <w:kern w:val="2"/>
        </w:rPr>
        <w:t>轴研所、中信重工、兰迪玻璃等行业龙头企业联合伊滨创新平台共建创新联合体，</w:t>
      </w:r>
      <w:r>
        <w:rPr>
          <w:rFonts w:hint="eastAsia" w:ascii="仿宋_GB2312" w:hAnsi="仿宋_GB2312" w:eastAsia="仿宋_GB2312" w:cs="仿宋_GB2312"/>
          <w:b w:val="0"/>
          <w:bCs w:val="0"/>
          <w:color w:val="auto"/>
          <w:kern w:val="2"/>
          <w:lang w:val="en-US" w:eastAsia="zh-CN"/>
        </w:rPr>
        <w:t>攻</w:t>
      </w:r>
      <w:r>
        <w:rPr>
          <w:rFonts w:hint="eastAsia" w:ascii="仿宋_GB2312" w:hAnsi="仿宋_GB2312" w:eastAsia="仿宋_GB2312" w:cs="仿宋_GB2312"/>
          <w:b w:val="0"/>
          <w:bCs w:val="0"/>
          <w:color w:val="auto"/>
          <w:kern w:val="2"/>
        </w:rPr>
        <w:t>克核心技术难关，共推科技成果落地转化，深化产学研用一体化深度融合，力争到</w:t>
      </w:r>
      <w:r>
        <w:rPr>
          <w:rFonts w:hint="eastAsia" w:ascii="仿宋_GB2312" w:hAnsi="仿宋_GB2312" w:eastAsia="仿宋_GB2312" w:cs="仿宋_GB2312"/>
          <w:b w:val="0"/>
          <w:bCs w:val="0"/>
          <w:color w:val="auto"/>
          <w:kern w:val="2"/>
          <w:lang w:eastAsia="zh-CN"/>
        </w:rPr>
        <w:t>“</w:t>
      </w:r>
      <w:r>
        <w:rPr>
          <w:rFonts w:hint="eastAsia" w:ascii="仿宋_GB2312" w:hAnsi="仿宋_GB2312" w:eastAsia="仿宋_GB2312" w:cs="仿宋_GB2312"/>
          <w:b w:val="0"/>
          <w:bCs w:val="0"/>
          <w:color w:val="auto"/>
          <w:kern w:val="2"/>
        </w:rPr>
        <w:t>十五五</w:t>
      </w:r>
      <w:r>
        <w:rPr>
          <w:rFonts w:hint="eastAsia" w:ascii="仿宋_GB2312" w:hAnsi="仿宋_GB2312" w:eastAsia="仿宋_GB2312" w:cs="仿宋_GB2312"/>
          <w:b w:val="0"/>
          <w:bCs w:val="0"/>
          <w:color w:val="auto"/>
          <w:kern w:val="2"/>
          <w:lang w:eastAsia="zh-CN"/>
        </w:rPr>
        <w:t>”</w:t>
      </w:r>
      <w:r>
        <w:rPr>
          <w:rFonts w:hint="eastAsia" w:ascii="仿宋_GB2312" w:hAnsi="仿宋_GB2312" w:eastAsia="仿宋_GB2312" w:cs="仿宋_GB2312"/>
          <w:b w:val="0"/>
          <w:bCs w:val="0"/>
          <w:color w:val="auto"/>
          <w:kern w:val="2"/>
        </w:rPr>
        <w:t>末，技术合</w:t>
      </w:r>
      <w:r>
        <w:rPr>
          <w:rFonts w:hint="eastAsia" w:ascii="仿宋_GB2312" w:hAnsi="仿宋_GB2312" w:eastAsia="仿宋_GB2312" w:cs="仿宋_GB2312"/>
          <w:b w:val="0"/>
          <w:bCs w:val="0"/>
          <w:color w:val="auto"/>
        </w:rPr>
        <w:t>同交易额累计突破1</w:t>
      </w:r>
      <w:r>
        <w:rPr>
          <w:rFonts w:hint="eastAsia" w:ascii="仿宋_GB2312" w:hAnsi="仿宋_GB2312" w:eastAsia="仿宋_GB2312" w:cs="仿宋_GB2312"/>
          <w:b w:val="0"/>
          <w:bCs w:val="0"/>
          <w:color w:val="auto"/>
          <w:lang w:val="en-US" w:eastAsia="zh-CN"/>
        </w:rPr>
        <w:t>1</w:t>
      </w:r>
      <w:r>
        <w:rPr>
          <w:rFonts w:hint="eastAsia" w:ascii="仿宋_GB2312" w:hAnsi="仿宋_GB2312" w:eastAsia="仿宋_GB2312" w:cs="仿宋_GB2312"/>
          <w:b w:val="0"/>
          <w:bCs w:val="0"/>
          <w:color w:val="auto"/>
        </w:rPr>
        <w:t>0亿元</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全社会研发投入、高新技术产业增加值位居全市前列。</w:t>
      </w:r>
    </w:p>
    <w:p w14:paraId="2651EB3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574" w:name="_Toc28678"/>
      <w:bookmarkStart w:id="575" w:name="_Toc30560"/>
      <w:bookmarkStart w:id="576" w:name="_Toc7989"/>
      <w:bookmarkStart w:id="577" w:name="_Toc20603"/>
      <w:bookmarkStart w:id="578" w:name="_Toc26370"/>
      <w:bookmarkStart w:id="579" w:name="_Toc19413"/>
      <w:bookmarkStart w:id="580" w:name="_Toc1044659259"/>
      <w:bookmarkStart w:id="581" w:name="_Toc9241"/>
      <w:bookmarkStart w:id="582" w:name="_Toc11972"/>
      <w:bookmarkStart w:id="583" w:name="_Toc6625"/>
      <w:bookmarkStart w:id="584" w:name="_Toc31297"/>
      <w:r>
        <w:rPr>
          <w:rFonts w:hint="eastAsia" w:ascii="仿宋_GB2312" w:hAnsi="仿宋_GB2312" w:eastAsia="仿宋_GB2312" w:cs="仿宋_GB2312"/>
          <w:b w:val="0"/>
          <w:bCs w:val="0"/>
        </w:rPr>
        <w:t>一、完善技术转移服务体系</w:t>
      </w:r>
      <w:bookmarkEnd w:id="574"/>
      <w:bookmarkEnd w:id="575"/>
      <w:bookmarkEnd w:id="576"/>
      <w:bookmarkEnd w:id="577"/>
      <w:bookmarkEnd w:id="578"/>
      <w:bookmarkEnd w:id="579"/>
      <w:bookmarkEnd w:id="580"/>
      <w:bookmarkEnd w:id="581"/>
      <w:bookmarkEnd w:id="582"/>
      <w:bookmarkEnd w:id="583"/>
      <w:bookmarkEnd w:id="584"/>
    </w:p>
    <w:p w14:paraId="778A0365">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加快培育和发展专业化、市场化的技术转移机构和技术经理人队伍。支持国内外知名技术转移机构在伊滨设立分支机构，引进先进的运营模式和专业人才。建设线上线下相结合的科技成果信息服务平台，定期发布高校、科研院所的待转化科技成果和企业的技术需求，实现供需双方的精准对接。聚焦风口产业和未来产业发展方向，谋划布局特色产业科技园和专业化中试基地、概念验证中心，打通从基础研究、应用研究到产业化落地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最后一公里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w:t>
      </w:r>
      <w:bookmarkStart w:id="585" w:name="_Toc15309"/>
      <w:bookmarkStart w:id="586" w:name="_Toc19254"/>
      <w:bookmarkStart w:id="587" w:name="_Toc130900619"/>
      <w:bookmarkStart w:id="588" w:name="_Toc32145"/>
      <w:bookmarkStart w:id="589" w:name="_Toc5801"/>
      <w:bookmarkStart w:id="590" w:name="_Toc1913"/>
      <w:bookmarkStart w:id="591" w:name="_Toc17102"/>
      <w:bookmarkStart w:id="592" w:name="_Toc32181"/>
      <w:bookmarkStart w:id="593" w:name="_Toc30645"/>
      <w:bookmarkStart w:id="594" w:name="_Toc17097"/>
      <w:bookmarkStart w:id="595" w:name="_Toc22033"/>
    </w:p>
    <w:p w14:paraId="66CD859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二、提升知识产权服务</w:t>
      </w:r>
      <w:bookmarkEnd w:id="585"/>
      <w:bookmarkEnd w:id="586"/>
      <w:bookmarkEnd w:id="587"/>
      <w:bookmarkEnd w:id="588"/>
      <w:bookmarkEnd w:id="589"/>
      <w:bookmarkEnd w:id="590"/>
      <w:bookmarkEnd w:id="591"/>
      <w:bookmarkEnd w:id="592"/>
      <w:bookmarkEnd w:id="593"/>
      <w:bookmarkEnd w:id="594"/>
      <w:bookmarkEnd w:id="595"/>
    </w:p>
    <w:p w14:paraId="222FF382">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将知识产权保护和运用提升到区域发展的战略核心位置，发挥洛阳</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国家</w:t>
      </w:r>
      <w:r>
        <w:rPr>
          <w:rFonts w:hint="eastAsia" w:ascii="仿宋_GB2312" w:hAnsi="仿宋_GB2312" w:eastAsia="仿宋_GB2312" w:cs="仿宋_GB2312"/>
          <w:b w:val="0"/>
          <w:bCs w:val="0"/>
          <w:color w:val="auto"/>
          <w:lang w:val="en-US" w:eastAsia="zh-CN"/>
        </w:rPr>
        <w:t>级</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知识产权保护中心作用，支持建立健全知识产权运营中心工作服务体系，开展专利快速预审、快速维权、协同保护、信息传递，以及专利转化许可、专利分析导航、知识产权运营、专利商标保护公益服务等知识产权服务，探索知识产权资本化、产业化发展</w:t>
      </w:r>
      <w:r>
        <w:rPr>
          <w:rFonts w:hint="eastAsia" w:ascii="仿宋_GB2312" w:hAnsi="仿宋_GB2312" w:eastAsia="仿宋_GB2312" w:cs="仿宋_GB2312"/>
          <w:b w:val="0"/>
          <w:bCs w:val="0"/>
          <w:color w:val="auto"/>
          <w:lang w:eastAsia="zh-CN"/>
        </w:rPr>
        <w:t>路径。</w:t>
      </w:r>
      <w:r>
        <w:rPr>
          <w:rFonts w:hint="eastAsia" w:ascii="仿宋_GB2312" w:hAnsi="仿宋_GB2312" w:eastAsia="仿宋_GB2312" w:cs="仿宋_GB2312"/>
          <w:b w:val="0"/>
          <w:bCs w:val="0"/>
          <w:color w:val="auto"/>
        </w:rPr>
        <w:t>构建行政执法、司法保护、仲裁调解、行业自律有机结合的知识产权大保护格局，依法严厉打击侵权行为，切实维护创新主体的合法权益。强化知识产权宣传培训，提升全社会的知识产权意识和运用能力，为创新驱动发展提供坚实的法治保障。</w:t>
      </w:r>
    </w:p>
    <w:p w14:paraId="46D70CF8">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tbl>
      <w:tblPr>
        <w:tblStyle w:val="34"/>
        <w:tblW w:w="0" w:type="auto"/>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3"/>
      </w:tblGrid>
      <w:tr w14:paraId="7AA5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03" w:type="dxa"/>
          </w:tcPr>
          <w:p w14:paraId="71307E36">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kern w:val="2"/>
                <w:lang w:val="en-US" w:eastAsia="zh-CN"/>
              </w:rPr>
            </w:pPr>
            <w:r>
              <w:rPr>
                <w:rFonts w:hint="eastAsia" w:ascii="黑体" w:hAnsi="黑体" w:eastAsia="黑体" w:cs="黑体"/>
                <w:b w:val="0"/>
                <w:bCs w:val="0"/>
                <w:color w:val="auto"/>
                <w:kern w:val="2"/>
                <w:sz w:val="28"/>
                <w:szCs w:val="28"/>
              </w:rPr>
              <w:t>专栏</w:t>
            </w:r>
            <w:r>
              <w:rPr>
                <w:rFonts w:hint="eastAsia" w:ascii="黑体" w:hAnsi="黑体" w:eastAsia="黑体" w:cs="黑体"/>
                <w:b w:val="0"/>
                <w:bCs w:val="0"/>
                <w:color w:val="auto"/>
                <w:kern w:val="2"/>
                <w:sz w:val="28"/>
                <w:szCs w:val="28"/>
                <w:lang w:val="en-US" w:eastAsia="zh-CN"/>
              </w:rPr>
              <w:t xml:space="preserve">4-1    </w:t>
            </w:r>
            <w:r>
              <w:rPr>
                <w:rFonts w:hint="eastAsia" w:ascii="黑体" w:hAnsi="黑体" w:eastAsia="黑体" w:cs="黑体"/>
                <w:b w:val="0"/>
                <w:bCs w:val="0"/>
                <w:color w:val="auto"/>
                <w:kern w:val="2"/>
                <w:sz w:val="28"/>
                <w:szCs w:val="28"/>
              </w:rPr>
              <w:t>科技创新</w:t>
            </w:r>
            <w:r>
              <w:rPr>
                <w:rFonts w:hint="eastAsia" w:ascii="黑体" w:hAnsi="黑体" w:eastAsia="黑体" w:cs="黑体"/>
                <w:b w:val="0"/>
                <w:bCs w:val="0"/>
                <w:color w:val="auto"/>
                <w:kern w:val="2"/>
                <w:sz w:val="28"/>
                <w:szCs w:val="28"/>
                <w:lang w:val="en-US" w:eastAsia="zh-CN"/>
              </w:rPr>
              <w:t>能力提升重点项目</w:t>
            </w:r>
          </w:p>
        </w:tc>
      </w:tr>
      <w:tr w14:paraId="7533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3" w:type="dxa"/>
          </w:tcPr>
          <w:p w14:paraId="384417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仿宋_GB2312" w:hAnsi="仿宋_GB2312" w:eastAsia="仿宋_GB2312" w:cs="仿宋_GB2312"/>
                <w:b w:val="0"/>
                <w:bCs w:val="0"/>
                <w:snapToGrid/>
                <w:color w:val="auto"/>
                <w:spacing w:val="15"/>
                <w:kern w:val="0"/>
                <w:sz w:val="28"/>
                <w:szCs w:val="28"/>
                <w:highlight w:val="none"/>
                <w:lang w:val="en-US" w:eastAsia="zh-CN" w:bidi="ar-SA"/>
              </w:rPr>
            </w:pPr>
            <w:r>
              <w:rPr>
                <w:rFonts w:hint="eastAsia" w:ascii="仿宋_GB2312" w:hAnsi="仿宋_GB2312" w:eastAsia="仿宋_GB2312" w:cs="仿宋_GB2312"/>
                <w:b w:val="0"/>
                <w:bCs w:val="0"/>
                <w:snapToGrid/>
                <w:color w:val="auto"/>
                <w:spacing w:val="15"/>
                <w:kern w:val="0"/>
                <w:sz w:val="28"/>
                <w:szCs w:val="28"/>
                <w:highlight w:val="none"/>
                <w:lang w:val="en-US" w:eastAsia="zh-CN" w:bidi="ar-SA"/>
              </w:rPr>
              <w:t>重大创新研发平台项目。谋划建设教育科技人才一体化融合发展示范平台、中科信息科技产业园、国展科技产业社区等重大创新研发平台项目10个。</w:t>
            </w:r>
          </w:p>
        </w:tc>
      </w:tr>
    </w:tbl>
    <w:p w14:paraId="3437558C">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596" w:name="_Toc14218"/>
      <w:bookmarkStart w:id="597" w:name="_Toc29236"/>
      <w:bookmarkStart w:id="598" w:name="_Toc22759"/>
      <w:bookmarkStart w:id="599" w:name="_Toc15613"/>
      <w:bookmarkStart w:id="600" w:name="_Toc6871"/>
      <w:bookmarkStart w:id="601" w:name="_Toc2895"/>
      <w:bookmarkStart w:id="602" w:name="_Toc509463024"/>
      <w:bookmarkStart w:id="603" w:name="_Toc18224"/>
    </w:p>
    <w:p w14:paraId="16E24E10">
      <w:pPr>
        <w:pStyle w:val="7"/>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lang w:val="en-US" w:eastAsia="zh-CN"/>
        </w:rPr>
        <w:t xml:space="preserve">第四节  </w:t>
      </w:r>
      <w:r>
        <w:rPr>
          <w:rFonts w:hint="eastAsia" w:ascii="黑体" w:hAnsi="黑体" w:eastAsia="黑体" w:cs="黑体"/>
          <w:b w:val="0"/>
          <w:bCs w:val="0"/>
        </w:rPr>
        <w:t>一体推进教育科技人才发展</w:t>
      </w:r>
      <w:bookmarkEnd w:id="505"/>
      <w:bookmarkEnd w:id="506"/>
      <w:bookmarkEnd w:id="507"/>
      <w:bookmarkEnd w:id="596"/>
      <w:bookmarkEnd w:id="597"/>
      <w:bookmarkEnd w:id="598"/>
      <w:bookmarkEnd w:id="599"/>
      <w:bookmarkEnd w:id="600"/>
      <w:bookmarkEnd w:id="601"/>
      <w:bookmarkEnd w:id="602"/>
      <w:bookmarkEnd w:id="603"/>
    </w:p>
    <w:p w14:paraId="268322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rPr>
      </w:pPr>
    </w:p>
    <w:p w14:paraId="37210BB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将人才工作摆在更加突出的战略位置，聚焦科技创新、产业升级和区域竞争对人才的迫切需求，着力培育壮大人才队伍，为</w:t>
      </w:r>
      <w:r>
        <w:rPr>
          <w:rFonts w:hint="eastAsia" w:ascii="仿宋_GB2312" w:hAnsi="仿宋_GB2312" w:eastAsia="仿宋_GB2312" w:cs="仿宋_GB2312"/>
          <w:b w:val="0"/>
          <w:bCs w:val="0"/>
          <w:lang w:val="en-US" w:eastAsia="zh-CN"/>
        </w:rPr>
        <w:t>伊滨</w:t>
      </w:r>
      <w:r>
        <w:rPr>
          <w:rFonts w:hint="eastAsia" w:ascii="仿宋_GB2312" w:hAnsi="仿宋_GB2312" w:eastAsia="仿宋_GB2312" w:cs="仿宋_GB2312"/>
          <w:b w:val="0"/>
          <w:bCs w:val="0"/>
        </w:rPr>
        <w:t>现代化建设提供坚实的人才支撑和智力保障。</w:t>
      </w:r>
      <w:bookmarkStart w:id="604" w:name="_Toc18667"/>
      <w:bookmarkStart w:id="605" w:name="_Toc28151"/>
      <w:bookmarkStart w:id="606" w:name="_Toc17764"/>
      <w:bookmarkStart w:id="607" w:name="_Toc11234"/>
      <w:bookmarkStart w:id="608" w:name="_Toc16347"/>
      <w:bookmarkStart w:id="609" w:name="_Toc5528"/>
      <w:bookmarkStart w:id="610" w:name="_Toc2314"/>
      <w:bookmarkStart w:id="611" w:name="_Toc25749"/>
      <w:bookmarkStart w:id="612" w:name="_Toc22920"/>
      <w:bookmarkStart w:id="613" w:name="_Toc19234"/>
      <w:bookmarkStart w:id="614" w:name="_Toc619014061"/>
    </w:p>
    <w:p w14:paraId="4B85B773">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一、</w:t>
      </w:r>
      <w:r>
        <w:rPr>
          <w:rFonts w:hint="eastAsia" w:ascii="仿宋_GB2312" w:hAnsi="仿宋_GB2312" w:eastAsia="仿宋_GB2312" w:cs="仿宋_GB2312"/>
          <w:b w:val="0"/>
          <w:bCs w:val="0"/>
        </w:rPr>
        <w:t>统筹推进一体化设计</w:t>
      </w:r>
      <w:bookmarkEnd w:id="604"/>
      <w:bookmarkEnd w:id="605"/>
      <w:bookmarkEnd w:id="606"/>
      <w:bookmarkEnd w:id="607"/>
      <w:bookmarkEnd w:id="608"/>
      <w:bookmarkEnd w:id="609"/>
      <w:bookmarkEnd w:id="610"/>
      <w:bookmarkEnd w:id="611"/>
      <w:bookmarkEnd w:id="612"/>
      <w:bookmarkEnd w:id="613"/>
      <w:bookmarkEnd w:id="614"/>
    </w:p>
    <w:p w14:paraId="0DAA4FA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加快体制机制改革步伐，加强对教育科技人才一体化发展的前瞻性思考、全局性谋划、战略性布局、整体性推进。推动</w:t>
      </w:r>
      <w:r>
        <w:rPr>
          <w:rFonts w:hint="eastAsia" w:ascii="仿宋_GB2312" w:hAnsi="仿宋_GB2312" w:eastAsia="仿宋_GB2312" w:cs="仿宋_GB2312"/>
          <w:b w:val="0"/>
          <w:bCs w:val="0"/>
          <w:lang w:val="en-US" w:eastAsia="zh-CN"/>
        </w:rPr>
        <w:t>伊滨</w:t>
      </w:r>
      <w:r>
        <w:rPr>
          <w:rFonts w:hint="eastAsia" w:ascii="仿宋_GB2312" w:hAnsi="仿宋_GB2312" w:eastAsia="仿宋_GB2312" w:cs="仿宋_GB2312"/>
          <w:b w:val="0"/>
          <w:bCs w:val="0"/>
        </w:rPr>
        <w:t>高校持续深化改革、优化学科设置，支持洛阳师范学院高水平师范大学建设、洛阳职业技术学院申建职业本科，鼓励校企合作共建研发中心、实训基地、产业学院和产教联合体。积极探索形成具有伊滨特色的教育科技人才融合发展路径，推动教育链、创新链、人才链、产业链多链深度融合，共同塑造支撑产业发展的新动能新优势。</w:t>
      </w:r>
    </w:p>
    <w:p w14:paraId="57DD3CA8">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615" w:name="_Toc11012"/>
      <w:bookmarkStart w:id="616" w:name="_Toc23642"/>
      <w:bookmarkStart w:id="617" w:name="_Toc13310"/>
      <w:bookmarkStart w:id="618" w:name="_Toc2617"/>
      <w:bookmarkStart w:id="619" w:name="_Toc30505"/>
      <w:bookmarkStart w:id="620" w:name="_Toc30418"/>
      <w:bookmarkStart w:id="621" w:name="_Toc523121044"/>
      <w:bookmarkStart w:id="622" w:name="_Toc18524"/>
      <w:bookmarkStart w:id="623" w:name="_Toc9023"/>
      <w:bookmarkStart w:id="624" w:name="_Toc24289"/>
      <w:bookmarkStart w:id="625" w:name="_Toc10004"/>
      <w:r>
        <w:rPr>
          <w:rFonts w:hint="eastAsia" w:ascii="仿宋_GB2312" w:hAnsi="仿宋_GB2312" w:eastAsia="仿宋_GB2312" w:cs="仿宋_GB2312"/>
          <w:b w:val="0"/>
          <w:bCs w:val="0"/>
          <w:lang w:val="en-US" w:eastAsia="zh-CN"/>
        </w:rPr>
        <w:t>二、创建教育科技</w:t>
      </w:r>
      <w:r>
        <w:rPr>
          <w:rFonts w:hint="eastAsia" w:ascii="仿宋_GB2312" w:hAnsi="仿宋_GB2312" w:eastAsia="仿宋_GB2312" w:cs="仿宋_GB2312"/>
          <w:b w:val="0"/>
          <w:bCs w:val="0"/>
        </w:rPr>
        <w:t>人才一体化</w:t>
      </w:r>
      <w:r>
        <w:rPr>
          <w:rFonts w:hint="eastAsia" w:ascii="仿宋_GB2312" w:hAnsi="仿宋_GB2312" w:eastAsia="仿宋_GB2312" w:cs="仿宋_GB2312"/>
          <w:b w:val="0"/>
          <w:bCs w:val="0"/>
          <w:lang w:val="en-US" w:eastAsia="zh-CN"/>
        </w:rPr>
        <w:t>融合</w:t>
      </w:r>
      <w:r>
        <w:rPr>
          <w:rFonts w:hint="eastAsia" w:ascii="仿宋_GB2312" w:hAnsi="仿宋_GB2312" w:eastAsia="仿宋_GB2312" w:cs="仿宋_GB2312"/>
          <w:b w:val="0"/>
          <w:bCs w:val="0"/>
        </w:rPr>
        <w:t>发展</w:t>
      </w:r>
      <w:bookmarkEnd w:id="615"/>
      <w:bookmarkEnd w:id="616"/>
      <w:bookmarkEnd w:id="617"/>
      <w:r>
        <w:rPr>
          <w:rFonts w:hint="eastAsia" w:ascii="仿宋_GB2312" w:hAnsi="仿宋_GB2312" w:eastAsia="仿宋_GB2312" w:cs="仿宋_GB2312"/>
          <w:b w:val="0"/>
          <w:bCs w:val="0"/>
          <w:lang w:val="en-US" w:eastAsia="zh-CN"/>
        </w:rPr>
        <w:t>示范平台</w:t>
      </w:r>
      <w:bookmarkEnd w:id="618"/>
      <w:bookmarkEnd w:id="619"/>
      <w:bookmarkEnd w:id="620"/>
      <w:bookmarkEnd w:id="621"/>
      <w:bookmarkEnd w:id="622"/>
      <w:bookmarkEnd w:id="623"/>
      <w:bookmarkEnd w:id="624"/>
      <w:bookmarkEnd w:id="625"/>
    </w:p>
    <w:p w14:paraId="35709D9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eastAsia="zh-CN"/>
        </w:rPr>
        <w:t>以龙门实验室为依托，打造教育科技人才一体化融合发展示范平台，</w:t>
      </w:r>
      <w:r>
        <w:rPr>
          <w:rFonts w:hint="eastAsia" w:ascii="仿宋_GB2312" w:hAnsi="仿宋_GB2312" w:eastAsia="仿宋_GB2312" w:cs="仿宋_GB2312"/>
          <w:b w:val="0"/>
          <w:bCs w:val="0"/>
        </w:rPr>
        <w:t>推动科技、教育、人才、产业、金融、数据等要素融合，建立创新合作协同机制，将高校育人、科技创新、产业孵化有机结合，助推传统产业转型升级、新兴产业培育壮大、未来产业前瞻布局，整合利用优质创新资源和产业资源，走出一条以政产学研深度融合引领产业升级的新路，支撑创新高地建设。</w:t>
      </w:r>
      <w:bookmarkStart w:id="626" w:name="_Toc30807"/>
      <w:bookmarkStart w:id="627" w:name="_Toc2705"/>
      <w:bookmarkStart w:id="628" w:name="_Toc15197"/>
    </w:p>
    <w:p w14:paraId="0B25B38C">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629" w:name="_Toc1469430984"/>
      <w:bookmarkStart w:id="630" w:name="_Toc13672"/>
      <w:bookmarkStart w:id="631" w:name="_Toc20008"/>
      <w:bookmarkStart w:id="632" w:name="_Toc22552"/>
      <w:bookmarkStart w:id="633" w:name="_Toc13419"/>
      <w:bookmarkStart w:id="634" w:name="_Toc22536"/>
      <w:bookmarkStart w:id="635" w:name="_Toc9617"/>
      <w:bookmarkStart w:id="636" w:name="_Toc11584"/>
      <w:r>
        <w:rPr>
          <w:rFonts w:hint="eastAsia" w:ascii="仿宋_GB2312" w:hAnsi="仿宋_GB2312" w:eastAsia="仿宋_GB2312" w:cs="仿宋_GB2312"/>
          <w:b w:val="0"/>
          <w:bCs w:val="0"/>
          <w:lang w:val="en-US" w:eastAsia="zh-CN"/>
        </w:rPr>
        <w:t>三、打造人才汇集磁场</w:t>
      </w:r>
      <w:bookmarkEnd w:id="626"/>
      <w:bookmarkEnd w:id="627"/>
      <w:bookmarkEnd w:id="628"/>
      <w:bookmarkEnd w:id="629"/>
      <w:bookmarkEnd w:id="630"/>
      <w:bookmarkEnd w:id="631"/>
      <w:bookmarkEnd w:id="632"/>
      <w:bookmarkEnd w:id="633"/>
      <w:bookmarkEnd w:id="634"/>
      <w:bookmarkEnd w:id="635"/>
      <w:bookmarkEnd w:id="636"/>
    </w:p>
    <w:p w14:paraId="1113EB0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加大河洛青年创新创业人才、市级科技领军人才培育力度，聚焦新能源、智能家具制造等产业，以企业需求为导向，加大科技人才、科技领军人才、青年科技人才、基础研究人才的培养力度，建设人力资源服务产业园。积极落实</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河洛英才计划</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，高标准建设人才公寓、学校、医院，提供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上管老、下管小</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全链条服务，营造</w:t>
      </w:r>
      <w:r>
        <w:rPr>
          <w:rFonts w:hint="eastAsia" w:ascii="仿宋_GB2312" w:hAnsi="仿宋_GB2312" w:eastAsia="仿宋_GB2312" w:cs="仿宋_GB2312"/>
          <w:b w:val="0"/>
          <w:bCs w:val="0"/>
          <w:lang w:val="en-US" w:eastAsia="zh-CN"/>
        </w:rPr>
        <w:t>全市</w:t>
      </w:r>
      <w:r>
        <w:rPr>
          <w:rFonts w:hint="eastAsia" w:ascii="仿宋_GB2312" w:hAnsi="仿宋_GB2312" w:eastAsia="仿宋_GB2312" w:cs="仿宋_GB2312"/>
          <w:b w:val="0"/>
          <w:bCs w:val="0"/>
        </w:rPr>
        <w:t>一流、宜居宜业的人才发展环境。</w:t>
      </w:r>
      <w:r>
        <w:rPr>
          <w:rFonts w:hint="eastAsia" w:ascii="仿宋_GB2312" w:hAnsi="仿宋_GB2312" w:eastAsia="仿宋_GB2312" w:cs="仿宋_GB2312"/>
          <w:b w:val="0"/>
          <w:bCs w:val="0"/>
          <w:lang w:val="en-US" w:eastAsia="zh-CN"/>
        </w:rPr>
        <w:t>探索</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政录企用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等新型模式，最大限度激发人才创造活力。力争</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末，各类人才总量突破10万人，人才密度达到20%。</w:t>
      </w:r>
      <w:bookmarkStart w:id="637" w:name="_Toc23218"/>
      <w:bookmarkStart w:id="638" w:name="_Toc32271"/>
      <w:bookmarkStart w:id="639" w:name="_Toc32204"/>
      <w:bookmarkStart w:id="640" w:name="_Toc706145352"/>
      <w:bookmarkStart w:id="641" w:name="_Toc29122"/>
      <w:bookmarkStart w:id="642" w:name="_Toc10633"/>
      <w:bookmarkStart w:id="643" w:name="_Toc20920"/>
      <w:bookmarkStart w:id="644" w:name="_Toc13747"/>
      <w:bookmarkStart w:id="645" w:name="_Toc8313"/>
      <w:bookmarkStart w:id="646" w:name="_Toc1341"/>
      <w:bookmarkStart w:id="647" w:name="_Toc25257"/>
      <w:bookmarkStart w:id="648" w:name="_Toc9728"/>
      <w:bookmarkStart w:id="649" w:name="_Toc6815"/>
      <w:bookmarkStart w:id="650" w:name="_Toc25344"/>
    </w:p>
    <w:p w14:paraId="5EBBFF8F">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2554EDA0">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五</w:t>
      </w:r>
      <w:r>
        <w:rPr>
          <w:rFonts w:hint="eastAsia" w:ascii="黑体" w:hAnsi="黑体" w:eastAsia="黑体" w:cs="黑体"/>
          <w:b w:val="0"/>
          <w:bCs w:val="0"/>
        </w:rPr>
        <w:t xml:space="preserve">节 </w:t>
      </w:r>
      <w:r>
        <w:rPr>
          <w:rFonts w:hint="eastAsia" w:ascii="黑体" w:hAnsi="黑体" w:eastAsia="黑体" w:cs="黑体"/>
          <w:b w:val="0"/>
          <w:bCs w:val="0"/>
          <w:lang w:val="en-US" w:eastAsia="zh-CN"/>
        </w:rPr>
        <w:t xml:space="preserve"> 营造良好</w:t>
      </w:r>
      <w:r>
        <w:rPr>
          <w:rFonts w:hint="eastAsia" w:ascii="黑体" w:hAnsi="黑体" w:eastAsia="黑体" w:cs="黑体"/>
          <w:b w:val="0"/>
          <w:bCs w:val="0"/>
        </w:rPr>
        <w:t>创新生态</w:t>
      </w:r>
      <w:bookmarkEnd w:id="637"/>
      <w:bookmarkEnd w:id="638"/>
      <w:bookmarkEnd w:id="639"/>
      <w:bookmarkEnd w:id="640"/>
      <w:bookmarkEnd w:id="641"/>
      <w:bookmarkEnd w:id="642"/>
      <w:bookmarkEnd w:id="643"/>
      <w:bookmarkEnd w:id="644"/>
      <w:bookmarkEnd w:id="645"/>
      <w:bookmarkEnd w:id="646"/>
      <w:bookmarkEnd w:id="647"/>
    </w:p>
    <w:p w14:paraId="4A7E0032">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p w14:paraId="6A144B93">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坚持把优化创新生态作为激发创新活力的根本保障，以深化科技体制改革为根本动力，推动创新链、产业链、资金链、人才链、数据链等深度融合，营造</w:t>
      </w:r>
      <w:r>
        <w:rPr>
          <w:rFonts w:hint="eastAsia" w:ascii="仿宋_GB2312" w:hAnsi="仿宋_GB2312" w:eastAsia="仿宋_GB2312" w:cs="仿宋_GB2312"/>
          <w:b w:val="0"/>
          <w:bCs w:val="0"/>
          <w:color w:val="auto"/>
          <w:lang w:val="en-US" w:eastAsia="zh-CN"/>
        </w:rPr>
        <w:t>全市</w:t>
      </w:r>
      <w:r>
        <w:rPr>
          <w:rFonts w:hint="eastAsia" w:ascii="仿宋_GB2312" w:hAnsi="仿宋_GB2312" w:eastAsia="仿宋_GB2312" w:cs="仿宋_GB2312"/>
          <w:b w:val="0"/>
          <w:bCs w:val="0"/>
          <w:color w:val="auto"/>
        </w:rPr>
        <w:t>一流的创新创业环境。</w:t>
      </w:r>
    </w:p>
    <w:p w14:paraId="2A8BA82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651" w:name="_Toc30292"/>
      <w:bookmarkStart w:id="652" w:name="_Toc14454"/>
      <w:bookmarkStart w:id="653" w:name="_Toc492"/>
      <w:bookmarkStart w:id="654" w:name="_Toc9790"/>
      <w:bookmarkStart w:id="655" w:name="_Toc11409"/>
      <w:bookmarkStart w:id="656" w:name="_Toc6090"/>
      <w:bookmarkStart w:id="657" w:name="_Toc15143"/>
      <w:bookmarkStart w:id="658" w:name="_Toc5826"/>
      <w:bookmarkStart w:id="659" w:name="_Toc393383369"/>
      <w:bookmarkStart w:id="660" w:name="_Toc11998"/>
      <w:bookmarkStart w:id="661" w:name="_Toc20642"/>
      <w:r>
        <w:rPr>
          <w:rFonts w:hint="eastAsia" w:ascii="仿宋_GB2312" w:hAnsi="仿宋_GB2312" w:eastAsia="仿宋_GB2312" w:cs="仿宋_GB2312"/>
          <w:b w:val="0"/>
          <w:bCs w:val="0"/>
          <w:lang w:val="en-US" w:eastAsia="zh-CN"/>
        </w:rPr>
        <w:t>一</w:t>
      </w:r>
      <w:r>
        <w:rPr>
          <w:rFonts w:hint="eastAsia" w:ascii="仿宋_GB2312" w:hAnsi="仿宋_GB2312" w:eastAsia="仿宋_GB2312" w:cs="仿宋_GB2312"/>
          <w:b w:val="0"/>
          <w:bCs w:val="0"/>
        </w:rPr>
        <w:t>、构建多元化科技金融体系</w:t>
      </w:r>
      <w:bookmarkEnd w:id="651"/>
      <w:bookmarkEnd w:id="652"/>
      <w:bookmarkEnd w:id="653"/>
      <w:bookmarkEnd w:id="654"/>
      <w:bookmarkEnd w:id="655"/>
      <w:bookmarkEnd w:id="656"/>
      <w:bookmarkEnd w:id="657"/>
      <w:bookmarkEnd w:id="658"/>
      <w:bookmarkEnd w:id="659"/>
      <w:bookmarkEnd w:id="660"/>
      <w:bookmarkEnd w:id="661"/>
    </w:p>
    <w:p w14:paraId="46082EAA">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聚焦科技企业全生命周期融资需求，构建政府引导、市场主导、机构协同的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科技—产业—金融</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良性循环</w:t>
      </w:r>
      <w:r>
        <w:rPr>
          <w:rFonts w:hint="eastAsia" w:ascii="仿宋_GB2312" w:hAnsi="仿宋_GB2312" w:eastAsia="仿宋_GB2312" w:cs="仿宋_GB2312"/>
          <w:b w:val="0"/>
          <w:bCs w:val="0"/>
          <w:color w:val="auto"/>
          <w:lang w:val="en-US" w:eastAsia="zh-CN"/>
        </w:rPr>
        <w:t>体系</w:t>
      </w:r>
      <w:r>
        <w:rPr>
          <w:rFonts w:hint="eastAsia" w:ascii="仿宋_GB2312" w:hAnsi="仿宋_GB2312" w:eastAsia="仿宋_GB2312" w:cs="仿宋_GB2312"/>
          <w:b w:val="0"/>
          <w:bCs w:val="0"/>
          <w:color w:val="auto"/>
        </w:rPr>
        <w:t>。秉持借船出海思路，积极对接各类金融机构，围绕新能源、新材料、新一代信息技术等开发专属金融产品，引导商业银行开发专属信贷产品。大力发展知识产权质押融资、科技保险等新业态，并支持企业对接多层次资本市场，打造全方位的科技金融高地。</w:t>
      </w:r>
    </w:p>
    <w:p w14:paraId="761641B6">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662" w:name="_Toc21560"/>
      <w:bookmarkStart w:id="663" w:name="_Toc29337"/>
      <w:bookmarkStart w:id="664" w:name="_Toc28636"/>
      <w:bookmarkStart w:id="665" w:name="_Toc17934"/>
      <w:bookmarkStart w:id="666" w:name="_Toc22246"/>
      <w:bookmarkStart w:id="667" w:name="_Toc28345"/>
      <w:bookmarkStart w:id="668" w:name="_Toc2338"/>
      <w:bookmarkStart w:id="669" w:name="_Toc32490"/>
      <w:bookmarkStart w:id="670" w:name="_Toc12876"/>
      <w:bookmarkStart w:id="671" w:name="_Toc11208"/>
      <w:bookmarkStart w:id="672" w:name="_Toc321871215"/>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w:t>
      </w:r>
      <w:bookmarkEnd w:id="662"/>
      <w:bookmarkEnd w:id="663"/>
      <w:bookmarkEnd w:id="664"/>
      <w:r>
        <w:rPr>
          <w:rFonts w:hint="eastAsia" w:ascii="仿宋_GB2312" w:hAnsi="仿宋_GB2312" w:eastAsia="仿宋_GB2312" w:cs="仿宋_GB2312"/>
          <w:b w:val="0"/>
          <w:bCs w:val="0"/>
        </w:rPr>
        <w:t>深化数智技术融合应用</w:t>
      </w:r>
      <w:bookmarkEnd w:id="665"/>
      <w:bookmarkEnd w:id="666"/>
      <w:bookmarkEnd w:id="667"/>
      <w:bookmarkEnd w:id="668"/>
      <w:bookmarkEnd w:id="669"/>
      <w:bookmarkEnd w:id="670"/>
      <w:bookmarkEnd w:id="671"/>
      <w:bookmarkEnd w:id="672"/>
    </w:p>
    <w:p w14:paraId="0E977D4C">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培育发展数据要素市场。协同推进数字产业化和产业数字化，促进数字经济和实体经济深度融合</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不断催生新产业</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新模式。全面实施“人工智能+”行动，推动人工智能</w:t>
      </w:r>
      <w:r>
        <w:rPr>
          <w:rFonts w:hint="eastAsia" w:ascii="仿宋_GB2312" w:hAnsi="仿宋_GB2312" w:eastAsia="仿宋_GB2312" w:cs="仿宋_GB2312"/>
          <w:b w:val="0"/>
          <w:bCs w:val="0"/>
          <w:color w:val="auto"/>
          <w:lang w:val="en-US" w:eastAsia="zh-CN"/>
        </w:rPr>
        <w:t>与</w:t>
      </w:r>
      <w:r>
        <w:rPr>
          <w:rFonts w:hint="eastAsia" w:ascii="仿宋_GB2312" w:hAnsi="仿宋_GB2312" w:eastAsia="仿宋_GB2312" w:cs="仿宋_GB2312"/>
          <w:b w:val="0"/>
          <w:bCs w:val="0"/>
          <w:color w:val="auto"/>
        </w:rPr>
        <w:t>产业发展、文化建设、民生保障、社会治理相结合，全方位赋能千行百业。推动平台经济创新和健康发展。推动技术、数据等新型要素高效流转与价值释放。统筹推进全区数字基础设施建设，适度超前布局5G网络、工业互联网、算力中心等新型基础设施。建立健全公共数据开放和开发利用机制，在确保安全的前提下，分类分级向社会开放交通、气象、医疗、地理信息等领域的公共数据资源，鼓励企业和社会机构进行增值开发利用。聚焦智能制造、智慧城市、智慧文旅等重点领域，打造数据应用场景，支持企业利用大数据、人工智能等技术进行产品创新、模式创新和管理创新。加强数据安全保障和个人信息保护，建立健全数据要素市场监管体系，确保数据要素的安全有序流动和高效利用。以数据资源为核心要素，大力发展软件开发、信息技术服务、大数据及人工智能等新兴业态。深化产业数字化应用服务，积极引进数字服务企业，通过</w:t>
      </w:r>
      <w:r>
        <w:rPr>
          <w:rFonts w:hint="eastAsia" w:ascii="仿宋_GB2312" w:hAnsi="仿宋_GB2312" w:eastAsia="仿宋_GB2312" w:cs="仿宋_GB2312"/>
          <w:b w:val="0"/>
          <w:bCs w:val="0"/>
          <w:color w:val="auto"/>
          <w:lang w:val="en-US" w:eastAsia="zh-CN"/>
        </w:rPr>
        <w:t>优质营商环境</w:t>
      </w:r>
      <w:r>
        <w:rPr>
          <w:rFonts w:hint="eastAsia" w:ascii="仿宋_GB2312" w:hAnsi="仿宋_GB2312" w:eastAsia="仿宋_GB2312" w:cs="仿宋_GB2312"/>
          <w:b w:val="0"/>
          <w:bCs w:val="0"/>
          <w:color w:val="auto"/>
        </w:rPr>
        <w:t>吸引国内外知名信息化企业，鼓励和支持数字服务企业面向制造业、农业、文旅等传统行业，提供数字化转型解决方案。</w:t>
      </w:r>
    </w:p>
    <w:bookmarkEnd w:id="484"/>
    <w:bookmarkEnd w:id="485"/>
    <w:bookmarkEnd w:id="486"/>
    <w:bookmarkEnd w:id="487"/>
    <w:bookmarkEnd w:id="488"/>
    <w:bookmarkEnd w:id="648"/>
    <w:bookmarkEnd w:id="649"/>
    <w:bookmarkEnd w:id="650"/>
    <w:p w14:paraId="6F6B5777">
      <w:pPr>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673" w:name="_Toc3005"/>
      <w:bookmarkStart w:id="674" w:name="_Toc5299"/>
      <w:bookmarkStart w:id="675" w:name="_Toc22975"/>
      <w:bookmarkStart w:id="676" w:name="_Toc24606"/>
      <w:bookmarkStart w:id="677" w:name="_Toc8948"/>
      <w:bookmarkStart w:id="678" w:name="_Toc3177"/>
      <w:bookmarkStart w:id="679" w:name="_Toc6734"/>
      <w:bookmarkStart w:id="680" w:name="_Toc28191"/>
      <w:bookmarkStart w:id="681" w:name="_Toc367310369"/>
      <w:bookmarkStart w:id="682" w:name="_Toc30291"/>
      <w:bookmarkStart w:id="683" w:name="_Toc25415"/>
      <w:bookmarkStart w:id="684" w:name="_Toc1476"/>
      <w:bookmarkStart w:id="685" w:name="_Toc215857877"/>
      <w:bookmarkStart w:id="686" w:name="_Toc28494"/>
      <w:bookmarkStart w:id="687" w:name="_Toc1355"/>
      <w:bookmarkStart w:id="688" w:name="_Toc8888"/>
    </w:p>
    <w:p w14:paraId="24856B96">
      <w:pPr>
        <w:pStyle w:val="7"/>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五</w:t>
      </w:r>
      <w:r>
        <w:rPr>
          <w:rFonts w:hint="eastAsia" w:ascii="黑体" w:hAnsi="黑体" w:eastAsia="黑体" w:cs="黑体"/>
          <w:b w:val="0"/>
          <w:bCs w:val="0"/>
        </w:rPr>
        <w:t xml:space="preserve">章 </w:t>
      </w:r>
      <w:r>
        <w:rPr>
          <w:rFonts w:hint="eastAsia" w:ascii="黑体" w:hAnsi="黑体" w:eastAsia="黑体" w:cs="黑体"/>
          <w:b w:val="0"/>
          <w:bCs w:val="0"/>
          <w:lang w:val="en-US" w:eastAsia="zh-CN"/>
        </w:rPr>
        <w:t xml:space="preserve"> 深化改革开放，建设全国统一大市场双循环节点</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6D3B3A98">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689" w:name="_Toc8233"/>
    </w:p>
    <w:p w14:paraId="41F70D3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坚持改革与开放相互促进、内需与外需协同发力，以制度型开放和市场化改革为动力，打通经济循环堵点，深度融入国内国际双循环，增强区域经济发展韧性与竞争力</w:t>
      </w:r>
      <w:r>
        <w:rPr>
          <w:rFonts w:hint="eastAsia" w:ascii="仿宋_GB2312" w:hAnsi="仿宋_GB2312" w:eastAsia="仿宋_GB2312" w:cs="仿宋_GB2312"/>
          <w:b w:val="0"/>
          <w:bCs w:val="0"/>
          <w:lang w:eastAsia="zh-CN"/>
        </w:rPr>
        <w:t>，建设全国统一大市场双循环重要节点</w:t>
      </w:r>
      <w:r>
        <w:rPr>
          <w:rFonts w:hint="eastAsia" w:ascii="仿宋_GB2312" w:hAnsi="仿宋_GB2312" w:eastAsia="仿宋_GB2312" w:cs="仿宋_GB2312"/>
          <w:b w:val="0"/>
          <w:bCs w:val="0"/>
        </w:rPr>
        <w:t>。</w:t>
      </w:r>
      <w:bookmarkStart w:id="690" w:name="_Toc30948"/>
      <w:bookmarkStart w:id="691" w:name="_Toc4852"/>
      <w:bookmarkStart w:id="692" w:name="_Toc431363277"/>
      <w:bookmarkStart w:id="693" w:name="_Toc29589"/>
      <w:bookmarkStart w:id="694" w:name="_Toc26243"/>
      <w:bookmarkStart w:id="695" w:name="_Toc18981"/>
      <w:bookmarkStart w:id="696" w:name="_Toc4129"/>
      <w:bookmarkStart w:id="697" w:name="_Toc31896"/>
      <w:bookmarkStart w:id="698" w:name="_Toc215857878"/>
      <w:bookmarkStart w:id="699" w:name="_Toc25197"/>
      <w:bookmarkStart w:id="700" w:name="_Toc26388"/>
      <w:bookmarkStart w:id="701" w:name="_Toc17038"/>
      <w:bookmarkStart w:id="702" w:name="_Toc7741"/>
      <w:bookmarkStart w:id="703" w:name="_Toc1900"/>
      <w:bookmarkStart w:id="704" w:name="_Toc2716"/>
    </w:p>
    <w:p w14:paraId="361FBAF4">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36388049">
      <w:pPr>
        <w:pageBreakBefore w:val="0"/>
        <w:widowControl w:val="0"/>
        <w:kinsoku/>
        <w:wordWrap/>
        <w:topLinePunct w:val="0"/>
        <w:bidi w:val="0"/>
        <w:spacing w:line="600" w:lineRule="exact"/>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第一节  全面深化体制机制改革</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B9E802F">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3AAC3E3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深化重点领域和关键环节改革创新，优化各类要素配置，探索适应新发展格局的有效路径和模式。</w:t>
      </w:r>
      <w:bookmarkStart w:id="705" w:name="_Toc25762"/>
      <w:bookmarkStart w:id="706" w:name="_Toc215857879"/>
      <w:bookmarkStart w:id="707" w:name="_Toc27572"/>
      <w:bookmarkStart w:id="708" w:name="_Toc31868"/>
      <w:bookmarkStart w:id="709" w:name="_Toc1510"/>
      <w:bookmarkStart w:id="710" w:name="_Toc30312"/>
      <w:bookmarkStart w:id="711" w:name="_Toc13886"/>
      <w:bookmarkStart w:id="712" w:name="_Toc6360"/>
      <w:bookmarkStart w:id="713" w:name="_Toc32165"/>
      <w:bookmarkStart w:id="714" w:name="_Toc2226"/>
      <w:bookmarkStart w:id="715" w:name="_Toc2657"/>
      <w:bookmarkStart w:id="716" w:name="_Toc290348104"/>
      <w:bookmarkStart w:id="717" w:name="_Toc17947"/>
      <w:bookmarkStart w:id="718" w:name="_Toc3127"/>
      <w:bookmarkStart w:id="719" w:name="_Toc6493"/>
    </w:p>
    <w:p w14:paraId="430AA36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一、深化财政和投融资体制改革</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3981B199">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紧密围绕区党工委、管委会提出的重大目标、重大战略和重大举措，优化财政资源配置，加强财政资金保障和财政政策支持，加大对现代化产业体系、科技、教育、社会保障、农业农村、生态环保等方面的支持力度，不断提升经济发展质量，为伊滨现代化建设取得决定性进展提供有力保障。</w:t>
      </w:r>
    </w:p>
    <w:p w14:paraId="288E2733">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color w:val="auto"/>
          <w:lang w:val="en-US" w:eastAsia="zh-CN"/>
        </w:rPr>
        <w:t>发挥</w:t>
      </w:r>
      <w:r>
        <w:rPr>
          <w:rFonts w:hint="eastAsia" w:ascii="仿宋_GB2312" w:hAnsi="仿宋_GB2312" w:eastAsia="仿宋_GB2312" w:cs="仿宋_GB2312"/>
          <w:b w:val="0"/>
          <w:bCs w:val="0"/>
          <w:color w:val="auto"/>
        </w:rPr>
        <w:t>积极的财政政策</w:t>
      </w:r>
      <w:r>
        <w:rPr>
          <w:rFonts w:hint="eastAsia" w:ascii="仿宋_GB2312" w:hAnsi="仿宋_GB2312" w:eastAsia="仿宋_GB2312" w:cs="仿宋_GB2312"/>
          <w:b w:val="0"/>
          <w:bCs w:val="0"/>
          <w:color w:val="auto"/>
          <w:lang w:val="en-US" w:eastAsia="zh-CN"/>
        </w:rPr>
        <w:t>作用，</w:t>
      </w:r>
      <w:r>
        <w:rPr>
          <w:rFonts w:hint="eastAsia" w:ascii="仿宋_GB2312" w:hAnsi="仿宋_GB2312" w:eastAsia="仿宋_GB2312" w:cs="仿宋_GB2312"/>
          <w:b w:val="0"/>
          <w:bCs w:val="0"/>
          <w:color w:val="auto"/>
        </w:rPr>
        <w:t>抢抓重大政策机遇，积极</w:t>
      </w:r>
      <w:r>
        <w:rPr>
          <w:rFonts w:hint="eastAsia" w:ascii="仿宋_GB2312" w:hAnsi="仿宋_GB2312" w:eastAsia="仿宋_GB2312" w:cs="仿宋_GB2312"/>
          <w:b w:val="0"/>
          <w:bCs w:val="0"/>
          <w:color w:val="auto"/>
          <w:lang w:val="en-US" w:eastAsia="zh-CN"/>
        </w:rPr>
        <w:t>争取</w:t>
      </w:r>
      <w:r>
        <w:rPr>
          <w:rFonts w:hint="eastAsia" w:ascii="仿宋_GB2312" w:hAnsi="仿宋_GB2312" w:eastAsia="仿宋_GB2312" w:cs="仿宋_GB2312"/>
          <w:b w:val="0"/>
          <w:bCs w:val="0"/>
          <w:color w:val="auto"/>
        </w:rPr>
        <w:t>政府专项债券</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中央预算内投资、超长期特别国债资金，加强财政资源和预算统筹，</w:t>
      </w:r>
      <w:r>
        <w:rPr>
          <w:rFonts w:hint="eastAsia" w:ascii="仿宋_GB2312" w:hAnsi="仿宋_GB2312" w:eastAsia="仿宋_GB2312" w:cs="仿宋_GB2312"/>
          <w:b w:val="0"/>
          <w:bCs w:val="0"/>
          <w:color w:val="auto"/>
        </w:rPr>
        <w:t>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规划实施提供财政支撑，推动经济社会高质量发展。全面落实财税体制改革任务，</w:t>
      </w:r>
      <w:r>
        <w:rPr>
          <w:rFonts w:hint="eastAsia" w:ascii="仿宋_GB2312" w:hAnsi="仿宋_GB2312" w:eastAsia="仿宋_GB2312" w:cs="仿宋_GB2312"/>
          <w:b w:val="0"/>
          <w:bCs w:val="0"/>
          <w:color w:val="auto"/>
          <w:lang w:val="en-US" w:eastAsia="zh-CN"/>
        </w:rPr>
        <w:t>清理规范地方性税收优惠政策，</w:t>
      </w:r>
      <w:r>
        <w:rPr>
          <w:rFonts w:hint="eastAsia" w:ascii="仿宋_GB2312" w:hAnsi="仿宋_GB2312" w:eastAsia="仿宋_GB2312" w:cs="仿宋_GB2312"/>
          <w:b w:val="0"/>
          <w:bCs w:val="0"/>
          <w:color w:val="auto"/>
        </w:rPr>
        <w:t>优化财政资源配置，</w:t>
      </w:r>
      <w:r>
        <w:rPr>
          <w:rFonts w:hint="eastAsia" w:ascii="仿宋_GB2312" w:hAnsi="仿宋_GB2312" w:eastAsia="仿宋_GB2312" w:cs="仿宋_GB2312"/>
          <w:b w:val="0"/>
          <w:bCs w:val="0"/>
          <w:color w:val="auto"/>
          <w:lang w:val="en-US" w:eastAsia="zh-CN"/>
        </w:rPr>
        <w:t>拓展地方税源，增加自主财力。</w:t>
      </w:r>
      <w:r>
        <w:rPr>
          <w:rFonts w:hint="eastAsia" w:ascii="仿宋_GB2312" w:hAnsi="仿宋_GB2312" w:eastAsia="仿宋_GB2312" w:cs="仿宋_GB2312"/>
          <w:b w:val="0"/>
          <w:bCs w:val="0"/>
          <w:color w:val="auto"/>
        </w:rPr>
        <w:t>深化零基预算改革，</w:t>
      </w:r>
      <w:r>
        <w:rPr>
          <w:rFonts w:hint="eastAsia" w:ascii="仿宋_GB2312" w:hAnsi="仿宋_GB2312" w:eastAsia="仿宋_GB2312" w:cs="仿宋_GB2312"/>
          <w:b w:val="0"/>
          <w:bCs w:val="0"/>
          <w:color w:val="auto"/>
          <w:lang w:val="en-US" w:eastAsia="zh-CN"/>
        </w:rPr>
        <w:t>打破支出固化格局，兜牢基层“三保”底线。</w:t>
      </w:r>
      <w:r>
        <w:rPr>
          <w:rFonts w:hint="eastAsia" w:ascii="仿宋_GB2312" w:hAnsi="仿宋_GB2312" w:eastAsia="仿宋_GB2312" w:cs="仿宋_GB2312"/>
          <w:b w:val="0"/>
          <w:bCs w:val="0"/>
          <w:color w:val="auto"/>
        </w:rPr>
        <w:t>深化预算绩效管理改革，加快建成全方位、全过程、全覆盖的预算绩效管理体系。</w:t>
      </w:r>
      <w:r>
        <w:rPr>
          <w:rFonts w:hint="eastAsia" w:ascii="仿宋_GB2312" w:hAnsi="仿宋_GB2312" w:eastAsia="仿宋_GB2312" w:cs="仿宋_GB2312"/>
          <w:b w:val="0"/>
          <w:bCs w:val="0"/>
          <w:color w:val="auto"/>
          <w:lang w:val="en-US" w:eastAsia="zh-CN"/>
        </w:rPr>
        <w:t>加强监管，推进财政科学管理，切实防范化解地方政府债务风险，推动财政可持续发展。大力发展科技金融、绿色金融、普惠金融、数字金融，加强上市后备企业梯度培育，畅通股权、债券、信贷等多元融资渠道，提升金融服务实体经济质效，增强投融资均衡性。</w:t>
      </w:r>
      <w:bookmarkStart w:id="720" w:name="_Toc21465"/>
      <w:bookmarkStart w:id="721" w:name="_Toc1514909849"/>
      <w:bookmarkStart w:id="722" w:name="_Toc11279"/>
      <w:bookmarkStart w:id="723" w:name="_Toc2257"/>
      <w:bookmarkStart w:id="724" w:name="_Toc26260"/>
      <w:bookmarkStart w:id="725" w:name="_Toc2186"/>
      <w:bookmarkStart w:id="726" w:name="_Toc10295"/>
      <w:bookmarkStart w:id="727" w:name="_Toc4068"/>
      <w:bookmarkStart w:id="728" w:name="_Toc24135"/>
      <w:bookmarkStart w:id="729" w:name="_Toc3746"/>
      <w:bookmarkStart w:id="730" w:name="_Toc22411"/>
      <w:bookmarkStart w:id="731" w:name="_Toc15465"/>
      <w:bookmarkStart w:id="732" w:name="_Toc215857880"/>
      <w:bookmarkStart w:id="733" w:name="_Toc3677"/>
    </w:p>
    <w:p w14:paraId="7EB00BB6">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二、深化</w:t>
      </w:r>
      <w:r>
        <w:rPr>
          <w:rFonts w:hint="eastAsia" w:ascii="仿宋_GB2312" w:hAnsi="仿宋_GB2312" w:eastAsia="仿宋_GB2312" w:cs="仿宋_GB2312"/>
          <w:b w:val="0"/>
          <w:bCs w:val="0"/>
          <w:lang w:val="en-US" w:eastAsia="zh-CN"/>
        </w:rPr>
        <w:t>国资国企</w:t>
      </w:r>
      <w:r>
        <w:rPr>
          <w:rFonts w:hint="eastAsia" w:ascii="仿宋_GB2312" w:hAnsi="仿宋_GB2312" w:eastAsia="仿宋_GB2312" w:cs="仿宋_GB2312"/>
          <w:b w:val="0"/>
          <w:bCs w:val="0"/>
        </w:rPr>
        <w:t>改革</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Start w:id="734" w:name="_Toc215857881"/>
      <w:bookmarkStart w:id="735" w:name="_Toc22343"/>
    </w:p>
    <w:p w14:paraId="0746C680">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优化国资</w:t>
      </w:r>
      <w:r>
        <w:rPr>
          <w:rFonts w:hint="eastAsia" w:ascii="仿宋_GB2312" w:hAnsi="仿宋_GB2312" w:eastAsia="仿宋_GB2312" w:cs="仿宋_GB2312"/>
          <w:b w:val="0"/>
          <w:bCs w:val="0"/>
          <w:lang w:val="en-US" w:eastAsia="zh-CN"/>
        </w:rPr>
        <w:t>布局，构建现代化产业体系。围绕“伊滨科技产业新城”发展定位，推进战略性重组、专业化整合，构建以承接存量债务为主的功能类公司、以产业发展为主的投资运营公司“2+N”国资布局。围绕增强核心功能，提升核心竞争力，通过引入优质资本和资源，推动国有资本向战略性新兴产业集中，加快建设现代化产业体系。全面开展“三资”管理改革，推进国有资产多元化盘活，持续优化资源配置，实现价值提升。</w:t>
      </w:r>
    </w:p>
    <w:p w14:paraId="6B953576">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深化国企改革，提升公司治理效能。</w:t>
      </w:r>
      <w:r>
        <w:rPr>
          <w:rFonts w:hint="eastAsia" w:ascii="仿宋_GB2312" w:hAnsi="仿宋_GB2312" w:eastAsia="仿宋_GB2312" w:cs="仿宋_GB2312"/>
          <w:b w:val="0"/>
          <w:bCs w:val="0"/>
        </w:rPr>
        <w:t>健全市场化经营机制，深化企业内部三项制度改革，支持企业建立更具灵活性和市场竞争力的中长期激励机制，激发核心人才活力。完善特色现代企业制度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动态优化党委、董事会、经理层等治理主体的权责边界，厘清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三会一层</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的决策流程，确保各治理主体依法依章程履职。积极稳妥深化混合所有制改革</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引入高匹配度、高认同感、高协同性的战略投资者，优化股权结构，转换经营机制，提高国有资本配置和运行效率。</w:t>
      </w:r>
    </w:p>
    <w:p w14:paraId="1B975204">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736" w:name="_Toc31105"/>
      <w:r>
        <w:rPr>
          <w:rFonts w:hint="eastAsia" w:ascii="仿宋_GB2312" w:hAnsi="仿宋_GB2312" w:eastAsia="仿宋_GB2312" w:cs="仿宋_GB2312"/>
          <w:b w:val="0"/>
          <w:bCs w:val="0"/>
          <w:lang w:val="en-US" w:eastAsia="zh-CN"/>
        </w:rPr>
        <w:t>加强国资监管，保障国有资产安全。打造专责专业的国资监管机构，减少行政审批和直接干预，将依法应由企业自主经营决策的事项归位于企业。优化监管方式与手段，更多运用法治化、市场化监管方式，加强事中事后监管。</w:t>
      </w:r>
      <w:bookmarkEnd w:id="736"/>
      <w:bookmarkStart w:id="737" w:name="_Toc28175"/>
      <w:bookmarkStart w:id="738" w:name="_Toc2193"/>
      <w:bookmarkStart w:id="739" w:name="_Toc28532"/>
      <w:bookmarkStart w:id="740" w:name="_Toc1202149318"/>
      <w:bookmarkStart w:id="741" w:name="_Toc14181"/>
      <w:bookmarkStart w:id="742" w:name="_Toc15224"/>
      <w:bookmarkStart w:id="743" w:name="_Toc2348"/>
      <w:bookmarkStart w:id="744" w:name="_Toc20384"/>
      <w:bookmarkStart w:id="745" w:name="_Toc30901"/>
      <w:bookmarkStart w:id="746" w:name="_Toc10190"/>
      <w:bookmarkStart w:id="747" w:name="_Toc21811"/>
      <w:bookmarkStart w:id="748" w:name="_Toc3342"/>
      <w:bookmarkStart w:id="749" w:name="_Toc27516"/>
      <w:bookmarkStart w:id="750" w:name="_Toc2874"/>
    </w:p>
    <w:p w14:paraId="6969994C">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三、</w:t>
      </w:r>
      <w:bookmarkEnd w:id="734"/>
      <w:bookmarkEnd w:id="737"/>
      <w:bookmarkEnd w:id="738"/>
      <w:bookmarkEnd w:id="739"/>
      <w:r>
        <w:rPr>
          <w:rFonts w:hint="eastAsia" w:ascii="仿宋_GB2312" w:hAnsi="仿宋_GB2312" w:eastAsia="仿宋_GB2312" w:cs="仿宋_GB2312"/>
          <w:b w:val="0"/>
          <w:bCs w:val="0"/>
          <w:lang w:val="en-US" w:eastAsia="zh-CN"/>
        </w:rPr>
        <w:t>充分激发各类经营主体活力</w:t>
      </w:r>
      <w:bookmarkEnd w:id="740"/>
      <w:bookmarkEnd w:id="741"/>
      <w:bookmarkEnd w:id="742"/>
      <w:bookmarkEnd w:id="743"/>
      <w:bookmarkEnd w:id="744"/>
      <w:bookmarkEnd w:id="745"/>
      <w:bookmarkEnd w:id="746"/>
      <w:bookmarkEnd w:id="747"/>
      <w:bookmarkEnd w:id="748"/>
      <w:bookmarkEnd w:id="749"/>
      <w:bookmarkEnd w:id="750"/>
    </w:p>
    <w:p w14:paraId="08B8AFE6">
      <w:pPr>
        <w:pageBreakBefore w:val="0"/>
        <w:widowControl w:val="0"/>
        <w:kinsoku/>
        <w:wordWrap/>
        <w:overflowPunct w:val="0"/>
        <w:topLinePunct w:val="0"/>
        <w:autoSpaceDE/>
        <w:autoSpaceDN/>
        <w:bidi w:val="0"/>
        <w:spacing w:line="600" w:lineRule="exact"/>
        <w:ind w:firstLine="640" w:firstLineChars="200"/>
        <w:jc w:val="both"/>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坚持和落实“两个毫不动摇”，促进各种所有制经济优势互补、共同发展。</w:t>
      </w:r>
      <w:r>
        <w:rPr>
          <w:rFonts w:hint="eastAsia" w:ascii="仿宋_GB2312" w:hAnsi="仿宋_GB2312" w:eastAsia="仿宋_GB2312" w:cs="仿宋_GB2312"/>
          <w:b w:val="0"/>
          <w:bCs w:val="0"/>
          <w:color w:val="auto"/>
          <w:spacing w:val="0"/>
          <w:sz w:val="32"/>
          <w:szCs w:val="32"/>
          <w:lang w:eastAsia="zh-CN"/>
        </w:rPr>
        <w:t>完善民营企业支持政策，全面落实《中华人民共和国民营经济促进法》，着力破除市场准入、行政审批、招投标等领域的隐性壁垒，依法保障民营企业平等使用生产要素、公平参与市场竞争，</w:t>
      </w:r>
      <w:r>
        <w:rPr>
          <w:rFonts w:hint="eastAsia" w:ascii="仿宋_GB2312" w:hAnsi="仿宋_GB2312" w:eastAsia="仿宋_GB2312" w:cs="仿宋_GB2312"/>
          <w:b w:val="0"/>
          <w:bCs w:val="0"/>
        </w:rPr>
        <w:t>有效保护合法权益，发展壮大民营经济。支持中小企业和个体工商户发展，推动大中小企业协同融通发展。</w:t>
      </w:r>
      <w:r>
        <w:rPr>
          <w:rFonts w:hint="eastAsia" w:ascii="仿宋_GB2312" w:hAnsi="仿宋_GB2312" w:eastAsia="仿宋_GB2312" w:cs="仿宋_GB2312"/>
          <w:b w:val="0"/>
          <w:bCs w:val="0"/>
          <w:color w:val="auto"/>
          <w:spacing w:val="0"/>
          <w:sz w:val="32"/>
          <w:szCs w:val="32"/>
          <w:lang w:eastAsia="zh-CN"/>
        </w:rPr>
        <w:t>深入实施优化营商环境提升行动，常态化推进“高效办成一件事”改革，打造“15分钟政务服务圈”，</w:t>
      </w:r>
      <w:r>
        <w:rPr>
          <w:rFonts w:hint="eastAsia" w:ascii="仿宋_GB2312" w:hAnsi="仿宋_GB2312" w:eastAsia="仿宋_GB2312" w:cs="仿宋_GB2312"/>
          <w:b w:val="0"/>
          <w:bCs w:val="0"/>
        </w:rPr>
        <w:t>着力破解民营经济发展的痛点、堵点、难点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完善制度机制，强化政策支持，破除各种障碍，加大市场经营主体培育力度，鼓励各种市场主体公平参与市场竞争。</w:t>
      </w:r>
      <w:r>
        <w:rPr>
          <w:rFonts w:hint="eastAsia" w:ascii="仿宋_GB2312" w:hAnsi="仿宋_GB2312" w:eastAsia="仿宋_GB2312" w:cs="仿宋_GB2312"/>
          <w:b w:val="0"/>
          <w:bCs w:val="0"/>
          <w:color w:val="auto"/>
          <w:spacing w:val="0"/>
          <w:sz w:val="32"/>
          <w:szCs w:val="32"/>
          <w:lang w:eastAsia="zh-CN"/>
        </w:rPr>
        <w:t>完善政企沟通交流机制，加大助企帮扶力度，强化产权和企业家权益保护。支持引导各类企业完善治理结构和管理制度，深入实施企业家素质提升工程，建设一流企业家队伍，弘扬企业家精神，营造尊重和激励企业家干事创业的社会氛围。</w:t>
      </w:r>
      <w:r>
        <w:rPr>
          <w:rFonts w:hint="eastAsia" w:ascii="仿宋_GB2312" w:hAnsi="仿宋_GB2312" w:eastAsia="仿宋_GB2312" w:cs="仿宋_GB2312"/>
          <w:b w:val="0"/>
          <w:bCs w:val="0"/>
        </w:rPr>
        <w:t>做好统筹协调、政策指导、督促落实等工作，强化协同联动，凝聚工作合力，更好服务保障民营经济健康发展、高质量发展。</w:t>
      </w:r>
    </w:p>
    <w:bookmarkEnd w:id="735"/>
    <w:p w14:paraId="0AB2CF0B">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751" w:name="_Toc30709"/>
      <w:bookmarkStart w:id="752" w:name="_Toc2196"/>
      <w:bookmarkStart w:id="753" w:name="_Toc26975"/>
      <w:bookmarkStart w:id="754" w:name="_Toc17735"/>
      <w:bookmarkStart w:id="755" w:name="_Toc336149050"/>
      <w:bookmarkStart w:id="756" w:name="_Toc26006"/>
      <w:bookmarkStart w:id="757" w:name="_Toc25658"/>
      <w:bookmarkStart w:id="758" w:name="_Toc31584"/>
      <w:bookmarkStart w:id="759" w:name="_Toc5609"/>
      <w:bookmarkStart w:id="760" w:name="_Toc21693"/>
      <w:bookmarkStart w:id="761" w:name="_Toc14914"/>
      <w:bookmarkStart w:id="762" w:name="_Toc13506"/>
      <w:bookmarkStart w:id="763" w:name="_Toc3364"/>
      <w:bookmarkStart w:id="764" w:name="_Toc215857882"/>
      <w:bookmarkStart w:id="765" w:name="_Toc32432"/>
      <w:r>
        <w:rPr>
          <w:rFonts w:hint="eastAsia" w:ascii="仿宋_GB2312" w:hAnsi="仿宋_GB2312" w:eastAsia="仿宋_GB2312" w:cs="仿宋_GB2312"/>
          <w:b w:val="0"/>
          <w:bCs w:val="0"/>
        </w:rPr>
        <w:t>四、深化社会民生领域改革</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14:paraId="3DDC3A2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在发展中保障和改善民生，尽力而为、量力而行办好民生实事，加强普惠性、基础性、兜底性民生建设，解决好人民群众急难愁盼问题，让人民群众共享现代化成果。强化食品药品安全监管能力建设，确保广大群众舌尖上的安全。深化教育领域改革，持续扩充优质教育资源，大力提升教育服务能力。深化医药卫生体制改革，完善应对突发重大公共卫生事件的体制机制，推动建立具有伊滨特色的分级诊疗体系，推进药品供应保障制度改革，深化医疗卫生执法体制改革。完善社会保障制度，加快建设医养康养相结合的养老服务体系，多渠道增加养老服务供给。</w:t>
      </w:r>
      <w:bookmarkStart w:id="766" w:name="_Toc934489322"/>
      <w:bookmarkStart w:id="767" w:name="_Toc18271"/>
      <w:bookmarkStart w:id="768" w:name="_Toc30722"/>
      <w:bookmarkStart w:id="769" w:name="_Toc29516"/>
      <w:bookmarkStart w:id="770" w:name="_Toc26744"/>
      <w:bookmarkStart w:id="771" w:name="_Toc24057"/>
      <w:bookmarkStart w:id="772" w:name="_Toc17739"/>
      <w:bookmarkStart w:id="773" w:name="_Toc9611"/>
    </w:p>
    <w:p w14:paraId="333C8359">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11529744">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第二节  深化区域协同发展</w:t>
      </w:r>
      <w:bookmarkEnd w:id="766"/>
      <w:bookmarkEnd w:id="767"/>
      <w:bookmarkEnd w:id="768"/>
      <w:bookmarkEnd w:id="769"/>
      <w:bookmarkEnd w:id="770"/>
      <w:bookmarkEnd w:id="771"/>
      <w:bookmarkEnd w:id="772"/>
      <w:bookmarkEnd w:id="773"/>
    </w:p>
    <w:p w14:paraId="2C24326A">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p>
    <w:p w14:paraId="2FB36646">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坚持对内对外开放并重，稳步扩大制度型开放，在更大范围拓展发展空间、集聚发展要素。</w:t>
      </w:r>
    </w:p>
    <w:p w14:paraId="563A2683">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774" w:name="_Toc16602"/>
      <w:bookmarkStart w:id="775" w:name="_Toc19826"/>
      <w:bookmarkStart w:id="776" w:name="_Toc29427"/>
      <w:bookmarkStart w:id="777" w:name="_Toc22355"/>
      <w:bookmarkStart w:id="778" w:name="_Toc6169"/>
      <w:bookmarkStart w:id="779" w:name="_Toc4481"/>
      <w:bookmarkStart w:id="780" w:name="_Toc1485201645"/>
      <w:bookmarkStart w:id="781" w:name="_Toc20231"/>
      <w:bookmarkStart w:id="782" w:name="_Toc5020"/>
      <w:r>
        <w:rPr>
          <w:rFonts w:hint="eastAsia" w:ascii="仿宋_GB2312" w:hAnsi="仿宋_GB2312" w:eastAsia="仿宋_GB2312" w:cs="仿宋_GB2312"/>
          <w:b w:val="0"/>
          <w:bCs w:val="0"/>
        </w:rPr>
        <w:t>一、发挥对都市核心区发展的协同作用</w:t>
      </w:r>
      <w:bookmarkEnd w:id="774"/>
      <w:bookmarkEnd w:id="775"/>
      <w:bookmarkEnd w:id="776"/>
      <w:bookmarkEnd w:id="777"/>
      <w:bookmarkEnd w:id="778"/>
      <w:bookmarkEnd w:id="779"/>
      <w:bookmarkEnd w:id="780"/>
      <w:bookmarkEnd w:id="781"/>
      <w:bookmarkEnd w:id="782"/>
    </w:p>
    <w:p w14:paraId="4FA6061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充分利用伊滨区空间优势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构建“科创共同体”，实现创新链与产业链的精准耦合。推动河南科技大学等高校院所与以龙门实验室为龙头的产业创新平台深度融合。引导科研成果优先在伊滨区的科技产业社区进行中试、孵化和产业化。建立常态化的科技创新和产业供需对接机制，引导生产性服务业精准赋能制造业转型升级。共塑“城市新品质”，实现公共服务与基础设施的一体化布局。更高标准推动都市核心区的优质教育、医疗、文化等资源向伊滨区延伸布局，通过设立分校、共建医联体等方式，实现公共服务供给的均等化与高品质化。超前规划建设能够代表洛阳现代化水平的重大公共设施，使伊滨区成为展示洛阳新形象的“城市客厅”，共同提升洛阳的城市综合承载力与吸引力。</w:t>
      </w:r>
      <w:bookmarkStart w:id="783" w:name="_Toc468836956"/>
      <w:bookmarkStart w:id="784" w:name="_Toc31022"/>
      <w:bookmarkStart w:id="785" w:name="_Toc32489"/>
      <w:bookmarkStart w:id="786" w:name="_Toc25332"/>
      <w:bookmarkStart w:id="787" w:name="_Toc6456"/>
      <w:bookmarkStart w:id="788" w:name="_Toc21513"/>
      <w:bookmarkStart w:id="789" w:name="_Toc25066"/>
      <w:bookmarkStart w:id="790" w:name="_Toc30242"/>
      <w:bookmarkStart w:id="791" w:name="_Toc3245"/>
    </w:p>
    <w:p w14:paraId="628A81DC">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二、发挥对环都市区发展的协作作用</w:t>
      </w:r>
      <w:bookmarkEnd w:id="783"/>
      <w:bookmarkEnd w:id="784"/>
      <w:bookmarkEnd w:id="785"/>
      <w:bookmarkEnd w:id="786"/>
      <w:bookmarkEnd w:id="787"/>
      <w:bookmarkEnd w:id="788"/>
      <w:bookmarkEnd w:id="789"/>
      <w:bookmarkEnd w:id="790"/>
      <w:bookmarkEnd w:id="791"/>
    </w:p>
    <w:p w14:paraId="75868EE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推行“链式协作”模式，打造分工明确的跨区域产业链集群。围绕新能源电池产业，编制发布产业链图谱和供应商机会清单，</w:t>
      </w:r>
      <w:r>
        <w:rPr>
          <w:rFonts w:hint="eastAsia" w:ascii="仿宋_GB2312" w:hAnsi="仿宋_GB2312" w:eastAsia="仿宋_GB2312" w:cs="仿宋_GB2312"/>
          <w:b w:val="0"/>
          <w:bCs w:val="0"/>
          <w:highlight w:val="none"/>
        </w:rPr>
        <w:t>引导环</w:t>
      </w:r>
      <w:r>
        <w:rPr>
          <w:rFonts w:hint="eastAsia" w:ascii="仿宋_GB2312" w:hAnsi="仿宋_GB2312" w:eastAsia="仿宋_GB2312" w:cs="仿宋_GB2312"/>
          <w:b w:val="0"/>
          <w:bCs w:val="0"/>
          <w:highlight w:val="none"/>
          <w:lang w:val="en-US" w:eastAsia="zh-CN"/>
        </w:rPr>
        <w:t>洛阳周边地区</w:t>
      </w:r>
      <w:r>
        <w:rPr>
          <w:rFonts w:hint="eastAsia" w:ascii="仿宋_GB2312" w:hAnsi="仿宋_GB2312" w:eastAsia="仿宋_GB2312" w:cs="仿宋_GB2312"/>
          <w:b w:val="0"/>
          <w:bCs w:val="0"/>
          <w:highlight w:val="none"/>
        </w:rPr>
        <w:t>精准定位，发展特色配套产业。</w:t>
      </w:r>
      <w:r>
        <w:rPr>
          <w:rFonts w:hint="eastAsia" w:ascii="仿宋_GB2312" w:hAnsi="仿宋_GB2312" w:eastAsia="仿宋_GB2312" w:cs="仿宋_GB2312"/>
          <w:b w:val="0"/>
          <w:bCs w:val="0"/>
          <w:highlight w:val="none"/>
          <w:lang w:val="en-US" w:eastAsia="zh-CN"/>
        </w:rPr>
        <w:t>吸引</w:t>
      </w:r>
      <w:r>
        <w:rPr>
          <w:rFonts w:hint="eastAsia" w:ascii="仿宋_GB2312" w:hAnsi="仿宋_GB2312" w:eastAsia="仿宋_GB2312" w:cs="仿宋_GB2312"/>
          <w:b w:val="0"/>
          <w:bCs w:val="0"/>
          <w:highlight w:val="none"/>
        </w:rPr>
        <w:t>偃师、孟津发展精密模具、结构件等上游配套，伊川利用矿产资源优势，发展电池正负极材料等原材料产业。探</w:t>
      </w:r>
      <w:r>
        <w:rPr>
          <w:rFonts w:hint="eastAsia" w:ascii="仿宋_GB2312" w:hAnsi="仿宋_GB2312" w:eastAsia="仿宋_GB2312" w:cs="仿宋_GB2312"/>
          <w:b w:val="0"/>
          <w:bCs w:val="0"/>
        </w:rPr>
        <w:t>索共同设立产业协作发展基金，共同投资建设标准化厂房，引导伊滨</w:t>
      </w:r>
      <w:r>
        <w:rPr>
          <w:rFonts w:hint="eastAsia" w:ascii="仿宋_GB2312" w:hAnsi="仿宋_GB2312" w:eastAsia="仿宋_GB2312" w:cs="仿宋_GB2312"/>
          <w:b w:val="0"/>
          <w:bCs w:val="0"/>
          <w:lang w:val="en-US" w:eastAsia="zh-CN"/>
        </w:rPr>
        <w:t>主导</w:t>
      </w:r>
      <w:r>
        <w:rPr>
          <w:rFonts w:hint="eastAsia" w:ascii="仿宋_GB2312" w:hAnsi="仿宋_GB2312" w:eastAsia="仿宋_GB2312" w:cs="仿宋_GB2312"/>
          <w:b w:val="0"/>
          <w:bCs w:val="0"/>
        </w:rPr>
        <w:t>产业链配套环节优先在周边布局，形成“龙头在伊滨、配套在周边”的产业生态。</w:t>
      </w:r>
    </w:p>
    <w:p w14:paraId="609DE778">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792" w:name="_Toc1829144518"/>
      <w:bookmarkStart w:id="793" w:name="_Toc29696"/>
      <w:bookmarkStart w:id="794" w:name="_Toc9675"/>
      <w:bookmarkStart w:id="795" w:name="_Toc25738"/>
      <w:bookmarkStart w:id="796" w:name="_Toc25299"/>
      <w:bookmarkStart w:id="797" w:name="_Toc20065"/>
      <w:bookmarkStart w:id="798" w:name="_Toc22440"/>
      <w:bookmarkStart w:id="799" w:name="_Toc12567"/>
      <w:bookmarkStart w:id="800" w:name="_Toc28901"/>
      <w:r>
        <w:rPr>
          <w:rFonts w:hint="eastAsia" w:ascii="仿宋_GB2312" w:hAnsi="仿宋_GB2312" w:eastAsia="仿宋_GB2312" w:cs="仿宋_GB2312"/>
          <w:b w:val="0"/>
          <w:bCs w:val="0"/>
        </w:rPr>
        <w:t>三、发挥对郑洛协同发展的联动作用</w:t>
      </w:r>
      <w:bookmarkEnd w:id="792"/>
      <w:bookmarkEnd w:id="793"/>
      <w:bookmarkEnd w:id="794"/>
      <w:bookmarkEnd w:id="795"/>
      <w:bookmarkEnd w:id="796"/>
      <w:bookmarkEnd w:id="797"/>
      <w:bookmarkEnd w:id="798"/>
      <w:bookmarkEnd w:id="799"/>
      <w:bookmarkEnd w:id="800"/>
    </w:p>
    <w:p w14:paraId="5A9B662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打造郑洛创新策源与转化的核心承载区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积极推动伊滨科技城融入全省“两城一谷”创新大局</w:t>
      </w:r>
      <w:r>
        <w:rPr>
          <w:rFonts w:hint="eastAsia" w:ascii="仿宋_GB2312" w:hAnsi="仿宋_GB2312" w:eastAsia="仿宋_GB2312" w:cs="仿宋_GB2312"/>
          <w:b w:val="0"/>
          <w:bCs w:val="0"/>
        </w:rPr>
        <w:t>。主动对接</w:t>
      </w:r>
      <w:r>
        <w:rPr>
          <w:rFonts w:hint="eastAsia" w:ascii="仿宋_GB2312" w:hAnsi="仿宋_GB2312" w:eastAsia="仿宋_GB2312" w:cs="仿宋_GB2312"/>
          <w:b w:val="0"/>
          <w:bCs w:val="0"/>
          <w:lang w:val="en-US" w:eastAsia="zh-CN"/>
        </w:rPr>
        <w:t>省市</w:t>
      </w:r>
      <w:r>
        <w:rPr>
          <w:rFonts w:hint="eastAsia" w:ascii="仿宋_GB2312" w:hAnsi="仿宋_GB2312" w:eastAsia="仿宋_GB2312" w:cs="仿宋_GB2312"/>
          <w:b w:val="0"/>
          <w:bCs w:val="0"/>
        </w:rPr>
        <w:t>创新高地，积极争取省级层面支持，将伊滨科技城打造成郑洛科创走廊的核心节点，共同谋划布局大科学装置、产业研究院等高能级创新平台。深化双城产业互动，构建优势互补、错位发展的现代产业体系。精准研判郑洛两市的产业优势，推动新能源、新一代信息技术等深度嵌入郑州都市圈现代产业体系。联合郑州航空港</w:t>
      </w:r>
      <w:r>
        <w:rPr>
          <w:rFonts w:hint="eastAsia" w:ascii="仿宋_GB2312" w:hAnsi="仿宋_GB2312" w:eastAsia="仿宋_GB2312" w:cs="仿宋_GB2312"/>
          <w:b w:val="0"/>
          <w:bCs w:val="0"/>
          <w:lang w:val="en-US" w:eastAsia="zh-CN"/>
        </w:rPr>
        <w:t>经济</w:t>
      </w:r>
      <w:r>
        <w:rPr>
          <w:rFonts w:hint="eastAsia" w:ascii="仿宋_GB2312" w:hAnsi="仿宋_GB2312" w:eastAsia="仿宋_GB2312" w:cs="仿宋_GB2312"/>
          <w:b w:val="0"/>
          <w:bCs w:val="0"/>
        </w:rPr>
        <w:t>综合实验区，共同发展电子信息核心元器件产业。通过联合招商、共办产业峰会等形式，共同培育具有</w:t>
      </w:r>
      <w:r>
        <w:rPr>
          <w:rFonts w:hint="eastAsia" w:ascii="仿宋_GB2312" w:hAnsi="仿宋_GB2312" w:eastAsia="仿宋_GB2312" w:cs="仿宋_GB2312"/>
          <w:b w:val="0"/>
          <w:bCs w:val="0"/>
          <w:lang w:val="en-US" w:eastAsia="zh-CN"/>
        </w:rPr>
        <w:t>区域</w:t>
      </w:r>
      <w:r>
        <w:rPr>
          <w:rFonts w:hint="eastAsia" w:ascii="仿宋_GB2312" w:hAnsi="仿宋_GB2312" w:eastAsia="仿宋_GB2312" w:cs="仿宋_GB2312"/>
          <w:b w:val="0"/>
          <w:bCs w:val="0"/>
        </w:rPr>
        <w:t>竞争力的产业集群，实现区域协同的跃升。</w:t>
      </w:r>
    </w:p>
    <w:p w14:paraId="03347996">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801" w:name="_Toc11678"/>
      <w:bookmarkStart w:id="802" w:name="_Toc10210"/>
      <w:bookmarkStart w:id="803" w:name="_Toc24636"/>
      <w:bookmarkStart w:id="804" w:name="_Toc9155"/>
      <w:bookmarkStart w:id="805" w:name="_Toc215857883"/>
      <w:bookmarkStart w:id="806" w:name="_Toc1757"/>
      <w:bookmarkStart w:id="807" w:name="_Toc29540"/>
      <w:bookmarkStart w:id="808" w:name="_Toc1237922053"/>
      <w:bookmarkStart w:id="809" w:name="_Toc14249"/>
      <w:bookmarkStart w:id="810" w:name="_Toc203"/>
      <w:bookmarkStart w:id="811" w:name="_Toc32446"/>
      <w:bookmarkStart w:id="812" w:name="_Toc13278"/>
      <w:bookmarkStart w:id="813" w:name="_Toc7527"/>
      <w:bookmarkStart w:id="814" w:name="_Toc24473"/>
      <w:bookmarkStart w:id="815" w:name="_Toc24597"/>
    </w:p>
    <w:p w14:paraId="6CF63647">
      <w:pPr>
        <w:pStyle w:val="7"/>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第三节  推动开放型经济</w:t>
      </w:r>
      <w:bookmarkEnd w:id="801"/>
      <w:bookmarkEnd w:id="802"/>
      <w:bookmarkEnd w:id="803"/>
      <w:bookmarkEnd w:id="804"/>
      <w:bookmarkEnd w:id="805"/>
      <w:bookmarkEnd w:id="806"/>
      <w:bookmarkEnd w:id="807"/>
      <w:r>
        <w:rPr>
          <w:rFonts w:hint="eastAsia" w:ascii="黑体" w:hAnsi="黑体" w:eastAsia="黑体" w:cs="黑体"/>
          <w:b w:val="0"/>
          <w:bCs w:val="0"/>
          <w:lang w:val="en-US" w:eastAsia="zh-CN"/>
        </w:rPr>
        <w:t>高质量发展</w:t>
      </w:r>
      <w:bookmarkEnd w:id="808"/>
      <w:bookmarkEnd w:id="809"/>
      <w:bookmarkEnd w:id="810"/>
      <w:bookmarkEnd w:id="811"/>
      <w:bookmarkEnd w:id="812"/>
      <w:bookmarkEnd w:id="813"/>
      <w:bookmarkEnd w:id="814"/>
      <w:bookmarkEnd w:id="815"/>
    </w:p>
    <w:p w14:paraId="3A930E33">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3C8D3F7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统筹规划和建设各类实体化开放载体，强化其服务功能和辐射带动能力，构建功能互补、协同发展的多层次开放平台体系，为开放型经济发展提供强有力的物理空间和功能支撑。</w:t>
      </w:r>
    </w:p>
    <w:p w14:paraId="11C7E9C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816" w:name="_Toc326648411"/>
      <w:bookmarkStart w:id="817" w:name="_Toc26002"/>
      <w:bookmarkStart w:id="818" w:name="_Toc17992"/>
      <w:bookmarkStart w:id="819" w:name="_Toc10187"/>
      <w:bookmarkStart w:id="820" w:name="_Toc11527"/>
      <w:bookmarkStart w:id="821" w:name="_Toc11443"/>
      <w:bookmarkStart w:id="822" w:name="_Toc15466"/>
      <w:bookmarkStart w:id="823" w:name="_Toc28180"/>
      <w:bookmarkStart w:id="824" w:name="_Toc22229"/>
      <w:bookmarkStart w:id="825" w:name="_Toc5737"/>
      <w:bookmarkStart w:id="826" w:name="_Toc215857884"/>
      <w:bookmarkStart w:id="827" w:name="_Toc885"/>
      <w:bookmarkStart w:id="828" w:name="_Toc24081"/>
      <w:bookmarkStart w:id="829" w:name="_Toc30857"/>
      <w:bookmarkStart w:id="830" w:name="_Toc28933"/>
      <w:r>
        <w:rPr>
          <w:rFonts w:hint="eastAsia" w:ascii="仿宋_GB2312" w:hAnsi="仿宋_GB2312" w:eastAsia="仿宋_GB2312" w:cs="仿宋_GB2312"/>
          <w:b w:val="0"/>
          <w:bCs w:val="0"/>
        </w:rPr>
        <w:t>一、提升利用外资质量和水平</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1614FE11">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坚持引资和引技、引智相结合，优化外商投资导向。聚焦新能源电池、高端装备制造、新一代信息技术等</w:t>
      </w:r>
      <w:r>
        <w:rPr>
          <w:rFonts w:hint="eastAsia" w:ascii="仿宋_GB2312" w:hAnsi="仿宋_GB2312" w:eastAsia="仿宋_GB2312" w:cs="仿宋_GB2312"/>
          <w:b w:val="0"/>
          <w:bCs w:val="0"/>
          <w:lang w:val="en-US" w:eastAsia="zh-CN"/>
        </w:rPr>
        <w:t>优势</w:t>
      </w:r>
      <w:r>
        <w:rPr>
          <w:rFonts w:hint="eastAsia" w:ascii="仿宋_GB2312" w:hAnsi="仿宋_GB2312" w:eastAsia="仿宋_GB2312" w:cs="仿宋_GB2312"/>
          <w:b w:val="0"/>
          <w:bCs w:val="0"/>
        </w:rPr>
        <w:t>产业，瞄准世界500强、行业领军企业，精准引进质量高、效益好、带动性强的外资项目。建立健全外商投资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一站式</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服务体系，完善重点外资项目服务专员制度，提供从项目洽谈、签约落地到运营投产的全周期服务。完善外资企业投诉和权益保护机制，保障外商投资企业依法依规平等享受各项支持政策，营造市场化、法治化、国际化的一流营商环境。</w:t>
      </w:r>
    </w:p>
    <w:p w14:paraId="37CF8094">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831" w:name="_Toc130780681"/>
      <w:bookmarkStart w:id="832" w:name="_Toc9579"/>
      <w:bookmarkStart w:id="833" w:name="_Toc11791"/>
      <w:bookmarkStart w:id="834" w:name="_Toc13819"/>
      <w:bookmarkStart w:id="835" w:name="_Toc27324"/>
      <w:bookmarkStart w:id="836" w:name="_Toc15868"/>
      <w:bookmarkStart w:id="837" w:name="_Toc13769"/>
      <w:bookmarkStart w:id="838" w:name="_Toc22087"/>
      <w:bookmarkStart w:id="839" w:name="_Toc3819"/>
      <w:bookmarkStart w:id="840" w:name="_Toc30133"/>
      <w:bookmarkStart w:id="841" w:name="_Toc19573"/>
      <w:bookmarkStart w:id="842" w:name="_Toc22497"/>
      <w:bookmarkStart w:id="843" w:name="_Toc23566"/>
      <w:bookmarkStart w:id="844" w:name="_Toc215857885"/>
      <w:bookmarkStart w:id="845" w:name="_Toc21100"/>
      <w:r>
        <w:rPr>
          <w:rFonts w:hint="eastAsia" w:ascii="仿宋_GB2312" w:hAnsi="仿宋_GB2312" w:eastAsia="仿宋_GB2312" w:cs="仿宋_GB2312"/>
          <w:b w:val="0"/>
          <w:bCs w:val="0"/>
        </w:rPr>
        <w:t>二、增强本</w:t>
      </w:r>
      <w:r>
        <w:rPr>
          <w:rFonts w:hint="eastAsia" w:ascii="仿宋_GB2312" w:hAnsi="仿宋_GB2312" w:eastAsia="仿宋_GB2312" w:cs="仿宋_GB2312"/>
          <w:b w:val="0"/>
          <w:bCs w:val="0"/>
          <w:lang w:val="en-US" w:eastAsia="zh-CN"/>
        </w:rPr>
        <w:t>地</w:t>
      </w:r>
      <w:r>
        <w:rPr>
          <w:rFonts w:hint="eastAsia" w:ascii="仿宋_GB2312" w:hAnsi="仿宋_GB2312" w:eastAsia="仿宋_GB2312" w:cs="仿宋_GB2312"/>
          <w:b w:val="0"/>
          <w:bCs w:val="0"/>
        </w:rPr>
        <w:t>企业出口竞争力</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14:paraId="2E847E8A">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积极对标国际高标准经贸规则，积极联动中国（河南）自由贸易试验区洛阳片区提升战略，鼓励和支持区内有实力的企业深度参与</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一带一路</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建设，引导企业</w:t>
      </w:r>
      <w:r>
        <w:rPr>
          <w:rFonts w:hint="eastAsia" w:ascii="仿宋_GB2312" w:hAnsi="仿宋_GB2312" w:eastAsia="仿宋_GB2312" w:cs="仿宋_GB2312"/>
          <w:b w:val="0"/>
          <w:bCs w:val="0"/>
          <w:color w:val="auto"/>
          <w:lang w:eastAsia="zh-CN"/>
        </w:rPr>
        <w:t>按照</w:t>
      </w:r>
      <w:r>
        <w:rPr>
          <w:rFonts w:hint="eastAsia" w:ascii="仿宋_GB2312" w:hAnsi="仿宋_GB2312" w:eastAsia="仿宋_GB2312" w:cs="仿宋_GB2312"/>
          <w:b w:val="0"/>
          <w:bCs w:val="0"/>
          <w:color w:val="auto"/>
        </w:rPr>
        <w:t>国际标准化组织生产和管理，推动产品和服务获得国际认证。支持</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专精特新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中小企业融入全球产业链，培育具有影响力的出口品牌。</w:t>
      </w:r>
      <w:bookmarkStart w:id="846" w:name="_Toc16420"/>
      <w:r>
        <w:rPr>
          <w:rFonts w:hint="eastAsia" w:ascii="仿宋_GB2312" w:hAnsi="仿宋_GB2312" w:eastAsia="仿宋_GB2312" w:cs="仿宋_GB2312"/>
          <w:b w:val="0"/>
          <w:bCs w:val="0"/>
          <w:color w:val="auto"/>
        </w:rPr>
        <w:t>培育外贸新业态新模式，大力发展数字贸易、服务贸易等，支持企业建设运营海外仓，利用跨境电商平台扩大出口，培育5家具有区域影响力的跨境电商龙头企业。</w:t>
      </w:r>
    </w:p>
    <w:p w14:paraId="59B2DC4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847" w:name="_Toc20169"/>
      <w:bookmarkStart w:id="848" w:name="_Toc9677"/>
      <w:bookmarkStart w:id="849" w:name="_Toc1068963911"/>
      <w:bookmarkStart w:id="850" w:name="_Toc10554"/>
      <w:bookmarkStart w:id="851" w:name="_Toc27328"/>
      <w:bookmarkStart w:id="852" w:name="_Toc29487"/>
      <w:bookmarkStart w:id="853" w:name="_Toc11672"/>
      <w:r>
        <w:rPr>
          <w:rFonts w:hint="eastAsia" w:ascii="仿宋_GB2312" w:hAnsi="仿宋_GB2312" w:eastAsia="仿宋_GB2312" w:cs="仿宋_GB2312"/>
          <w:b w:val="0"/>
          <w:bCs w:val="0"/>
        </w:rPr>
        <w:t>三、推动外贸提质增效</w:t>
      </w:r>
      <w:bookmarkEnd w:id="847"/>
      <w:bookmarkEnd w:id="848"/>
      <w:bookmarkEnd w:id="849"/>
      <w:bookmarkEnd w:id="850"/>
      <w:bookmarkEnd w:id="851"/>
      <w:bookmarkEnd w:id="852"/>
      <w:bookmarkEnd w:id="853"/>
    </w:p>
    <w:p w14:paraId="57B48618">
      <w:pPr>
        <w:pageBreakBefore w:val="0"/>
        <w:widowControl w:val="0"/>
        <w:kinsoku/>
        <w:wordWrap/>
        <w:topLinePunct w:val="0"/>
        <w:bidi w:val="0"/>
        <w:spacing w:line="600" w:lineRule="exact"/>
        <w:rPr>
          <w:rFonts w:hint="eastAsia" w:ascii="仿宋_GB2312" w:hAnsi="仿宋_GB2312" w:eastAsia="仿宋_GB2312" w:cs="仿宋_GB2312"/>
          <w:b w:val="0"/>
          <w:bCs w:val="0"/>
          <w:color w:val="FF0000"/>
        </w:rPr>
      </w:pPr>
      <w:r>
        <w:rPr>
          <w:rFonts w:hint="eastAsia" w:ascii="仿宋_GB2312" w:hAnsi="仿宋_GB2312" w:eastAsia="仿宋_GB2312" w:cs="仿宋_GB2312"/>
          <w:b w:val="0"/>
          <w:bCs w:val="0"/>
        </w:rPr>
        <w:t>实施外贸优进优出战略，着力优化出口商品结构，扩大新能源电池、高端装备、电子元器件、新材料等高技术、高附加值产品的出口比重，力争</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末高新技术产品出口额占外贸出口总额比重提升至40%以上。深度开拓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一带一路</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沿线、东盟、RCEP成员国等新兴市场，推动市场多元化布局。</w:t>
      </w:r>
    </w:p>
    <w:p w14:paraId="6484C6F1">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854" w:name="_Toc21396"/>
      <w:bookmarkStart w:id="855" w:name="_Toc25644"/>
      <w:bookmarkStart w:id="856" w:name="_Toc8259"/>
      <w:bookmarkStart w:id="857" w:name="_Toc26803"/>
      <w:bookmarkStart w:id="858" w:name="_Toc23666"/>
      <w:bookmarkStart w:id="859" w:name="_Toc26379"/>
      <w:bookmarkStart w:id="860" w:name="_Toc215857895"/>
      <w:bookmarkStart w:id="861" w:name="_Toc15263"/>
      <w:bookmarkStart w:id="862" w:name="_Toc25382"/>
      <w:bookmarkStart w:id="863" w:name="_Toc1592507845"/>
      <w:bookmarkStart w:id="864" w:name="_Toc9867"/>
      <w:bookmarkStart w:id="865" w:name="_Toc15045"/>
      <w:bookmarkStart w:id="866" w:name="_Toc4686"/>
      <w:bookmarkStart w:id="867" w:name="_Toc11586"/>
      <w:bookmarkStart w:id="868" w:name="_Toc5833"/>
      <w:r>
        <w:rPr>
          <w:rFonts w:hint="eastAsia" w:ascii="仿宋_GB2312" w:hAnsi="仿宋_GB2312" w:eastAsia="仿宋_GB2312" w:cs="仿宋_GB2312"/>
          <w:b w:val="0"/>
          <w:bCs w:val="0"/>
          <w:lang w:val="en-US" w:eastAsia="zh-CN"/>
        </w:rPr>
        <w:t>四</w:t>
      </w:r>
      <w:r>
        <w:rPr>
          <w:rFonts w:hint="eastAsia" w:ascii="仿宋_GB2312" w:hAnsi="仿宋_GB2312" w:eastAsia="仿宋_GB2312" w:cs="仿宋_GB2312"/>
          <w:b w:val="0"/>
          <w:bCs w:val="0"/>
        </w:rPr>
        <w:t>、</w:t>
      </w:r>
      <w:bookmarkEnd w:id="854"/>
      <w:bookmarkEnd w:id="855"/>
      <w:bookmarkEnd w:id="856"/>
      <w:bookmarkEnd w:id="857"/>
      <w:bookmarkEnd w:id="858"/>
      <w:bookmarkEnd w:id="859"/>
      <w:bookmarkEnd w:id="860"/>
      <w:r>
        <w:rPr>
          <w:rFonts w:hint="eastAsia" w:ascii="仿宋_GB2312" w:hAnsi="仿宋_GB2312" w:eastAsia="仿宋_GB2312" w:cs="仿宋_GB2312"/>
          <w:b w:val="0"/>
          <w:bCs w:val="0"/>
          <w:lang w:val="en-US" w:eastAsia="zh-CN"/>
        </w:rPr>
        <w:t>强化</w:t>
      </w:r>
      <w:r>
        <w:rPr>
          <w:rFonts w:hint="eastAsia" w:ascii="仿宋_GB2312" w:hAnsi="仿宋_GB2312" w:eastAsia="仿宋_GB2312" w:cs="仿宋_GB2312"/>
          <w:b w:val="0"/>
          <w:bCs w:val="0"/>
        </w:rPr>
        <w:t>产业链精准招商</w:t>
      </w:r>
      <w:bookmarkEnd w:id="861"/>
      <w:bookmarkEnd w:id="862"/>
      <w:bookmarkEnd w:id="863"/>
      <w:bookmarkEnd w:id="864"/>
      <w:bookmarkEnd w:id="865"/>
      <w:bookmarkEnd w:id="866"/>
      <w:bookmarkEnd w:id="867"/>
      <w:bookmarkEnd w:id="868"/>
    </w:p>
    <w:p w14:paraId="22A3C2A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围绕伊滨钢制家具和新能源</w:t>
      </w:r>
      <w:r>
        <w:rPr>
          <w:rFonts w:hint="eastAsia" w:ascii="仿宋_GB2312" w:hAnsi="仿宋_GB2312" w:eastAsia="仿宋_GB2312" w:cs="仿宋_GB2312"/>
          <w:b w:val="0"/>
          <w:bCs w:val="0"/>
          <w:lang w:val="en-US" w:eastAsia="zh-CN"/>
        </w:rPr>
        <w:t>产业</w:t>
      </w:r>
      <w:r>
        <w:rPr>
          <w:rFonts w:hint="eastAsia" w:ascii="仿宋_GB2312" w:hAnsi="仿宋_GB2312" w:eastAsia="仿宋_GB2312" w:cs="仿宋_GB2312"/>
          <w:b w:val="0"/>
          <w:bCs w:val="0"/>
        </w:rPr>
        <w:t>集群，以产业链整合提升、促进产业集聚为重点，围绕主导产业集群进行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强链招商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，针对缺失环节进行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补链招商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，通过招大引强，主动承接沿海产业转移，加快引进基地型、龙头型企业，形成纵向链接、侧向配套的特色主导产业</w:t>
      </w:r>
      <w:r>
        <w:rPr>
          <w:rFonts w:hint="eastAsia" w:ascii="仿宋_GB2312" w:hAnsi="仿宋_GB2312" w:eastAsia="仿宋_GB2312" w:cs="仿宋_GB2312"/>
          <w:b w:val="0"/>
          <w:bCs w:val="0"/>
          <w:lang w:eastAsia="zh-CN"/>
        </w:rPr>
        <w:t>，打造</w:t>
      </w:r>
      <w:r>
        <w:rPr>
          <w:rFonts w:hint="eastAsia" w:ascii="仿宋_GB2312" w:hAnsi="仿宋_GB2312" w:eastAsia="仿宋_GB2312" w:cs="仿宋_GB2312"/>
          <w:b w:val="0"/>
          <w:bCs w:val="0"/>
        </w:rPr>
        <w:t>技术含量高、创新驱动强、具有竞争优势的产业集群，培育现代产业新体系。</w:t>
      </w:r>
      <w:r>
        <w:rPr>
          <w:rFonts w:hint="eastAsia" w:ascii="仿宋_GB2312" w:hAnsi="仿宋_GB2312" w:eastAsia="仿宋_GB2312" w:cs="仿宋_GB2312"/>
          <w:b w:val="0"/>
          <w:bCs w:val="0"/>
          <w:color w:val="auto"/>
        </w:rPr>
        <w:t>创新招商引资方式</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坚持政府引导与企业主导相结合，构建市场化、专业化、社会化的招商体系，探索名牌企业带动招商和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飞地招商</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模式，瞄准行业排名靠前、优秀的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头部企业</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、产业链核心企业，积极引进来、扶持好，带动整个产业链形成。加强与大型风投、创投公司和招商平台的深度合作</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谋划一系列有影响</w:t>
      </w:r>
      <w:r>
        <w:rPr>
          <w:rFonts w:hint="eastAsia" w:ascii="仿宋_GB2312" w:hAnsi="仿宋_GB2312" w:eastAsia="仿宋_GB2312" w:cs="仿宋_GB2312"/>
          <w:b w:val="0"/>
          <w:bCs w:val="0"/>
          <w:color w:val="auto"/>
          <w:lang w:val="en-US" w:eastAsia="zh-CN"/>
        </w:rPr>
        <w:t>力</w:t>
      </w:r>
      <w:r>
        <w:rPr>
          <w:rFonts w:hint="eastAsia" w:ascii="仿宋_GB2312" w:hAnsi="仿宋_GB2312" w:eastAsia="仿宋_GB2312" w:cs="仿宋_GB2312"/>
          <w:b w:val="0"/>
          <w:bCs w:val="0"/>
          <w:color w:val="auto"/>
        </w:rPr>
        <w:t>的招商活动。</w:t>
      </w:r>
    </w:p>
    <w:p w14:paraId="30C4971D">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869" w:name="_Toc23051"/>
      <w:bookmarkStart w:id="870" w:name="_Toc4558"/>
      <w:bookmarkStart w:id="871" w:name="_Toc30105"/>
      <w:bookmarkStart w:id="872" w:name="_Toc215857890"/>
      <w:bookmarkStart w:id="873" w:name="_Toc7249"/>
      <w:bookmarkStart w:id="874" w:name="_Toc27781"/>
      <w:bookmarkStart w:id="875" w:name="_Toc27428"/>
      <w:bookmarkStart w:id="876" w:name="_Toc21425"/>
      <w:bookmarkStart w:id="877" w:name="_Toc31540"/>
      <w:bookmarkStart w:id="878" w:name="_Toc26003"/>
      <w:bookmarkStart w:id="879" w:name="_Toc13052"/>
      <w:bookmarkStart w:id="880" w:name="_Toc11682"/>
      <w:bookmarkStart w:id="881" w:name="_Toc6799"/>
      <w:bookmarkStart w:id="882" w:name="_Toc24736"/>
      <w:bookmarkStart w:id="883" w:name="_Toc735123893"/>
    </w:p>
    <w:p w14:paraId="51E95EA1">
      <w:pPr>
        <w:pStyle w:val="7"/>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第四节  深入实施扩大内需</w:t>
      </w:r>
      <w:bookmarkEnd w:id="869"/>
      <w:bookmarkEnd w:id="870"/>
      <w:bookmarkEnd w:id="871"/>
      <w:bookmarkEnd w:id="872"/>
      <w:bookmarkEnd w:id="873"/>
      <w:bookmarkEnd w:id="874"/>
      <w:bookmarkEnd w:id="875"/>
      <w:r>
        <w:rPr>
          <w:rFonts w:hint="eastAsia" w:ascii="黑体" w:hAnsi="黑体" w:eastAsia="黑体" w:cs="黑体"/>
          <w:b w:val="0"/>
          <w:bCs w:val="0"/>
          <w:lang w:val="en-US" w:eastAsia="zh-CN"/>
        </w:rPr>
        <w:t>战略</w:t>
      </w:r>
      <w:bookmarkEnd w:id="876"/>
      <w:bookmarkEnd w:id="877"/>
      <w:bookmarkEnd w:id="878"/>
      <w:bookmarkEnd w:id="879"/>
      <w:bookmarkEnd w:id="880"/>
      <w:bookmarkEnd w:id="881"/>
      <w:bookmarkEnd w:id="882"/>
      <w:bookmarkEnd w:id="883"/>
    </w:p>
    <w:p w14:paraId="0B9D59BA">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6E676A0A">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扩大内需这个战略基点与深化供给侧结构性改革有机结合，以高质量供给引领和创造新需求，发挥消费的基础作用、投资的关键作用和出口的支撑作用，形成内外需规模、结构、效率动态平衡、协同拉动的经济增长新格局。</w:t>
      </w:r>
      <w:bookmarkStart w:id="884" w:name="_Toc305"/>
      <w:bookmarkStart w:id="885" w:name="_Toc21105"/>
      <w:bookmarkStart w:id="886" w:name="_Toc17761"/>
      <w:bookmarkStart w:id="887" w:name="_Toc16859"/>
      <w:bookmarkStart w:id="888" w:name="_Toc215857891"/>
      <w:bookmarkStart w:id="889" w:name="_Toc3665"/>
      <w:bookmarkStart w:id="890" w:name="_Toc29407"/>
      <w:bookmarkStart w:id="891" w:name="_Toc1448"/>
      <w:bookmarkStart w:id="892" w:name="_Toc7988"/>
      <w:bookmarkStart w:id="893" w:name="_Toc24770"/>
      <w:bookmarkStart w:id="894" w:name="_Toc7283"/>
      <w:bookmarkStart w:id="895" w:name="_Toc10935"/>
      <w:bookmarkStart w:id="896" w:name="_Toc779941011"/>
      <w:bookmarkStart w:id="897" w:name="_Toc5158"/>
      <w:bookmarkStart w:id="898" w:name="_Toc23979"/>
      <w:bookmarkStart w:id="899" w:name="_Toc8211"/>
    </w:p>
    <w:p w14:paraId="333C3FB0">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一、</w:t>
      </w:r>
      <w:bookmarkEnd w:id="884"/>
      <w:bookmarkEnd w:id="885"/>
      <w:bookmarkEnd w:id="886"/>
      <w:bookmarkEnd w:id="887"/>
      <w:bookmarkEnd w:id="888"/>
      <w:r>
        <w:rPr>
          <w:rFonts w:hint="eastAsia" w:ascii="仿宋_GB2312" w:hAnsi="仿宋_GB2312" w:eastAsia="仿宋_GB2312" w:cs="仿宋_GB2312"/>
          <w:b w:val="0"/>
          <w:bCs w:val="0"/>
          <w:lang w:val="en-US" w:eastAsia="zh-CN"/>
        </w:rPr>
        <w:t>大力提振消费</w:t>
      </w:r>
      <w:bookmarkEnd w:id="889"/>
      <w:bookmarkEnd w:id="890"/>
      <w:bookmarkEnd w:id="891"/>
      <w:bookmarkEnd w:id="892"/>
      <w:bookmarkEnd w:id="893"/>
      <w:bookmarkEnd w:id="894"/>
      <w:bookmarkEnd w:id="895"/>
      <w:bookmarkEnd w:id="896"/>
      <w:bookmarkEnd w:id="897"/>
      <w:bookmarkEnd w:id="898"/>
      <w:bookmarkEnd w:id="899"/>
    </w:p>
    <w:p w14:paraId="41C9945C">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入实施提振消费专项行动，扩大优质消费品和服务供给。顺应消费结构升级趋势，大力培育和发展数字消费、绿色消费、健康消费、文旅消费等新型消费业态。加快城市商业综合体建设，打造具有鲜明特色的主题商业街区。大力发展夜间经济、假日经济、首店经济和首发经济，引进国内外知名品牌开设首店、旗舰店，举办特色鲜明的主题消费节、购物节活动。完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互联网+消费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生态体系，支持传统商贸企业数字化转型，促进线上线下消费深度融合。完善城乡一体的现代商贸流通体系，推动电子商务、连锁经营向农村延伸，畅通农产品进城和工业品下乡渠道。</w:t>
      </w:r>
    </w:p>
    <w:p w14:paraId="2C768896">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900" w:name="_Toc908"/>
      <w:bookmarkStart w:id="901" w:name="_Toc215857892"/>
      <w:bookmarkStart w:id="902" w:name="_Toc28212"/>
      <w:bookmarkStart w:id="903" w:name="_Toc25145"/>
      <w:bookmarkStart w:id="904" w:name="_Toc298"/>
      <w:bookmarkStart w:id="905" w:name="_Toc26936"/>
      <w:bookmarkStart w:id="906" w:name="_Toc627385868"/>
      <w:bookmarkStart w:id="907" w:name="_Toc6557"/>
      <w:bookmarkStart w:id="908" w:name="_Toc12212"/>
      <w:bookmarkStart w:id="909" w:name="_Toc15845"/>
      <w:bookmarkStart w:id="910" w:name="_Toc2102"/>
      <w:bookmarkStart w:id="911" w:name="_Toc4885"/>
      <w:bookmarkStart w:id="912" w:name="_Toc11281"/>
      <w:bookmarkStart w:id="913" w:name="_Toc6210"/>
      <w:bookmarkStart w:id="914" w:name="_Toc12627"/>
      <w:bookmarkStart w:id="915" w:name="_Toc5745"/>
      <w:r>
        <w:rPr>
          <w:rFonts w:hint="eastAsia" w:ascii="仿宋_GB2312" w:hAnsi="仿宋_GB2312" w:eastAsia="仿宋_GB2312" w:cs="仿宋_GB2312"/>
          <w:b w:val="0"/>
          <w:bCs w:val="0"/>
        </w:rPr>
        <w:t>二、持续扩大有效投资</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14:paraId="60C6CCE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扩大有效投资，提高投资效益，优化投资环境，打造区域投资高地。统筹用好各类政府投资，完善基础设施和公共服务设施布局。发挥政府投资的撬动和引导作用，聚焦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两</w:t>
      </w:r>
      <w:r>
        <w:rPr>
          <w:rFonts w:hint="eastAsia" w:ascii="仿宋_GB2312" w:hAnsi="仿宋_GB2312" w:eastAsia="仿宋_GB2312" w:cs="仿宋_GB2312"/>
          <w:b w:val="0"/>
          <w:bCs w:val="0"/>
        </w:rPr>
        <w:t>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领域，重点投向科技创新、产业升级、生态环保、民生保障等关键领域和薄弱环节。大力激发民间投资活力，破除民间资本进入基础设施、社会事业等领域的隐性壁垒，推行市场准入负面清单制度，鼓励民间资本以多种形式参与重大项目建设。强化项目谋划储备，围绕国家重大战略和产业发展导向，建立梯次滚动项目库。强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要素跟着项目走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的保障机制，在用地、用能、融资、环境容量等方面保障重大项目需求，确保项目快落地、快建设、快见效。</w:t>
      </w:r>
      <w:bookmarkStart w:id="916" w:name="_Toc27769"/>
      <w:bookmarkStart w:id="917" w:name="_Toc31676"/>
      <w:bookmarkStart w:id="918" w:name="_Toc14947"/>
      <w:bookmarkStart w:id="919" w:name="_Toc25615"/>
      <w:bookmarkStart w:id="920" w:name="_Toc15370"/>
      <w:bookmarkStart w:id="921" w:name="_Toc215857886"/>
      <w:bookmarkStart w:id="922" w:name="_Toc8442"/>
      <w:bookmarkStart w:id="923" w:name="_Toc25624"/>
      <w:bookmarkStart w:id="924" w:name="_Toc28729"/>
      <w:bookmarkStart w:id="925" w:name="_Toc25767"/>
      <w:bookmarkStart w:id="926" w:name="_Toc12734"/>
      <w:bookmarkStart w:id="927" w:name="_Toc4658"/>
      <w:bookmarkStart w:id="928" w:name="_Toc5074"/>
      <w:bookmarkStart w:id="929" w:name="_Toc3649"/>
      <w:bookmarkStart w:id="930" w:name="_Toc117421806"/>
    </w:p>
    <w:p w14:paraId="1860AF7E">
      <w:pPr>
        <w:pageBreakBefore w:val="0"/>
        <w:widowControl w:val="0"/>
        <w:kinsoku/>
        <w:wordWrap/>
        <w:topLinePunct w:val="0"/>
        <w:bidi w:val="0"/>
        <w:spacing w:line="600" w:lineRule="exact"/>
        <w:ind w:left="0" w:leftChars="0" w:firstLine="0" w:firstLineChars="0"/>
        <w:rPr>
          <w:rFonts w:hint="eastAsia" w:ascii="仿宋_GB2312" w:hAnsi="仿宋_GB2312" w:eastAsia="仿宋_GB2312" w:cs="仿宋_GB2312"/>
          <w:b w:val="0"/>
          <w:bCs w:val="0"/>
        </w:rPr>
      </w:pPr>
    </w:p>
    <w:p w14:paraId="2BF746A1">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第五节 </w:t>
      </w:r>
      <w:bookmarkEnd w:id="846"/>
      <w:bookmarkEnd w:id="916"/>
      <w:bookmarkEnd w:id="917"/>
      <w:bookmarkEnd w:id="918"/>
      <w:bookmarkEnd w:id="919"/>
      <w:bookmarkEnd w:id="920"/>
      <w:bookmarkEnd w:id="921"/>
      <w:bookmarkEnd w:id="922"/>
      <w:r>
        <w:rPr>
          <w:rFonts w:hint="eastAsia" w:ascii="黑体" w:hAnsi="黑体" w:eastAsia="黑体" w:cs="黑体"/>
          <w:b w:val="0"/>
          <w:bCs w:val="0"/>
          <w:lang w:val="en-US" w:eastAsia="zh-CN"/>
        </w:rPr>
        <w:t xml:space="preserve"> 深度融入全国统一大市场</w:t>
      </w:r>
      <w:bookmarkEnd w:id="923"/>
      <w:bookmarkEnd w:id="924"/>
      <w:bookmarkEnd w:id="925"/>
      <w:bookmarkEnd w:id="926"/>
      <w:bookmarkEnd w:id="927"/>
      <w:bookmarkEnd w:id="928"/>
      <w:bookmarkEnd w:id="929"/>
      <w:bookmarkEnd w:id="930"/>
    </w:p>
    <w:p w14:paraId="0EC7C17A">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741A2FF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发挥区位优势，深度融入全国统一大市场建设，建设国内外经济双循环的重要节点。</w:t>
      </w:r>
      <w:bookmarkStart w:id="931" w:name="_Toc30778"/>
      <w:bookmarkStart w:id="932" w:name="_Toc29056"/>
      <w:bookmarkStart w:id="933" w:name="_Toc19297"/>
      <w:bookmarkStart w:id="934" w:name="_Toc22960"/>
      <w:bookmarkStart w:id="935" w:name="_Toc922"/>
      <w:bookmarkStart w:id="936" w:name="_Toc20953"/>
      <w:bookmarkStart w:id="937" w:name="_Toc10917"/>
      <w:bookmarkStart w:id="938" w:name="_Toc30131"/>
      <w:bookmarkStart w:id="939" w:name="_Toc15736"/>
      <w:bookmarkStart w:id="940" w:name="_Toc21452"/>
      <w:bookmarkStart w:id="941" w:name="_Toc23831"/>
      <w:bookmarkStart w:id="942" w:name="_Toc12666"/>
      <w:bookmarkStart w:id="943" w:name="_Toc296568422"/>
      <w:bookmarkStart w:id="944" w:name="_Toc215857888"/>
      <w:bookmarkStart w:id="945" w:name="_Toc18275"/>
    </w:p>
    <w:p w14:paraId="0FA7B3D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一</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融入</w:t>
      </w:r>
      <w:r>
        <w:rPr>
          <w:rFonts w:hint="eastAsia" w:ascii="仿宋_GB2312" w:hAnsi="仿宋_GB2312" w:eastAsia="仿宋_GB2312" w:cs="仿宋_GB2312"/>
          <w:b w:val="0"/>
          <w:bCs w:val="0"/>
        </w:rPr>
        <w:t>服务全国统一大市场建设</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14:paraId="2FAA63B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按照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五统一、一开放</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基本要求，深化要素市场化配置改革，清理整治市场准入壁垒，完善产权保护、市场准入、公平竞争、社会信用等市场经济基础制度，促进劳动力、资本、知识、技术、数据等各类生产要素在伊滨范围内畅通流动和高效配置。通过有效融入全国统一的市场制度建设，实现人才资质互认、科技成果共享、数据要素流通增值，为经济社会高质量发展提供有力支撑。</w:t>
      </w:r>
    </w:p>
    <w:p w14:paraId="0FF58BB3">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946" w:name="_Toc2937"/>
      <w:bookmarkStart w:id="947" w:name="_Toc19944"/>
      <w:bookmarkStart w:id="948" w:name="_Toc1927"/>
      <w:bookmarkStart w:id="949" w:name="_Toc19149"/>
      <w:bookmarkStart w:id="950" w:name="_Toc1271294360"/>
      <w:bookmarkStart w:id="951" w:name="_Toc29418"/>
      <w:bookmarkStart w:id="952" w:name="_Toc2615"/>
      <w:bookmarkStart w:id="953" w:name="_Toc16840"/>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提高</w:t>
      </w:r>
      <w:r>
        <w:rPr>
          <w:rFonts w:hint="eastAsia" w:ascii="仿宋_GB2312" w:hAnsi="仿宋_GB2312" w:eastAsia="仿宋_GB2312" w:cs="仿宋_GB2312"/>
          <w:b w:val="0"/>
          <w:bCs w:val="0"/>
          <w:lang w:val="en-US" w:eastAsia="zh-CN"/>
        </w:rPr>
        <w:t>要素</w:t>
      </w:r>
      <w:r>
        <w:rPr>
          <w:rFonts w:hint="eastAsia" w:ascii="仿宋_GB2312" w:hAnsi="仿宋_GB2312" w:eastAsia="仿宋_GB2312" w:cs="仿宋_GB2312"/>
          <w:b w:val="0"/>
          <w:bCs w:val="0"/>
        </w:rPr>
        <w:t>配置能力</w:t>
      </w:r>
      <w:bookmarkEnd w:id="946"/>
      <w:bookmarkEnd w:id="947"/>
      <w:bookmarkEnd w:id="948"/>
      <w:bookmarkEnd w:id="949"/>
      <w:bookmarkEnd w:id="950"/>
      <w:bookmarkEnd w:id="951"/>
      <w:bookmarkEnd w:id="952"/>
      <w:bookmarkEnd w:id="953"/>
    </w:p>
    <w:p w14:paraId="2B9A0C6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推进土地、劳动力、资本、技术、数据、能源等要素市场化改革，完善要素市场化配置体制机制，全方位破除体制性制约因素。处理好顶层设计和实践探索的关系，处理好政府和市场的关系，提高行政效率和市场配置效率，营造优良公平高效的发展环境。</w:t>
      </w:r>
      <w:r>
        <w:rPr>
          <w:rFonts w:hint="eastAsia" w:ascii="仿宋_GB2312" w:hAnsi="仿宋_GB2312" w:eastAsia="仿宋_GB2312" w:cs="仿宋_GB2312"/>
          <w:b w:val="0"/>
          <w:bCs w:val="0"/>
          <w:lang w:val="en-US" w:eastAsia="zh-CN"/>
        </w:rPr>
        <w:t>充分</w:t>
      </w:r>
      <w:r>
        <w:rPr>
          <w:rFonts w:hint="eastAsia" w:ascii="仿宋_GB2312" w:hAnsi="仿宋_GB2312" w:eastAsia="仿宋_GB2312" w:cs="仿宋_GB2312"/>
          <w:b w:val="0"/>
          <w:bCs w:val="0"/>
        </w:rPr>
        <w:t>发挥市场</w:t>
      </w:r>
      <w:r>
        <w:rPr>
          <w:rFonts w:hint="eastAsia" w:ascii="仿宋_GB2312" w:hAnsi="仿宋_GB2312" w:eastAsia="仿宋_GB2312" w:cs="仿宋_GB2312"/>
          <w:b w:val="0"/>
          <w:bCs w:val="0"/>
          <w:lang w:val="en-US" w:eastAsia="zh-CN"/>
        </w:rPr>
        <w:t>在资源</w:t>
      </w:r>
      <w:r>
        <w:rPr>
          <w:rFonts w:hint="eastAsia" w:ascii="仿宋_GB2312" w:hAnsi="仿宋_GB2312" w:eastAsia="仿宋_GB2312" w:cs="仿宋_GB2312"/>
          <w:b w:val="0"/>
          <w:bCs w:val="0"/>
        </w:rPr>
        <w:t>配置</w:t>
      </w:r>
      <w:r>
        <w:rPr>
          <w:rFonts w:hint="eastAsia" w:ascii="仿宋_GB2312" w:hAnsi="仿宋_GB2312" w:eastAsia="仿宋_GB2312" w:cs="仿宋_GB2312"/>
          <w:b w:val="0"/>
          <w:bCs w:val="0"/>
          <w:lang w:val="en-US" w:eastAsia="zh-CN"/>
        </w:rPr>
        <w:t>中</w:t>
      </w:r>
      <w:r>
        <w:rPr>
          <w:rFonts w:hint="eastAsia" w:ascii="仿宋_GB2312" w:hAnsi="仿宋_GB2312" w:eastAsia="仿宋_GB2312" w:cs="仿宋_GB2312"/>
          <w:b w:val="0"/>
          <w:bCs w:val="0"/>
        </w:rPr>
        <w:t>的决定性作用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以信息化、数字化、智能化改革牵引各领域改革全面突破、全面见效，增强市场配置资源要素的能力，充分释放经济社会发展活力。</w:t>
      </w:r>
      <w:bookmarkStart w:id="954" w:name="_Toc10030"/>
      <w:bookmarkStart w:id="955" w:name="_Toc8599"/>
      <w:bookmarkStart w:id="956" w:name="_Toc25568"/>
      <w:bookmarkStart w:id="957" w:name="_Toc754479537"/>
      <w:bookmarkStart w:id="958" w:name="_Toc15768"/>
      <w:bookmarkStart w:id="959" w:name="_Toc5621"/>
      <w:bookmarkStart w:id="960" w:name="_Toc215857897"/>
      <w:bookmarkStart w:id="961" w:name="_Toc28699"/>
      <w:bookmarkStart w:id="962" w:name="_Toc6704"/>
      <w:bookmarkStart w:id="963" w:name="_Toc16530"/>
      <w:bookmarkStart w:id="964" w:name="_Toc4588"/>
      <w:bookmarkStart w:id="965" w:name="_Toc16628"/>
      <w:bookmarkStart w:id="966" w:name="_Toc15616"/>
      <w:bookmarkStart w:id="967" w:name="_Toc977"/>
      <w:bookmarkStart w:id="968" w:name="_Toc9428"/>
    </w:p>
    <w:p w14:paraId="79D02B10">
      <w:pPr>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p>
    <w:p w14:paraId="7A7727A0">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第六节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持续优化营商环境</w:t>
      </w:r>
      <w:bookmarkEnd w:id="689"/>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14:paraId="080FF95E">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4838159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持续深化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放管服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改革，优化营商环境，更大激发市场活力，增强发展内生动力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打造创业发展高地。</w:t>
      </w:r>
    </w:p>
    <w:p w14:paraId="2AA1346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969" w:name="_Toc15838"/>
      <w:bookmarkStart w:id="970" w:name="_Toc21866"/>
      <w:bookmarkStart w:id="971" w:name="_Toc9118"/>
      <w:bookmarkStart w:id="972" w:name="_Toc26604"/>
      <w:bookmarkStart w:id="973" w:name="_Toc14831"/>
      <w:bookmarkStart w:id="974" w:name="_Toc1143"/>
      <w:bookmarkStart w:id="975" w:name="_Toc21901"/>
      <w:bookmarkStart w:id="976" w:name="_Toc23282"/>
      <w:bookmarkStart w:id="977" w:name="_Toc215857898"/>
      <w:bookmarkStart w:id="978" w:name="_Toc26756"/>
      <w:bookmarkStart w:id="979" w:name="_Toc24555"/>
      <w:bookmarkStart w:id="980" w:name="_Toc11951"/>
      <w:bookmarkStart w:id="981" w:name="_Toc1341227681"/>
      <w:bookmarkStart w:id="982" w:name="_Toc14832"/>
      <w:bookmarkStart w:id="983" w:name="_Toc3195"/>
      <w:r>
        <w:rPr>
          <w:rFonts w:hint="eastAsia" w:ascii="仿宋_GB2312" w:hAnsi="仿宋_GB2312" w:eastAsia="仿宋_GB2312" w:cs="仿宋_GB2312"/>
          <w:b w:val="0"/>
          <w:bCs w:val="0"/>
        </w:rPr>
        <w:t>一、营造便捷高效的政务环境</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14:paraId="0564E2AA">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大力推进</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双随机、一公开</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监管工作，把政府该管的事情管好。切实履行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一岗双责</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着力推进廉政建设与业务工作有机融合，从源头上规范权力，遏制腐败。强化政务公开，推进政务服务标准化和政务服务事项流程再造，进一步压减行政审批时限，推进政务服务标准化、规范化、便利化。深入推进</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互联网＋政务服务</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，让</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数据多跑路，群众少跑腿</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。全面清理各类证明事项，方便群众办事。推动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一网通办</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前提下</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最多跑一次</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一次不用跑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转变。提高服务效率，努力实现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网上办、一次办、立即办</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，为各项业务向基层延伸提供有力支撑。最大限度提高政务服务效率。加快城乡服务体系建设，打造</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15分钟政务服务圈</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w:t>
      </w:r>
    </w:p>
    <w:p w14:paraId="0A58358E">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984" w:name="_Toc215857899"/>
      <w:bookmarkStart w:id="985" w:name="_Toc17719"/>
      <w:bookmarkStart w:id="986" w:name="_Toc24442"/>
      <w:bookmarkStart w:id="987" w:name="_Toc186"/>
      <w:bookmarkStart w:id="988" w:name="_Toc11258"/>
      <w:bookmarkStart w:id="989" w:name="_Toc31852"/>
      <w:bookmarkStart w:id="990" w:name="_Toc22288"/>
      <w:bookmarkStart w:id="991" w:name="_Toc1402194980"/>
      <w:bookmarkStart w:id="992" w:name="_Toc9435"/>
      <w:bookmarkStart w:id="993" w:name="_Toc27494"/>
      <w:bookmarkStart w:id="994" w:name="_Toc29985"/>
      <w:bookmarkStart w:id="995" w:name="_Toc26412"/>
      <w:bookmarkStart w:id="996" w:name="_Toc31075"/>
      <w:bookmarkStart w:id="997" w:name="_Toc12483"/>
      <w:bookmarkStart w:id="998" w:name="_Toc12982"/>
      <w:r>
        <w:rPr>
          <w:rFonts w:hint="eastAsia" w:ascii="仿宋_GB2312" w:hAnsi="仿宋_GB2312" w:eastAsia="仿宋_GB2312" w:cs="仿宋_GB2312"/>
          <w:b w:val="0"/>
          <w:bCs w:val="0"/>
        </w:rPr>
        <w:t>二、营造充满活力的市场环境</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750B38F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深化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放管服</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改革</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不断降低企业制度性交易成本</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建立健全企业服务例会、首席服务官、重点企业和重大项目</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直通车</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等制度，坚持和完善营商环境</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四挂钩</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制度，开展营商环境评价重点领域和核心指标攻坚提升行动，推动政务环境建设，努力实现审批最少、流程最优、体制最顺、机制最活、效率最高、服务最好的一流营商环境目标。</w:t>
      </w:r>
    </w:p>
    <w:p w14:paraId="46A9E8DB">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加强重点领域监管。加强市场监管，推动形成以企业信用信息监管为核心的新型监管机制，维护良好市场秩序。落实</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四个最严</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要求，强化对食品药品安全日常监管，确保人民群众饮食用药安全。强化质量意识，提升质量工作能力。实施农资和农产品质量安全专项整治，完善农产品质量安全检测体系，探索建立农产品质量安全追溯系统，强化农产品质量安全监测，严防发生重大农产品质量安全事件。</w:t>
      </w:r>
    </w:p>
    <w:p w14:paraId="38645DFF">
      <w:pPr>
        <w:pStyle w:val="6"/>
        <w:pageBreakBefore w:val="0"/>
        <w:widowControl w:val="0"/>
        <w:kinsoku/>
        <w:wordWrap/>
        <w:topLinePunct w:val="0"/>
        <w:bidi w:val="0"/>
        <w:spacing w:line="600" w:lineRule="exact"/>
        <w:ind w:left="0" w:leftChars="0" w:firstLine="0" w:firstLineChars="0"/>
        <w:jc w:val="both"/>
        <w:rPr>
          <w:rFonts w:hint="eastAsia" w:ascii="仿宋_GB2312" w:hAnsi="仿宋_GB2312" w:eastAsia="仿宋_GB2312" w:cs="仿宋_GB2312"/>
          <w:b w:val="0"/>
          <w:bCs w:val="0"/>
        </w:rPr>
      </w:pPr>
      <w:bookmarkStart w:id="999" w:name="_Toc13965"/>
      <w:bookmarkStart w:id="1000" w:name="_Toc20081"/>
      <w:bookmarkStart w:id="1001" w:name="_Toc13847"/>
      <w:bookmarkStart w:id="1002" w:name="_Toc21191"/>
      <w:bookmarkStart w:id="1003" w:name="_Toc8168"/>
      <w:bookmarkStart w:id="1004" w:name="_Toc1263942561"/>
      <w:bookmarkStart w:id="1005" w:name="_Toc15856"/>
      <w:bookmarkStart w:id="1006" w:name="_Toc29724"/>
      <w:bookmarkStart w:id="1007" w:name="_Toc631"/>
      <w:bookmarkStart w:id="1008" w:name="_Toc1962"/>
      <w:bookmarkStart w:id="1009" w:name="_Toc215857902"/>
      <w:bookmarkStart w:id="1010" w:name="_Toc19836"/>
      <w:bookmarkStart w:id="1011" w:name="_Toc26227"/>
      <w:bookmarkStart w:id="1012" w:name="_Toc25602"/>
      <w:bookmarkStart w:id="1013" w:name="_Toc23309"/>
    </w:p>
    <w:p w14:paraId="6A8CFCEE">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六</w:t>
      </w:r>
      <w:r>
        <w:rPr>
          <w:rFonts w:hint="eastAsia" w:ascii="黑体" w:hAnsi="黑体" w:eastAsia="黑体" w:cs="黑体"/>
          <w:b w:val="0"/>
          <w:bCs w:val="0"/>
        </w:rPr>
        <w:t xml:space="preserve">章 </w:t>
      </w:r>
      <w:r>
        <w:rPr>
          <w:rFonts w:hint="eastAsia" w:ascii="黑体" w:hAnsi="黑体" w:eastAsia="黑体" w:cs="黑体"/>
          <w:b w:val="0"/>
          <w:bCs w:val="0"/>
          <w:lang w:val="en-US" w:eastAsia="zh-CN"/>
        </w:rPr>
        <w:t xml:space="preserve"> </w:t>
      </w:r>
      <w:r>
        <w:rPr>
          <w:rFonts w:hint="eastAsia" w:ascii="黑体" w:hAnsi="黑体" w:eastAsia="黑体" w:cs="黑体"/>
          <w:b w:val="0"/>
          <w:bCs w:val="0"/>
        </w:rPr>
        <w:t>聚焦未来城市，建设现代化</w:t>
      </w:r>
      <w:r>
        <w:rPr>
          <w:rFonts w:hint="eastAsia" w:ascii="黑体" w:hAnsi="黑体" w:eastAsia="黑体" w:cs="黑体"/>
          <w:b w:val="0"/>
          <w:bCs w:val="0"/>
          <w:lang w:val="en-US" w:eastAsia="zh-CN"/>
        </w:rPr>
        <w:t>魅力活力</w:t>
      </w:r>
      <w:r>
        <w:rPr>
          <w:rFonts w:hint="eastAsia" w:ascii="黑体" w:hAnsi="黑体" w:eastAsia="黑体" w:cs="黑体"/>
          <w:b w:val="0"/>
          <w:bCs w:val="0"/>
        </w:rPr>
        <w:t>伊滨新城</w:t>
      </w:r>
      <w:bookmarkEnd w:id="68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14:paraId="48CACE4A">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09B41C0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坚持以人为本、规划引领、产城融合原则，认真践行人民城市理念，统筹做好规划、建设、治理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三篇文章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，以建设创新、宜居、美丽、韧性、文明、智慧的现代化人民城市为目标，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时期，</w:t>
      </w:r>
      <w:r>
        <w:rPr>
          <w:rFonts w:hint="eastAsia" w:ascii="仿宋_GB2312" w:hAnsi="仿宋_GB2312" w:eastAsia="仿宋_GB2312" w:cs="仿宋_GB2312"/>
          <w:b w:val="0"/>
          <w:bCs w:val="0"/>
          <w:lang w:val="en-US" w:eastAsia="zh-CN"/>
        </w:rPr>
        <w:t>常住人口</w:t>
      </w:r>
      <w:r>
        <w:rPr>
          <w:rFonts w:hint="eastAsia" w:ascii="仿宋_GB2312" w:hAnsi="仿宋_GB2312" w:eastAsia="仿宋_GB2312" w:cs="仿宋_GB2312"/>
          <w:b w:val="0"/>
          <w:bCs w:val="0"/>
        </w:rPr>
        <w:t>城镇化率达到</w:t>
      </w:r>
      <w:r>
        <w:rPr>
          <w:rFonts w:hint="eastAsia" w:ascii="仿宋_GB2312" w:hAnsi="仿宋_GB2312" w:eastAsia="仿宋_GB2312" w:cs="仿宋_GB2312"/>
          <w:b w:val="0"/>
          <w:bCs w:val="0"/>
          <w:lang w:val="en-US" w:eastAsia="zh-CN"/>
        </w:rPr>
        <w:t>85%，打造现代化魅力新城</w:t>
      </w:r>
      <w:r>
        <w:rPr>
          <w:rFonts w:hint="eastAsia" w:ascii="仿宋_GB2312" w:hAnsi="仿宋_GB2312" w:eastAsia="仿宋_GB2312" w:cs="仿宋_GB2312"/>
          <w:b w:val="0"/>
          <w:bCs w:val="0"/>
        </w:rPr>
        <w:t>。</w:t>
      </w:r>
    </w:p>
    <w:p w14:paraId="2929316B">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014" w:name="_Toc24816"/>
      <w:bookmarkStart w:id="1015" w:name="_Toc29545"/>
      <w:bookmarkStart w:id="1016" w:name="_Toc1662"/>
      <w:bookmarkStart w:id="1017" w:name="_Toc6778"/>
      <w:bookmarkStart w:id="1018" w:name="_Toc12381"/>
      <w:bookmarkStart w:id="1019" w:name="_Toc2925"/>
      <w:bookmarkStart w:id="1020" w:name="_Toc6887"/>
      <w:bookmarkStart w:id="1021" w:name="_Toc25472"/>
      <w:bookmarkStart w:id="1022" w:name="_Toc29059"/>
      <w:bookmarkStart w:id="1023" w:name="_Toc4678"/>
      <w:bookmarkStart w:id="1024" w:name="_Toc15722"/>
      <w:bookmarkStart w:id="1025" w:name="_Toc10444"/>
      <w:bookmarkStart w:id="1026" w:name="_Toc1960241742"/>
      <w:bookmarkStart w:id="1027" w:name="_Toc8391"/>
    </w:p>
    <w:p w14:paraId="084E78A3">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lang w:val="en-US" w:eastAsia="zh-CN"/>
        </w:rPr>
        <w:t xml:space="preserve">第一节  </w:t>
      </w:r>
      <w:r>
        <w:rPr>
          <w:rFonts w:hint="eastAsia" w:ascii="黑体" w:hAnsi="黑体" w:eastAsia="黑体" w:cs="黑体"/>
          <w:b w:val="0"/>
          <w:bCs w:val="0"/>
        </w:rPr>
        <w:t>优化城市</w:t>
      </w:r>
      <w:r>
        <w:rPr>
          <w:rFonts w:hint="eastAsia" w:ascii="黑体" w:hAnsi="黑体" w:eastAsia="黑体" w:cs="黑体"/>
          <w:b w:val="0"/>
          <w:bCs w:val="0"/>
          <w:lang w:val="en-US" w:eastAsia="zh-CN"/>
        </w:rPr>
        <w:t>发展布</w:t>
      </w:r>
      <w:r>
        <w:rPr>
          <w:rFonts w:hint="eastAsia" w:ascii="黑体" w:hAnsi="黑体" w:eastAsia="黑体" w:cs="黑体"/>
          <w:b w:val="0"/>
          <w:bCs w:val="0"/>
        </w:rPr>
        <w:t>局</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14:paraId="281EFE51">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59D310C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坚持全区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一盘棋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统筹均衡发展，构建功能互补、梯次辐射的城镇村体系。完善城区功能布局，提升城市能级，构筑</w:t>
      </w:r>
      <w:r>
        <w:rPr>
          <w:rFonts w:hint="eastAsia" w:ascii="仿宋_GB2312" w:hAnsi="仿宋_GB2312" w:eastAsia="仿宋_GB2312" w:cs="仿宋_GB2312"/>
          <w:b w:val="0"/>
          <w:bCs w:val="0"/>
          <w:lang w:eastAsia="zh-CN"/>
        </w:rPr>
        <w:t>更具</w:t>
      </w:r>
      <w:r>
        <w:rPr>
          <w:rFonts w:hint="eastAsia" w:ascii="仿宋_GB2312" w:hAnsi="仿宋_GB2312" w:eastAsia="仿宋_GB2312" w:cs="仿宋_GB2312"/>
          <w:b w:val="0"/>
          <w:bCs w:val="0"/>
        </w:rPr>
        <w:t>活力和品质的城市美好空间。</w:t>
      </w:r>
      <w:bookmarkStart w:id="1028" w:name="_Toc22658"/>
      <w:bookmarkStart w:id="1029" w:name="_Toc27114"/>
      <w:bookmarkStart w:id="1030" w:name="_Toc24416"/>
      <w:bookmarkStart w:id="1031" w:name="_Toc31448"/>
      <w:bookmarkStart w:id="1032" w:name="_Toc17214"/>
      <w:bookmarkStart w:id="1033" w:name="_Toc27750"/>
      <w:bookmarkStart w:id="1034" w:name="_Toc16287"/>
      <w:bookmarkStart w:id="1035" w:name="_Toc11817"/>
      <w:bookmarkStart w:id="1036" w:name="_Toc17218"/>
      <w:bookmarkStart w:id="1037" w:name="_Toc6489"/>
      <w:bookmarkStart w:id="1038" w:name="_Toc1925316024"/>
      <w:bookmarkStart w:id="1039" w:name="_Toc28877"/>
      <w:bookmarkStart w:id="1040" w:name="_Toc23762"/>
      <w:bookmarkStart w:id="1041" w:name="_Toc22641"/>
    </w:p>
    <w:p w14:paraId="40F28D87">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一、</w:t>
      </w:r>
      <w:bookmarkEnd w:id="1028"/>
      <w:bookmarkEnd w:id="1029"/>
      <w:bookmarkEnd w:id="1030"/>
      <w:bookmarkEnd w:id="1031"/>
      <w:bookmarkEnd w:id="1032"/>
      <w:bookmarkEnd w:id="1033"/>
      <w:r>
        <w:rPr>
          <w:rFonts w:hint="eastAsia" w:ascii="仿宋_GB2312" w:hAnsi="仿宋_GB2312" w:eastAsia="仿宋_GB2312" w:cs="仿宋_GB2312"/>
          <w:b w:val="0"/>
          <w:bCs w:val="0"/>
        </w:rPr>
        <w:t>优化城市空间结构</w:t>
      </w:r>
      <w:bookmarkEnd w:id="1034"/>
      <w:bookmarkEnd w:id="1035"/>
      <w:bookmarkEnd w:id="1036"/>
      <w:bookmarkEnd w:id="1037"/>
      <w:bookmarkEnd w:id="1038"/>
      <w:bookmarkEnd w:id="1039"/>
      <w:bookmarkEnd w:id="1040"/>
      <w:bookmarkEnd w:id="1041"/>
    </w:p>
    <w:p w14:paraId="342C4D0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完善功能布局，促进空间结构优化。按照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大分区、小混合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的营城理念，构建中心城区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1+2+4</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的整体空间结构。围绕T字型公共服务组团集中布局商业商务、文化、体育等公共服务设施，打造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最大邻里芯</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，通过引入社会资本、创新运营模式，推动公共服务设施的活化利用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围绕文化中心、未来湖周边布局总部经济、商务办公等</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形成公共服务核</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依托科慧广场、龙门实验室植入研发设计、创业孵化等业态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形成智慧创新核，打造两大服务核心</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以中央公共服务轴、科技大道发展轴串联四大产业单元片区，通过多层级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产业邻里+生活邻里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的功能嵌入，集聚城市活力，实现生产、生活、生态空间的有机融合。</w:t>
      </w:r>
    </w:p>
    <w:p w14:paraId="7ACD3698">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042" w:name="_Toc14466"/>
      <w:bookmarkStart w:id="1043" w:name="_Toc4143"/>
      <w:bookmarkStart w:id="1044" w:name="_Toc15946"/>
      <w:bookmarkStart w:id="1045" w:name="_Toc3248"/>
      <w:bookmarkStart w:id="1046" w:name="_Toc30570"/>
      <w:bookmarkStart w:id="1047" w:name="_Toc6117"/>
      <w:bookmarkStart w:id="1048" w:name="_Toc12203"/>
      <w:bookmarkStart w:id="1049" w:name="_Toc11513"/>
      <w:bookmarkStart w:id="1050" w:name="_Toc18965"/>
      <w:bookmarkStart w:id="1051" w:name="_Toc585889898"/>
      <w:bookmarkStart w:id="1052" w:name="_Toc31879"/>
      <w:bookmarkStart w:id="1053" w:name="_Toc20509"/>
      <w:bookmarkStart w:id="1054" w:name="_Toc13837"/>
      <w:bookmarkStart w:id="1055" w:name="_Toc2206"/>
      <w:bookmarkStart w:id="1056" w:name="_Toc1009"/>
      <w:r>
        <w:rPr>
          <w:rFonts w:hint="eastAsia" w:ascii="仿宋_GB2312" w:hAnsi="仿宋_GB2312" w:eastAsia="仿宋_GB2312" w:cs="仿宋_GB2312"/>
          <w:b w:val="0"/>
          <w:bCs w:val="0"/>
        </w:rPr>
        <w:t>二、构建新型城镇化体系</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5A795AD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三镇三</w:t>
      </w:r>
      <w:r>
        <w:rPr>
          <w:rFonts w:hint="eastAsia" w:ascii="仿宋_GB2312" w:hAnsi="仿宋_GB2312" w:eastAsia="仿宋_GB2312" w:cs="仿宋_GB2312"/>
          <w:b w:val="0"/>
          <w:bCs w:val="0"/>
          <w:lang w:val="en-US" w:eastAsia="zh-CN"/>
        </w:rPr>
        <w:t>街道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城乡格局，布局</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城区科技研发—乡镇特色产业—村庄文旅体验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实现差异化协调发展。深化产城人融合发展理念，把提升城区能级作为增强聚合力的关键。结合各镇资源特征，因地制宜发展特色产业；培育一批特色产业村。推进乡村振兴与城乡建设协同发展，推动城乡要素双向有序流动，形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强产、兴城、聚人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良性循环，积极构建功能互补、协同发展、共同繁荣的新型城乡关系。积极实施新一轮农业转移人口市民化行动。加快涉农社区、城边村农业转移人口进程，促进农业转移人口在城镇稳定就业和生活，并与城镇居民享有同等权利、履行同等义务。</w:t>
      </w:r>
      <w:bookmarkStart w:id="1057" w:name="_Toc3078"/>
      <w:bookmarkStart w:id="1058" w:name="_Toc23078"/>
      <w:bookmarkStart w:id="1059" w:name="_Toc29447"/>
      <w:bookmarkStart w:id="1060" w:name="_Toc28858"/>
      <w:bookmarkStart w:id="1061" w:name="_Toc518903446"/>
      <w:bookmarkStart w:id="1062" w:name="_Toc14793"/>
      <w:bookmarkStart w:id="1063" w:name="_Toc26110"/>
      <w:bookmarkStart w:id="1064" w:name="_Toc7757"/>
      <w:bookmarkStart w:id="1065" w:name="_Toc20196"/>
      <w:bookmarkStart w:id="1066" w:name="_Toc260"/>
      <w:bookmarkStart w:id="1067" w:name="_Toc26666"/>
      <w:bookmarkStart w:id="1068" w:name="_Toc11772"/>
      <w:bookmarkStart w:id="1069" w:name="_Toc18426"/>
      <w:bookmarkStart w:id="1070" w:name="_Toc29199"/>
    </w:p>
    <w:p w14:paraId="7B19E3C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三、塑造城区山水</w:t>
      </w:r>
      <w:r>
        <w:rPr>
          <w:rFonts w:hint="eastAsia" w:ascii="仿宋_GB2312" w:hAnsi="仿宋_GB2312" w:eastAsia="仿宋_GB2312" w:cs="仿宋_GB2312"/>
          <w:b w:val="0"/>
          <w:bCs w:val="0"/>
          <w:lang w:val="en-US" w:eastAsia="zh-CN"/>
        </w:rPr>
        <w:t>新</w:t>
      </w:r>
      <w:r>
        <w:rPr>
          <w:rFonts w:hint="eastAsia" w:ascii="仿宋_GB2312" w:hAnsi="仿宋_GB2312" w:eastAsia="仿宋_GB2312" w:cs="仿宋_GB2312"/>
          <w:b w:val="0"/>
          <w:bCs w:val="0"/>
        </w:rPr>
        <w:t>格局</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14:paraId="2B43FF6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围绕山水城市格局，强化对建筑风貌、城市天际线、街道设施的管控，结合现代科技手段与美学设计，塑造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差异性、品质化、科技感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的城市肌理和空间风貌，空间灵动丰富，彰显城市</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未来轴</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的风采。持续改造提升中央</w:t>
      </w:r>
      <w:r>
        <w:rPr>
          <w:rFonts w:hint="eastAsia" w:ascii="仿宋_GB2312" w:hAnsi="仿宋_GB2312" w:eastAsia="仿宋_GB2312" w:cs="仿宋_GB2312"/>
          <w:b w:val="0"/>
          <w:bCs w:val="0"/>
          <w:lang w:val="en-US" w:eastAsia="zh-CN"/>
        </w:rPr>
        <w:t>轴线</w:t>
      </w:r>
      <w:r>
        <w:rPr>
          <w:rFonts w:hint="eastAsia" w:ascii="仿宋_GB2312" w:hAnsi="仿宋_GB2312" w:eastAsia="仿宋_GB2312" w:cs="仿宋_GB2312"/>
          <w:b w:val="0"/>
          <w:bCs w:val="0"/>
        </w:rPr>
        <w:t>，置入交流、运动、消费、打卡等场景，提升公园活力，打造居民家门口的自然美学交往场所。利用好城市滨水空间，植入演艺、餐饮、市集等业态，集聚人气、激活业态、提升价值。</w:t>
      </w:r>
    </w:p>
    <w:p w14:paraId="1301DBD3">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071" w:name="_Toc5733"/>
      <w:bookmarkStart w:id="1072" w:name="_Toc21829"/>
      <w:bookmarkStart w:id="1073" w:name="_Toc7875"/>
      <w:bookmarkStart w:id="1074" w:name="_Toc6000"/>
      <w:bookmarkStart w:id="1075" w:name="_Toc30128"/>
      <w:bookmarkStart w:id="1076" w:name="_Toc27770"/>
      <w:bookmarkStart w:id="1077" w:name="_Toc31372"/>
      <w:bookmarkStart w:id="1078" w:name="_Toc10756"/>
      <w:bookmarkStart w:id="1079" w:name="_Toc32604"/>
      <w:bookmarkStart w:id="1080" w:name="_Toc24927"/>
      <w:bookmarkStart w:id="1081" w:name="_Toc8931"/>
      <w:bookmarkStart w:id="1082" w:name="_Toc171215746"/>
      <w:bookmarkStart w:id="1083" w:name="_Toc19476"/>
      <w:bookmarkStart w:id="1084" w:name="_Toc18020"/>
    </w:p>
    <w:p w14:paraId="0374AE78">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lang w:val="en-US" w:eastAsia="zh-CN"/>
        </w:rPr>
        <w:t>第二节  提升城市</w:t>
      </w:r>
      <w:r>
        <w:rPr>
          <w:rFonts w:hint="eastAsia" w:ascii="黑体" w:hAnsi="黑体" w:eastAsia="黑体" w:cs="黑体"/>
          <w:b w:val="0"/>
          <w:bCs w:val="0"/>
        </w:rPr>
        <w:t>宜居</w:t>
      </w:r>
      <w:r>
        <w:rPr>
          <w:rFonts w:hint="eastAsia" w:ascii="黑体" w:hAnsi="黑体" w:eastAsia="黑体" w:cs="黑体"/>
          <w:b w:val="0"/>
          <w:bCs w:val="0"/>
          <w:lang w:val="en-US" w:eastAsia="zh-CN"/>
        </w:rPr>
        <w:t>宜业水平</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14:paraId="08EEE36B">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30B9F5E9">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rPr>
        <w:t>以提升城市品质、</w:t>
      </w:r>
      <w:r>
        <w:rPr>
          <w:rFonts w:hint="eastAsia" w:ascii="仿宋_GB2312" w:hAnsi="仿宋_GB2312" w:eastAsia="仿宋_GB2312" w:cs="仿宋_GB2312"/>
          <w:b w:val="0"/>
          <w:bCs w:val="0"/>
          <w:lang w:eastAsia="zh-CN"/>
        </w:rPr>
        <w:t>增进民生福祉</w:t>
      </w:r>
      <w:r>
        <w:rPr>
          <w:rFonts w:hint="eastAsia" w:ascii="仿宋_GB2312" w:hAnsi="仿宋_GB2312" w:eastAsia="仿宋_GB2312" w:cs="仿宋_GB2312"/>
          <w:b w:val="0"/>
          <w:bCs w:val="0"/>
        </w:rPr>
        <w:t>为核心，系统强化公共服务供给、多层次安居保障，提高城市品质，建设舒适便利宜居新城区</w:t>
      </w:r>
      <w:r>
        <w:rPr>
          <w:rFonts w:hint="eastAsia" w:ascii="仿宋_GB2312" w:hAnsi="仿宋_GB2312" w:eastAsia="仿宋_GB2312" w:cs="仿宋_GB2312"/>
          <w:b w:val="0"/>
          <w:bCs w:val="0"/>
          <w:lang w:eastAsia="zh-CN"/>
        </w:rPr>
        <w:t>。</w:t>
      </w:r>
    </w:p>
    <w:p w14:paraId="2CCC951D">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085" w:name="_Toc18650"/>
      <w:bookmarkStart w:id="1086" w:name="_Toc13016"/>
      <w:bookmarkStart w:id="1087" w:name="_Toc19002"/>
      <w:bookmarkStart w:id="1088" w:name="_Toc27123"/>
      <w:bookmarkStart w:id="1089" w:name="_Toc907761113"/>
      <w:bookmarkStart w:id="1090" w:name="_Toc20052"/>
      <w:bookmarkStart w:id="1091" w:name="_Toc22298"/>
      <w:bookmarkStart w:id="1092" w:name="_Toc18402"/>
      <w:bookmarkStart w:id="1093" w:name="_Toc31741"/>
      <w:bookmarkStart w:id="1094" w:name="_Toc9208"/>
      <w:bookmarkStart w:id="1095" w:name="_Toc13082"/>
      <w:bookmarkStart w:id="1096" w:name="_Toc21965"/>
      <w:bookmarkStart w:id="1097" w:name="_Toc14184"/>
      <w:bookmarkStart w:id="1098" w:name="_Toc15449"/>
      <w:bookmarkStart w:id="1099" w:name="_Toc14908"/>
      <w:bookmarkStart w:id="1100" w:name="_Toc938"/>
      <w:bookmarkStart w:id="1101" w:name="_Toc9484"/>
      <w:bookmarkStart w:id="1102" w:name="_Toc1340"/>
      <w:bookmarkStart w:id="1103" w:name="_Toc21682"/>
      <w:bookmarkStart w:id="1104" w:name="_Toc10464"/>
      <w:bookmarkStart w:id="1105" w:name="_Toc9091"/>
      <w:r>
        <w:rPr>
          <w:rFonts w:hint="eastAsia" w:ascii="仿宋_GB2312" w:hAnsi="仿宋_GB2312" w:eastAsia="仿宋_GB2312" w:cs="仿宋_GB2312"/>
          <w:b w:val="0"/>
          <w:bCs w:val="0"/>
        </w:rPr>
        <w:t>一、</w:t>
      </w:r>
      <w:bookmarkStart w:id="1106" w:name="_Toc18055"/>
      <w:r>
        <w:rPr>
          <w:rFonts w:hint="eastAsia" w:ascii="仿宋_GB2312" w:hAnsi="仿宋_GB2312" w:eastAsia="仿宋_GB2312" w:cs="仿宋_GB2312"/>
          <w:b w:val="0"/>
          <w:bCs w:val="0"/>
        </w:rPr>
        <w:t>强化公共服务供给</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106"/>
    </w:p>
    <w:p w14:paraId="3C4D686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以打造全市</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完整社区样板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为引领，将完整社区建设作为提升城市品质、增进民生福祉的核心抓手，采取示范引领+全域推广模式，高标准打造17个</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完整社区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。聚焦群众关切的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一老一小</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无障碍设施建设，在光武街道等先行区试点嵌入式托育服务，通过邻里中心整合养老、医疗、文体功能，积极推动社区适老化、适儿化改造，营造室外健康环境；提升13个安置小区商贸便民圈，满足群众多元化消费需求。建成玉泉智慧停车楼、刘井巷综合停车楼等大型立体停车楼16个，新增停车位</w:t>
      </w:r>
      <w:r>
        <w:rPr>
          <w:rFonts w:hint="eastAsia" w:ascii="仿宋_GB2312" w:hAnsi="仿宋_GB2312" w:eastAsia="仿宋_GB2312" w:cs="仿宋_GB2312"/>
          <w:b w:val="0"/>
          <w:bCs w:val="0"/>
          <w:lang w:val="en-US" w:eastAsia="zh-CN"/>
        </w:rPr>
        <w:t>48</w:t>
      </w:r>
      <w:r>
        <w:rPr>
          <w:rFonts w:hint="eastAsia" w:ascii="仿宋_GB2312" w:hAnsi="仿宋_GB2312" w:eastAsia="仿宋_GB2312" w:cs="仿宋_GB2312"/>
          <w:b w:val="0"/>
          <w:bCs w:val="0"/>
        </w:rPr>
        <w:t>00个，充电桩1000个。</w:t>
      </w:r>
      <w:bookmarkEnd w:id="1099"/>
      <w:bookmarkEnd w:id="1100"/>
      <w:bookmarkEnd w:id="1101"/>
      <w:bookmarkEnd w:id="1102"/>
      <w:bookmarkEnd w:id="1103"/>
      <w:bookmarkEnd w:id="1104"/>
      <w:bookmarkEnd w:id="1105"/>
      <w:bookmarkStart w:id="1107" w:name="_Toc15647"/>
      <w:bookmarkStart w:id="1108" w:name="_Toc30280"/>
      <w:bookmarkStart w:id="1109" w:name="_Toc18028"/>
      <w:bookmarkStart w:id="1110" w:name="_Toc23693"/>
      <w:bookmarkStart w:id="1111" w:name="_Toc4896"/>
      <w:bookmarkStart w:id="1112" w:name="_Toc6057"/>
      <w:bookmarkStart w:id="1113" w:name="_Toc21276"/>
      <w:bookmarkStart w:id="1114" w:name="_Toc8754"/>
      <w:bookmarkStart w:id="1115" w:name="_Toc7187"/>
      <w:bookmarkStart w:id="1116" w:name="_Toc2166"/>
      <w:bookmarkStart w:id="1117" w:name="_Toc23559"/>
      <w:bookmarkStart w:id="1118" w:name="_Toc20460"/>
      <w:bookmarkStart w:id="1119" w:name="_Toc886213815"/>
      <w:bookmarkStart w:id="1120" w:name="_Toc25796"/>
      <w:bookmarkStart w:id="1121" w:name="_Toc8491"/>
    </w:p>
    <w:p w14:paraId="3029BAC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w:t>
      </w:r>
      <w:bookmarkEnd w:id="1107"/>
      <w:r>
        <w:rPr>
          <w:rFonts w:hint="eastAsia" w:ascii="仿宋_GB2312" w:hAnsi="仿宋_GB2312" w:eastAsia="仿宋_GB2312" w:cs="仿宋_GB2312"/>
          <w:b w:val="0"/>
          <w:bCs w:val="0"/>
          <w:lang w:val="en-US" w:eastAsia="zh-CN"/>
        </w:rPr>
        <w:t>大力</w:t>
      </w:r>
      <w:r>
        <w:rPr>
          <w:rFonts w:hint="eastAsia" w:ascii="仿宋_GB2312" w:hAnsi="仿宋_GB2312" w:eastAsia="仿宋_GB2312" w:cs="仿宋_GB2312"/>
          <w:b w:val="0"/>
          <w:bCs w:val="0"/>
        </w:rPr>
        <w:t>推进城市更新</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14:paraId="00330E6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推动城区从功能型向品质型跨越。坚持人民城市人民建、人民城市为人民，坚持把城市作为有机生命体系统谋划，中央生态轴通过青年会客厅等业态升级，强化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科技+自然</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的特色IP</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实施夜景提升和街道家具改造工程，打造特色商业街和夜间经济集聚区。激活历史与创新双基因。借鉴北京、上海城市更新经验，科学合理对我区老水泥厂、龙门煤矿等老工业厂房进行改造，植入艺术展馆等功能，建设主题展览馆、非遗工坊等设施。提升城区形象。通过建筑立面整治、景观小品设置、公共艺术植入等方式，提升街道空间品质。推进金融服务大厦、九嘉海港城等商业楼宇市场化运营，新增楼宇经济经营主体1500家以上。加速推进郑洛高速门户区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通过道路绿化与桥梁景观改造，塑造现代化城市窗口形象。</w:t>
      </w:r>
    </w:p>
    <w:p w14:paraId="4177438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122" w:name="_Toc31363"/>
      <w:bookmarkStart w:id="1123" w:name="_Toc602579023"/>
      <w:bookmarkStart w:id="1124" w:name="_Toc23292"/>
      <w:bookmarkStart w:id="1125" w:name="_Toc4637"/>
      <w:bookmarkStart w:id="1126" w:name="_Toc26168"/>
      <w:bookmarkStart w:id="1127" w:name="_Toc30076"/>
      <w:bookmarkStart w:id="1128" w:name="_Toc1205"/>
      <w:bookmarkStart w:id="1129" w:name="_Toc7554"/>
      <w:bookmarkStart w:id="1130" w:name="_Toc7264"/>
      <w:bookmarkStart w:id="1131" w:name="_Toc5484"/>
      <w:bookmarkStart w:id="1132" w:name="_Toc12414"/>
      <w:bookmarkStart w:id="1133" w:name="_Toc7125"/>
      <w:bookmarkStart w:id="1134" w:name="_Toc505"/>
      <w:bookmarkStart w:id="1135" w:name="_Toc19443"/>
      <w:r>
        <w:rPr>
          <w:rFonts w:hint="eastAsia" w:ascii="仿宋_GB2312" w:hAnsi="仿宋_GB2312" w:eastAsia="仿宋_GB2312" w:cs="仿宋_GB2312"/>
          <w:b w:val="0"/>
          <w:bCs w:val="0"/>
          <w:lang w:val="en-US" w:eastAsia="zh-CN"/>
        </w:rPr>
        <w:t>三</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打造</w:t>
      </w:r>
      <w:r>
        <w:rPr>
          <w:rFonts w:hint="eastAsia" w:ascii="仿宋_GB2312" w:hAnsi="仿宋_GB2312" w:eastAsia="仿宋_GB2312" w:cs="仿宋_GB2312"/>
          <w:b w:val="0"/>
          <w:bCs w:val="0"/>
        </w:rPr>
        <w:t>公园城市</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14:paraId="6010CFFA">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立足南靠万安山、北</w:t>
      </w:r>
      <w:r>
        <w:rPr>
          <w:rFonts w:hint="eastAsia" w:ascii="仿宋_GB2312" w:hAnsi="仿宋_GB2312" w:eastAsia="仿宋_GB2312" w:cs="仿宋_GB2312"/>
          <w:b w:val="0"/>
          <w:bCs w:val="0"/>
          <w:lang w:eastAsia="zh-CN"/>
        </w:rPr>
        <w:t>临</w:t>
      </w:r>
      <w:r>
        <w:rPr>
          <w:rFonts w:hint="eastAsia" w:ascii="仿宋_GB2312" w:hAnsi="仿宋_GB2312" w:eastAsia="仿宋_GB2312" w:cs="仿宋_GB2312"/>
          <w:b w:val="0"/>
          <w:bCs w:val="0"/>
        </w:rPr>
        <w:t>伊河的山水生态优势，以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生态优先、以人为本、山水共生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为理念，系统推进生态城区建设。打造公园城市，实施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全域增绿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战略，构建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城市公园－绿道－小游园－微绿地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四级城市绿化体系，构建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一区三带三廊</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公园城市空间格局，新增绿道30公里；按照居民出行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300米见绿，500米见园</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目标要求，通过见缝插绿、废弃空间再利用等方式建设口袋公园，新增口袋公园15个；绿地率达到48%以上，人均公园绿地18平方米。依托城市三条轴带、伊河、伊东渠和万安山，构建全区生态网络体系。持续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北国花城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行动计划，实现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处处有花、月月见花、城在花中、人在画中</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的城市景观，以高品质环境聚人气、添活力。创新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公园+</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复合模式，推动公园与体育、文化、旅游、科普、商业等功能有机融合，释放生态空间的多元价值。</w:t>
      </w:r>
    </w:p>
    <w:p w14:paraId="5BD098B6">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136" w:name="_Toc16914"/>
      <w:bookmarkStart w:id="1137" w:name="_Toc7"/>
      <w:bookmarkStart w:id="1138" w:name="_Toc31380"/>
      <w:bookmarkStart w:id="1139" w:name="_Toc20937"/>
      <w:bookmarkStart w:id="1140" w:name="_Toc10055"/>
      <w:bookmarkStart w:id="1141" w:name="_Toc24592"/>
      <w:bookmarkStart w:id="1142" w:name="_Toc18182"/>
      <w:bookmarkStart w:id="1143" w:name="_Toc23682"/>
      <w:bookmarkStart w:id="1144" w:name="_Toc18770"/>
      <w:bookmarkStart w:id="1145" w:name="_Toc14966"/>
      <w:bookmarkStart w:id="1146" w:name="_Toc14845"/>
      <w:bookmarkStart w:id="1147" w:name="_Toc10395"/>
      <w:bookmarkStart w:id="1148" w:name="_Toc8077"/>
      <w:bookmarkStart w:id="1149" w:name="_Toc1198109217"/>
    </w:p>
    <w:p w14:paraId="0007A5E8">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rPr>
      </w:pPr>
      <w:r>
        <w:rPr>
          <w:rFonts w:hint="eastAsia" w:ascii="黑体" w:hAnsi="黑体" w:eastAsia="黑体" w:cs="黑体"/>
          <w:b w:val="0"/>
          <w:bCs w:val="0"/>
          <w:lang w:val="en-US" w:eastAsia="zh-CN"/>
        </w:rPr>
        <w:t xml:space="preserve">第三节 </w:t>
      </w:r>
      <w:bookmarkEnd w:id="1136"/>
      <w:bookmarkEnd w:id="1137"/>
      <w:bookmarkEnd w:id="1138"/>
      <w:bookmarkEnd w:id="1139"/>
      <w:bookmarkEnd w:id="1140"/>
      <w:bookmarkEnd w:id="1141"/>
      <w:r>
        <w:rPr>
          <w:rFonts w:hint="eastAsia" w:ascii="黑体" w:hAnsi="黑体" w:eastAsia="黑体" w:cs="黑体"/>
          <w:b w:val="0"/>
          <w:bCs w:val="0"/>
          <w:lang w:val="en-US" w:eastAsia="zh-CN"/>
        </w:rPr>
        <w:t xml:space="preserve"> 建设安全可靠的韧性城市</w:t>
      </w:r>
      <w:bookmarkEnd w:id="1142"/>
      <w:bookmarkEnd w:id="1143"/>
      <w:bookmarkEnd w:id="1144"/>
      <w:bookmarkEnd w:id="1145"/>
      <w:bookmarkEnd w:id="1146"/>
      <w:bookmarkEnd w:id="1147"/>
      <w:bookmarkEnd w:id="1148"/>
      <w:bookmarkEnd w:id="1149"/>
    </w:p>
    <w:p w14:paraId="724EA9BF">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150" w:name="_Toc21996"/>
      <w:bookmarkStart w:id="1151" w:name="_Toc19972"/>
      <w:bookmarkStart w:id="1152" w:name="_Toc18836"/>
      <w:bookmarkStart w:id="1153" w:name="_Toc15899"/>
      <w:bookmarkStart w:id="1154" w:name="_Toc1407"/>
      <w:bookmarkStart w:id="1155" w:name="_Toc23452"/>
      <w:bookmarkStart w:id="1156" w:name="_Toc31615"/>
    </w:p>
    <w:p w14:paraId="06B3484D">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加大新型基础设施项目建设力度，努力打造集约高效、经济适用、智能绿色、安全可靠的现代化基础设施体系，兼顾国防需要，不断增强综合保障能力。</w:t>
      </w:r>
    </w:p>
    <w:p w14:paraId="407460F7">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157" w:name="_Toc17421"/>
      <w:bookmarkStart w:id="1158" w:name="_Toc3869"/>
      <w:bookmarkStart w:id="1159" w:name="_Toc973"/>
      <w:bookmarkStart w:id="1160" w:name="_Toc253640016"/>
      <w:bookmarkStart w:id="1161" w:name="_Toc5438"/>
      <w:bookmarkStart w:id="1162" w:name="_Toc24692"/>
      <w:bookmarkStart w:id="1163" w:name="_Toc7643"/>
      <w:bookmarkStart w:id="1164" w:name="_Toc16315"/>
      <w:r>
        <w:rPr>
          <w:rFonts w:hint="eastAsia" w:ascii="仿宋_GB2312" w:hAnsi="仿宋_GB2312" w:eastAsia="仿宋_GB2312" w:cs="仿宋_GB2312"/>
          <w:b w:val="0"/>
          <w:bCs w:val="0"/>
        </w:rPr>
        <w:t>一、</w:t>
      </w:r>
      <w:bookmarkEnd w:id="1150"/>
      <w:r>
        <w:rPr>
          <w:rFonts w:hint="eastAsia" w:ascii="仿宋_GB2312" w:hAnsi="仿宋_GB2312" w:eastAsia="仿宋_GB2312" w:cs="仿宋_GB2312"/>
          <w:b w:val="0"/>
          <w:bCs w:val="0"/>
        </w:rPr>
        <w:t>强化交通互联互通</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14:paraId="6AA13F3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强化外联通道，主动对接主城区及周边区域交通网络，持续提升对外联通能级。</w:t>
      </w:r>
      <w:r>
        <w:rPr>
          <w:rFonts w:hint="eastAsia" w:ascii="仿宋_GB2312" w:hAnsi="仿宋_GB2312" w:eastAsia="仿宋_GB2312" w:cs="仿宋_GB2312"/>
          <w:b w:val="0"/>
          <w:bCs w:val="0"/>
          <w:lang w:val="en-US" w:eastAsia="zh-CN"/>
        </w:rPr>
        <w:t>积极配合建成呼南高铁焦济洛平铁路伊滨段，提前谋划做好项目服务保障工作，确保项目建设高效推进。推动洛阳主管部门</w:t>
      </w:r>
      <w:r>
        <w:rPr>
          <w:rFonts w:hint="eastAsia" w:ascii="仿宋_GB2312" w:hAnsi="仿宋_GB2312" w:eastAsia="仿宋_GB2312" w:cs="仿宋_GB2312"/>
          <w:b w:val="0"/>
          <w:bCs w:val="0"/>
        </w:rPr>
        <w:t>实施伊滨区汉魏大道（伊河桥至中州东路）、光武大道（伊河桥至洛河桥）北延工程，光武大道（南山大道至渠滨路）、汉魏大道（南山大道至渠滨路）南延工程，以及西韩立交建设优化、郑洛高速伊滨段工程建设，做好区内G208建设的服务保障，推动万安山服务区申报为开放式服务区，实现与主城区30分钟通勤，强化与周边县区交通联动。完善内部路网，构建高效便捷的城市道路体系。打通主城区30条“断头路”，新增通车里程50公里，实施向东部庞村片区拓展的新源路、白塔路东延等城市道路以及庞村产业园区智创路、奋飞路等内部路网建设，提升城乡交通一体化水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实现较大自然村之间直连直通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开展农村公路提级改造，提高二级及以上公路占比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新改建</w:t>
      </w:r>
      <w:r>
        <w:rPr>
          <w:rFonts w:hint="eastAsia" w:ascii="仿宋_GB2312" w:hAnsi="仿宋_GB2312" w:eastAsia="仿宋_GB2312" w:cs="仿宋_GB2312"/>
          <w:b w:val="0"/>
          <w:bCs w:val="0"/>
        </w:rPr>
        <w:t>80公里农村公路，完善万安山服务区周边路网，进一步扩大农村公路生命防护工程覆盖范围</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重点加强产业园区、特色旅游村与外界的交通联系，以交通路网升级带动农村产业发展，助力城乡融合提质。</w:t>
      </w:r>
    </w:p>
    <w:p w14:paraId="7D25F44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165" w:name="_Toc10096"/>
      <w:bookmarkStart w:id="1166" w:name="_Toc2827"/>
      <w:bookmarkStart w:id="1167" w:name="_Toc2130"/>
      <w:bookmarkStart w:id="1168" w:name="_Toc16152"/>
      <w:bookmarkStart w:id="1169" w:name="_Toc484"/>
      <w:bookmarkStart w:id="1170" w:name="_Toc173"/>
      <w:bookmarkStart w:id="1171" w:name="_Toc8916"/>
      <w:bookmarkStart w:id="1172" w:name="_Toc4194"/>
      <w:bookmarkStart w:id="1173" w:name="_Toc14679"/>
      <w:bookmarkStart w:id="1174" w:name="_Toc15041"/>
      <w:bookmarkStart w:id="1175" w:name="_Toc1804728341"/>
      <w:bookmarkStart w:id="1176" w:name="_Toc1696"/>
      <w:bookmarkStart w:id="1177" w:name="_Toc31532"/>
      <w:bookmarkStart w:id="1178" w:name="_Toc15929"/>
      <w:bookmarkStart w:id="1179" w:name="_Toc18491"/>
      <w:r>
        <w:rPr>
          <w:rFonts w:hint="eastAsia" w:ascii="仿宋_GB2312" w:hAnsi="仿宋_GB2312" w:eastAsia="仿宋_GB2312" w:cs="仿宋_GB2312"/>
          <w:b w:val="0"/>
          <w:bCs w:val="0"/>
        </w:rPr>
        <w:t>二、</w:t>
      </w:r>
      <w:bookmarkEnd w:id="1165"/>
      <w:r>
        <w:rPr>
          <w:rFonts w:hint="eastAsia" w:ascii="仿宋_GB2312" w:hAnsi="仿宋_GB2312" w:eastAsia="仿宋_GB2312" w:cs="仿宋_GB2312"/>
          <w:b w:val="0"/>
          <w:bCs w:val="0"/>
        </w:rPr>
        <w:t>加强城市新型基础设施建设</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14:paraId="3419979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加大对公交场站、充电桩等设施的建设投入，持续优化新增公交线路，建设与现代化新城相匹配的公共交通服务设施，公交出行分担率达到60%以上。广泛应用智慧交通系统，建设智能交通管理系统，实现信号灯自适应控制和停车资源动态调配，使高峰时段拥堵指数下降20%。新建改造</w:t>
      </w:r>
      <w:r>
        <w:rPr>
          <w:rFonts w:hint="eastAsia" w:ascii="仿宋_GB2312" w:hAnsi="仿宋_GB2312" w:eastAsia="仿宋_GB2312" w:cs="仿宋_GB2312"/>
          <w:b w:val="0"/>
          <w:bCs w:val="0"/>
          <w:lang w:val="en-US" w:eastAsia="zh-CN"/>
        </w:rPr>
        <w:t>智能、舒适、安全</w:t>
      </w:r>
      <w:r>
        <w:rPr>
          <w:rFonts w:hint="eastAsia" w:ascii="仿宋_GB2312" w:hAnsi="仿宋_GB2312" w:eastAsia="仿宋_GB2312" w:cs="仿宋_GB2312"/>
          <w:b w:val="0"/>
          <w:bCs w:val="0"/>
        </w:rPr>
        <w:t>候车亭，</w:t>
      </w:r>
      <w:r>
        <w:rPr>
          <w:rFonts w:hint="eastAsia" w:ascii="仿宋_GB2312" w:hAnsi="仿宋_GB2312" w:eastAsia="仿宋_GB2312" w:cs="仿宋_GB2312"/>
          <w:b w:val="0"/>
          <w:bCs w:val="0"/>
          <w:lang w:val="en-US" w:eastAsia="zh-CN"/>
        </w:rPr>
        <w:t>加强与</w:t>
      </w:r>
      <w:r>
        <w:rPr>
          <w:rFonts w:hint="eastAsia" w:ascii="仿宋_GB2312" w:hAnsi="仿宋_GB2312" w:eastAsia="仿宋_GB2312" w:cs="仿宋_GB2312"/>
          <w:b w:val="0"/>
          <w:bCs w:val="0"/>
        </w:rPr>
        <w:t>智能零售等商业服务</w:t>
      </w:r>
      <w:r>
        <w:rPr>
          <w:rFonts w:hint="eastAsia" w:ascii="仿宋_GB2312" w:hAnsi="仿宋_GB2312" w:eastAsia="仿宋_GB2312" w:cs="仿宋_GB2312"/>
          <w:b w:val="0"/>
          <w:bCs w:val="0"/>
          <w:lang w:val="en-US" w:eastAsia="zh-CN"/>
        </w:rPr>
        <w:t>衔接</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坚持海绵城市理念，</w:t>
      </w:r>
      <w:r>
        <w:rPr>
          <w:rFonts w:hint="eastAsia" w:ascii="仿宋_GB2312" w:hAnsi="仿宋_GB2312" w:eastAsia="仿宋_GB2312" w:cs="仿宋_GB2312"/>
          <w:b w:val="0"/>
          <w:bCs w:val="0"/>
        </w:rPr>
        <w:t>全面升级供排水设施，重点推进管网改造与智慧水务系统建设，安装实时监测设备，降低漏损率并提升供水稳定性。新建新能源配套产业园污水处理厂、改扩建寇店污水处理厂等，</w:t>
      </w:r>
      <w:r>
        <w:rPr>
          <w:rFonts w:hint="eastAsia" w:ascii="仿宋_GB2312" w:hAnsi="仿宋_GB2312" w:eastAsia="仿宋_GB2312" w:cs="仿宋_GB2312"/>
          <w:b w:val="0"/>
          <w:bCs w:val="0"/>
          <w:highlight w:val="none"/>
        </w:rPr>
        <w:t>实现</w:t>
      </w:r>
      <w:r>
        <w:rPr>
          <w:rFonts w:hint="eastAsia" w:ascii="仿宋_GB2312" w:hAnsi="仿宋_GB2312" w:eastAsia="仿宋_GB2312" w:cs="仿宋_GB2312"/>
          <w:b w:val="0"/>
          <w:bCs w:val="0"/>
          <w:highlight w:val="none"/>
          <w:lang w:val="en-US" w:eastAsia="zh-CN"/>
        </w:rPr>
        <w:t>与</w:t>
      </w:r>
      <w:r>
        <w:rPr>
          <w:rFonts w:hint="eastAsia" w:ascii="仿宋_GB2312" w:hAnsi="仿宋_GB2312" w:eastAsia="仿宋_GB2312" w:cs="仿宋_GB2312"/>
          <w:b w:val="0"/>
          <w:bCs w:val="0"/>
          <w:highlight w:val="none"/>
        </w:rPr>
        <w:t>主城区之间污水管网互联互通。配套建设中</w:t>
      </w:r>
      <w:r>
        <w:rPr>
          <w:rFonts w:hint="eastAsia" w:ascii="仿宋_GB2312" w:hAnsi="仿宋_GB2312" w:eastAsia="仿宋_GB2312" w:cs="仿宋_GB2312"/>
          <w:b w:val="0"/>
          <w:bCs w:val="0"/>
        </w:rPr>
        <w:t>水回用系统，将再生水用于绿化灌溉及工业冷却，实现水资源循环利用。实施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河渠治理+智慧调控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双轨策略，重点推进酒流沟排洪渠、汉魏大道排洪渠、安澜排洪渠等项目，渠道拓宽并加固护坡，同步建设生态护岸以增强行洪能力。结合海绵城市建设，在公园、广场等公共空间增设雨水花园和蓄水池，通过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渗、滞、蓄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减缓地表径流压力。</w:t>
      </w:r>
    </w:p>
    <w:p w14:paraId="54D88A0A">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180" w:name="_Toc5857"/>
      <w:bookmarkStart w:id="1181" w:name="_Toc8882"/>
      <w:bookmarkStart w:id="1182" w:name="_Toc32602"/>
      <w:bookmarkStart w:id="1183" w:name="_Toc20382"/>
      <w:bookmarkStart w:id="1184" w:name="_Toc19622"/>
      <w:bookmarkStart w:id="1185" w:name="_Toc32479"/>
      <w:bookmarkStart w:id="1186" w:name="_Toc12794"/>
      <w:bookmarkStart w:id="1187" w:name="_Toc1799"/>
      <w:bookmarkStart w:id="1188" w:name="_Toc1534258267"/>
      <w:bookmarkStart w:id="1189" w:name="_Toc2001"/>
      <w:bookmarkStart w:id="1190" w:name="_Toc20901"/>
      <w:bookmarkStart w:id="1191" w:name="_Toc30897"/>
      <w:bookmarkStart w:id="1192" w:name="_Toc24180"/>
      <w:bookmarkStart w:id="1193" w:name="_Toc32185"/>
      <w:bookmarkStart w:id="1194" w:name="_Toc27482"/>
      <w:r>
        <w:rPr>
          <w:rFonts w:hint="eastAsia" w:ascii="仿宋_GB2312" w:hAnsi="仿宋_GB2312" w:eastAsia="仿宋_GB2312" w:cs="仿宋_GB2312"/>
          <w:b w:val="0"/>
          <w:bCs w:val="0"/>
        </w:rPr>
        <w:t>三、建设城市生命线系统</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14:paraId="12347ED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打牢城市生命线安全工程建设基础，全面摸清城市生命线安全风险底数，形成安全风险清单，建设覆盖地上地下的城市生命线安全工程数据库。建设城市生命线安全工程监测平台，以城市生命线安全风险评估为依据，布设物联感知设施设备，形成城市生命线各领域监测感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一张网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，在城市运行管理服务平台上建设城市生命线安全运行监测系统，推动城市生命线安全运行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一网统管</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。完善城市生命线安全运行监测保障体系，依托城市运行管理服务中心，组</w:t>
      </w:r>
      <w:r>
        <w:rPr>
          <w:rFonts w:hint="eastAsia" w:ascii="仿宋_GB2312" w:hAnsi="仿宋_GB2312" w:eastAsia="仿宋_GB2312" w:cs="仿宋_GB2312"/>
          <w:b w:val="0"/>
          <w:bCs w:val="0"/>
          <w:lang w:val="en-US" w:eastAsia="zh-CN"/>
        </w:rPr>
        <w:t>建</w:t>
      </w:r>
      <w:r>
        <w:rPr>
          <w:rFonts w:hint="eastAsia" w:ascii="仿宋_GB2312" w:hAnsi="仿宋_GB2312" w:eastAsia="仿宋_GB2312" w:cs="仿宋_GB2312"/>
          <w:b w:val="0"/>
          <w:bCs w:val="0"/>
        </w:rPr>
        <w:t>城市生命线安全运行管理专业人员队伍，制定城市生命线安全工程应急处置预案，形成部门协同、政企联动、快速高效的城市生命线安全运行管理机制。结合人口密度与灾害风险分区，建设避难场所，利用公园绿地、学校操场等开放空间，实现平急两用；布局应急救灾和物资储备系统，加强</w:t>
      </w:r>
      <w:r>
        <w:rPr>
          <w:rFonts w:hint="eastAsia" w:ascii="仿宋_GB2312" w:hAnsi="仿宋_GB2312" w:eastAsia="仿宋_GB2312" w:cs="仿宋_GB2312"/>
          <w:b w:val="0"/>
          <w:bCs w:val="0"/>
          <w:spacing w:val="-4"/>
          <w:sz w:val="32"/>
        </w:rPr>
        <w:t>人民防空设施等“平急两用”公共基础设施的规划建设，开展防灾演练，制定大型公共设施平疫转换预案，提升应对突发事件能力。</w:t>
      </w:r>
    </w:p>
    <w:p w14:paraId="11946D07">
      <w:pPr>
        <w:pageBreakBefore w:val="0"/>
        <w:widowControl w:val="0"/>
        <w:kinsoku/>
        <w:wordWrap/>
        <w:topLinePunct w:val="0"/>
        <w:bidi w:val="0"/>
        <w:spacing w:line="600" w:lineRule="exact"/>
        <w:rPr>
          <w:rFonts w:hint="eastAsia" w:ascii="仿宋_GB2312" w:hAnsi="仿宋_GB2312" w:eastAsia="仿宋_GB2312" w:cs="仿宋_GB2312"/>
          <w:b w:val="0"/>
          <w:bCs w:val="0"/>
        </w:rPr>
      </w:pPr>
    </w:p>
    <w:tbl>
      <w:tblPr>
        <w:tblStyle w:val="34"/>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1"/>
      </w:tblGrid>
      <w:tr w14:paraId="1AC1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711" w:type="dxa"/>
          </w:tcPr>
          <w:p w14:paraId="4F9B993C">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kern w:val="2"/>
                <w:vertAlign w:val="baseline"/>
                <w:lang w:eastAsia="zh-CN"/>
              </w:rPr>
            </w:pPr>
            <w:r>
              <w:rPr>
                <w:rFonts w:hint="eastAsia" w:ascii="黑体" w:hAnsi="黑体" w:eastAsia="黑体" w:cs="黑体"/>
                <w:b w:val="0"/>
                <w:bCs w:val="0"/>
                <w:color w:val="auto"/>
                <w:kern w:val="2"/>
                <w:sz w:val="28"/>
                <w:szCs w:val="28"/>
                <w:lang w:val="en-US" w:eastAsia="zh-CN"/>
              </w:rPr>
              <w:t>专栏6-1    韧性城市建设项目</w:t>
            </w:r>
          </w:p>
        </w:tc>
      </w:tr>
      <w:tr w14:paraId="130E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1" w:type="dxa"/>
          </w:tcPr>
          <w:p w14:paraId="5A16BF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firstLine="560" w:firstLineChars="200"/>
              <w:jc w:val="left"/>
              <w:textAlignment w:val="auto"/>
              <w:rPr>
                <w:rFonts w:hint="eastAsia" w:ascii="仿宋_GB2312" w:hAnsi="仿宋_GB2312" w:eastAsia="仿宋_GB2312" w:cs="仿宋_GB2312"/>
                <w:b w:val="0"/>
                <w:bCs w:val="0"/>
                <w:kern w:val="2"/>
                <w:sz w:val="28"/>
                <w:szCs w:val="28"/>
              </w:rPr>
            </w:pPr>
            <w:r>
              <w:rPr>
                <w:rFonts w:hint="eastAsia" w:ascii="仿宋_GB2312" w:hAnsi="仿宋_GB2312" w:eastAsia="仿宋_GB2312" w:cs="仿宋_GB2312"/>
                <w:b w:val="0"/>
                <w:bCs w:val="0"/>
                <w:kern w:val="2"/>
                <w:sz w:val="28"/>
                <w:szCs w:val="28"/>
                <w:lang w:val="en-US" w:eastAsia="zh-CN"/>
              </w:rPr>
              <w:t>现代基础设施项目。加快</w:t>
            </w:r>
            <w:r>
              <w:rPr>
                <w:rFonts w:hint="eastAsia" w:ascii="仿宋_GB2312" w:hAnsi="仿宋_GB2312" w:eastAsia="仿宋_GB2312" w:cs="仿宋_GB2312"/>
                <w:b w:val="0"/>
                <w:bCs w:val="0"/>
                <w:kern w:val="2"/>
                <w:sz w:val="28"/>
                <w:szCs w:val="28"/>
              </w:rPr>
              <w:t>西韩立交至伊川快速路</w:t>
            </w:r>
            <w:r>
              <w:rPr>
                <w:rFonts w:hint="eastAsia" w:ascii="仿宋_GB2312" w:hAnsi="仿宋_GB2312" w:eastAsia="仿宋_GB2312" w:cs="仿宋_GB2312"/>
                <w:b w:val="0"/>
                <w:bCs w:val="0"/>
                <w:kern w:val="2"/>
                <w:sz w:val="28"/>
                <w:szCs w:val="28"/>
                <w:lang w:eastAsia="zh-CN"/>
              </w:rPr>
              <w:t>、</w:t>
            </w:r>
            <w:r>
              <w:rPr>
                <w:rFonts w:hint="eastAsia" w:ascii="仿宋_GB2312" w:hAnsi="仿宋_GB2312" w:eastAsia="仿宋_GB2312" w:cs="仿宋_GB2312"/>
                <w:b w:val="0"/>
                <w:bCs w:val="0"/>
                <w:kern w:val="2"/>
                <w:sz w:val="28"/>
                <w:szCs w:val="28"/>
              </w:rPr>
              <w:t>光武大道南延</w:t>
            </w:r>
            <w:r>
              <w:rPr>
                <w:rFonts w:hint="eastAsia" w:ascii="仿宋_GB2312" w:hAnsi="仿宋_GB2312" w:eastAsia="仿宋_GB2312" w:cs="仿宋_GB2312"/>
                <w:b w:val="0"/>
                <w:bCs w:val="0"/>
                <w:kern w:val="2"/>
                <w:sz w:val="28"/>
                <w:szCs w:val="28"/>
                <w:lang w:eastAsia="zh-CN"/>
              </w:rPr>
              <w:t>、</w:t>
            </w:r>
            <w:r>
              <w:rPr>
                <w:rFonts w:hint="eastAsia" w:ascii="仿宋_GB2312" w:hAnsi="仿宋_GB2312" w:eastAsia="仿宋_GB2312" w:cs="仿宋_GB2312"/>
                <w:b w:val="0"/>
                <w:bCs w:val="0"/>
                <w:kern w:val="2"/>
                <w:sz w:val="28"/>
                <w:szCs w:val="28"/>
              </w:rPr>
              <w:t>南山大道提升改造</w:t>
            </w:r>
            <w:r>
              <w:rPr>
                <w:rFonts w:hint="eastAsia" w:ascii="仿宋_GB2312" w:hAnsi="仿宋_GB2312" w:eastAsia="仿宋_GB2312" w:cs="仿宋_GB2312"/>
                <w:b w:val="0"/>
                <w:bCs w:val="0"/>
                <w:kern w:val="2"/>
                <w:sz w:val="28"/>
                <w:szCs w:val="28"/>
                <w:lang w:val="en-US" w:eastAsia="zh-CN"/>
              </w:rPr>
              <w:t>等项目建设；谋划城市基础设施建设项目68个，城市防洪排涝建设项目9个。</w:t>
            </w:r>
          </w:p>
        </w:tc>
      </w:tr>
    </w:tbl>
    <w:p w14:paraId="721EDF4F">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bookmarkStart w:id="1195" w:name="_Toc29747"/>
      <w:bookmarkStart w:id="1196" w:name="_Toc16601"/>
      <w:bookmarkStart w:id="1197" w:name="_Toc27078"/>
      <w:bookmarkStart w:id="1198" w:name="_Toc13510"/>
      <w:bookmarkStart w:id="1199" w:name="_Toc8459"/>
      <w:bookmarkStart w:id="1200" w:name="_Toc25579"/>
      <w:bookmarkStart w:id="1201" w:name="_Toc24860"/>
      <w:bookmarkStart w:id="1202" w:name="_Toc16873"/>
      <w:bookmarkStart w:id="1203" w:name="_Toc12813"/>
      <w:bookmarkStart w:id="1204" w:name="_Toc1188129338"/>
      <w:bookmarkStart w:id="1205" w:name="_Toc20143"/>
      <w:bookmarkStart w:id="1206" w:name="_Toc1882"/>
      <w:bookmarkStart w:id="1207" w:name="_Toc7010"/>
      <w:bookmarkStart w:id="1208" w:name="_Toc5568"/>
      <w:bookmarkStart w:id="1209" w:name="_Toc16890"/>
      <w:r>
        <w:rPr>
          <w:rFonts w:hint="eastAsia" w:ascii="黑体" w:hAnsi="黑体" w:eastAsia="黑体" w:cs="黑体"/>
          <w:b w:val="0"/>
          <w:bCs w:val="0"/>
        </w:rPr>
        <w:t>第</w:t>
      </w:r>
      <w:r>
        <w:rPr>
          <w:rFonts w:hint="eastAsia" w:ascii="黑体" w:hAnsi="黑体" w:eastAsia="黑体" w:cs="黑体"/>
          <w:b w:val="0"/>
          <w:bCs w:val="0"/>
          <w:lang w:val="en-US" w:eastAsia="zh-CN"/>
        </w:rPr>
        <w:t>四</w:t>
      </w:r>
      <w:r>
        <w:rPr>
          <w:rFonts w:hint="eastAsia" w:ascii="黑体" w:hAnsi="黑体" w:eastAsia="黑体" w:cs="黑体"/>
          <w:b w:val="0"/>
          <w:bCs w:val="0"/>
        </w:rPr>
        <w:t>节</w:t>
      </w:r>
      <w:bookmarkEnd w:id="1195"/>
      <w:r>
        <w:rPr>
          <w:rFonts w:hint="eastAsia" w:ascii="黑体" w:hAnsi="黑体" w:eastAsia="黑体" w:cs="黑体"/>
          <w:b w:val="0"/>
          <w:bCs w:val="0"/>
          <w:lang w:val="en-US" w:eastAsia="zh-CN"/>
        </w:rPr>
        <w:t xml:space="preserve">  </w:t>
      </w:r>
      <w:r>
        <w:rPr>
          <w:rFonts w:hint="eastAsia" w:ascii="黑体" w:hAnsi="黑体" w:eastAsia="黑体" w:cs="黑体"/>
          <w:b w:val="0"/>
          <w:bCs w:val="0"/>
        </w:rPr>
        <w:t>建设便捷高效的智慧城市</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14:paraId="51CBF45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val="0"/>
          <w:bCs w:val="0"/>
        </w:rPr>
      </w:pPr>
    </w:p>
    <w:p w14:paraId="4DC3CBB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服务群众、提升治理效能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核心，构建基础设施完善、数据互联互通、服务精准高效、治理科学有序的智慧城市体系，实现对城市生命线、公共安全、生态环境、交通路网等关键领域的全天候、全周期动态感知与智能调控，重大突发事件的智能预警准确率提升至90%以上，跨部门协同处置效率提升50%。</w:t>
      </w:r>
    </w:p>
    <w:p w14:paraId="39B0D7F5">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210" w:name="_Toc31708"/>
      <w:bookmarkStart w:id="1211" w:name="_Toc1142446339"/>
      <w:bookmarkStart w:id="1212" w:name="_Toc22825"/>
      <w:bookmarkStart w:id="1213" w:name="_Toc5696"/>
      <w:bookmarkStart w:id="1214" w:name="_Toc3589"/>
      <w:bookmarkStart w:id="1215" w:name="_Toc3097"/>
      <w:bookmarkStart w:id="1216" w:name="_Toc19391"/>
      <w:bookmarkStart w:id="1217" w:name="_Toc21564"/>
      <w:bookmarkStart w:id="1218" w:name="_Toc22412"/>
      <w:bookmarkStart w:id="1219" w:name="_Toc1770"/>
      <w:bookmarkStart w:id="1220" w:name="_Toc18229"/>
      <w:bookmarkStart w:id="1221" w:name="_Toc30909"/>
      <w:bookmarkStart w:id="1222" w:name="_Toc20750"/>
      <w:bookmarkStart w:id="1223" w:name="_Toc10579"/>
      <w:bookmarkStart w:id="1224" w:name="_Toc25305"/>
      <w:r>
        <w:rPr>
          <w:rFonts w:hint="eastAsia" w:ascii="仿宋_GB2312" w:hAnsi="仿宋_GB2312" w:eastAsia="仿宋_GB2312" w:cs="仿宋_GB2312"/>
          <w:b w:val="0"/>
          <w:bCs w:val="0"/>
        </w:rPr>
        <w:t>一、</w:t>
      </w:r>
      <w:bookmarkEnd w:id="1210"/>
      <w:r>
        <w:rPr>
          <w:rFonts w:hint="eastAsia" w:ascii="仿宋_GB2312" w:hAnsi="仿宋_GB2312" w:eastAsia="仿宋_GB2312" w:cs="仿宋_GB2312"/>
          <w:b w:val="0"/>
          <w:bCs w:val="0"/>
          <w:lang w:val="en-US" w:eastAsia="zh-CN"/>
        </w:rPr>
        <w:t>强化</w:t>
      </w:r>
      <w:r>
        <w:rPr>
          <w:rFonts w:hint="eastAsia" w:ascii="仿宋_GB2312" w:hAnsi="仿宋_GB2312" w:eastAsia="仿宋_GB2312" w:cs="仿宋_GB2312"/>
          <w:b w:val="0"/>
          <w:bCs w:val="0"/>
        </w:rPr>
        <w:t>基础设施智能化</w:t>
      </w:r>
      <w:r>
        <w:rPr>
          <w:rFonts w:hint="eastAsia" w:ascii="仿宋_GB2312" w:hAnsi="仿宋_GB2312" w:eastAsia="仿宋_GB2312" w:cs="仿宋_GB2312"/>
          <w:b w:val="0"/>
          <w:bCs w:val="0"/>
          <w:lang w:val="en-US" w:eastAsia="zh-CN"/>
        </w:rPr>
        <w:t>应用</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14:paraId="0038066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结合科技新城的战略定位，以实现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万物智联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为目标，构建覆盖全域、泛在接入、智能协同的物联网基础支撑体系。加强感知网络建设，在交通管控、市政运维、公共安防、生态环保等重点领域，规模化部署NB-IoT、5G感知终端，织密城市</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神经网络</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，实现重点场景动态感知。</w:t>
      </w:r>
      <w:r>
        <w:rPr>
          <w:rFonts w:hint="eastAsia" w:ascii="仿宋_GB2312" w:hAnsi="仿宋_GB2312" w:eastAsia="仿宋_GB2312" w:cs="仿宋_GB2312"/>
          <w:b w:val="0"/>
          <w:bCs w:val="0"/>
          <w:lang w:val="en-US" w:eastAsia="zh-CN"/>
        </w:rPr>
        <w:t>利用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城市大脑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成熟技术架构与运营模式，建设城市信息模型（CIM）平台，整合地理空间数据、建筑三维信息、物联网实时感知数据等多源信息，实现物理城市与数字城市精准映射、动态交互</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形成</w:t>
      </w:r>
      <w:r>
        <w:rPr>
          <w:rFonts w:hint="eastAsia" w:ascii="仿宋_GB2312" w:hAnsi="仿宋_GB2312" w:eastAsia="仿宋_GB2312" w:cs="仿宋_GB2312"/>
          <w:b w:val="0"/>
          <w:bCs w:val="0"/>
          <w:lang w:val="en-US" w:eastAsia="zh-CN"/>
        </w:rPr>
        <w:t>智能</w:t>
      </w:r>
      <w:r>
        <w:rPr>
          <w:rFonts w:hint="eastAsia" w:ascii="仿宋_GB2312" w:hAnsi="仿宋_GB2312" w:eastAsia="仿宋_GB2312" w:cs="仿宋_GB2312"/>
          <w:b w:val="0"/>
          <w:bCs w:val="0"/>
        </w:rPr>
        <w:t>设备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管、控、营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一体化管理闭环。优化跨部门协同机制，优化智慧城管系统部署，建成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一屏统览、一网统管</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的全区运行态势指挥界面。</w:t>
      </w:r>
    </w:p>
    <w:p w14:paraId="005992CE">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225" w:name="_Toc6144"/>
      <w:bookmarkStart w:id="1226" w:name="_Toc10615"/>
      <w:bookmarkStart w:id="1227" w:name="_Toc25060"/>
      <w:bookmarkStart w:id="1228" w:name="_Toc2003095223"/>
      <w:bookmarkStart w:id="1229" w:name="_Toc18551"/>
      <w:bookmarkStart w:id="1230" w:name="_Toc6785"/>
      <w:bookmarkStart w:id="1231" w:name="_Toc18969"/>
      <w:bookmarkStart w:id="1232" w:name="_Toc24571"/>
      <w:bookmarkStart w:id="1233" w:name="_Toc21083"/>
      <w:bookmarkStart w:id="1234" w:name="_Toc1782"/>
      <w:bookmarkStart w:id="1235" w:name="_Toc15413"/>
      <w:bookmarkStart w:id="1236" w:name="_Toc7041"/>
      <w:bookmarkStart w:id="1237" w:name="_Toc20591"/>
      <w:bookmarkStart w:id="1238" w:name="_Toc17476"/>
      <w:bookmarkStart w:id="1239" w:name="_Toc18017"/>
      <w:r>
        <w:rPr>
          <w:rFonts w:hint="eastAsia" w:ascii="仿宋_GB2312" w:hAnsi="仿宋_GB2312" w:eastAsia="仿宋_GB2312" w:cs="仿宋_GB2312"/>
          <w:b w:val="0"/>
          <w:bCs w:val="0"/>
        </w:rPr>
        <w:t>二、推进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人工智能+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14:paraId="07619AF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探索运用人工智能技术，打造</w:t>
      </w:r>
      <w:r>
        <w:rPr>
          <w:rFonts w:hint="eastAsia" w:ascii="仿宋_GB2312" w:hAnsi="仿宋_GB2312" w:eastAsia="仿宋_GB2312" w:cs="仿宋_GB2312"/>
          <w:b w:val="0"/>
          <w:bCs w:val="0"/>
          <w:lang w:val="en-US" w:eastAsia="zh-CN"/>
        </w:rPr>
        <w:t>全天候全领域</w:t>
      </w:r>
      <w:r>
        <w:rPr>
          <w:rFonts w:hint="eastAsia" w:ascii="仿宋_GB2312" w:hAnsi="仿宋_GB2312" w:eastAsia="仿宋_GB2312" w:cs="仿宋_GB2312"/>
          <w:b w:val="0"/>
          <w:bCs w:val="0"/>
        </w:rPr>
        <w:t>在线的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智能客服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，提供智能引导、智能问答、智能预审服务，持续提升政务服务的便捷度和满意度。在城市管理、安全生产等监管领域，深化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人工智能+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建设，实现风险隐患的自动识别、智能预警和闭环处置。</w:t>
      </w:r>
    </w:p>
    <w:p w14:paraId="4682CB70">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240" w:name="_Toc869790209"/>
      <w:bookmarkStart w:id="1241" w:name="_Toc31123"/>
      <w:bookmarkStart w:id="1242" w:name="_Toc31518"/>
      <w:bookmarkStart w:id="1243" w:name="_Toc31277"/>
      <w:bookmarkStart w:id="1244" w:name="_Toc29938"/>
      <w:bookmarkStart w:id="1245" w:name="_Toc31192"/>
      <w:bookmarkStart w:id="1246" w:name="_Toc1647"/>
      <w:bookmarkStart w:id="1247" w:name="_Toc21084"/>
      <w:bookmarkStart w:id="1248" w:name="_Toc7964"/>
      <w:bookmarkStart w:id="1249" w:name="_Toc28859"/>
      <w:bookmarkStart w:id="1250" w:name="_Toc18128"/>
      <w:bookmarkStart w:id="1251" w:name="_Toc4541"/>
      <w:bookmarkStart w:id="1252" w:name="_Toc14962"/>
      <w:bookmarkStart w:id="1253" w:name="_Toc27436"/>
      <w:r>
        <w:rPr>
          <w:rFonts w:hint="eastAsia" w:ascii="仿宋_GB2312" w:hAnsi="仿宋_GB2312" w:eastAsia="仿宋_GB2312" w:cs="仿宋_GB2312"/>
          <w:b w:val="0"/>
          <w:bCs w:val="0"/>
        </w:rPr>
        <w:t>三、建立数据驱动的科学决策机制</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22C3541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构建经济社会运行大数据平台，整合宏观经济、产业发展、科技创新、城市建设、民生服务等多维度数据，对重大项目布局、交通规划、公共资源配置等决策进行模拟评估，提升决策的前瞻性和科学性；动态评估产业链、供应链的稳定性和竞争力，为产业政策制定和精准招商提供科学依据，全面提升政府决策的科学性和前瞻性。</w:t>
      </w:r>
    </w:p>
    <w:p w14:paraId="5D442711">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tbl>
      <w:tblPr>
        <w:tblStyle w:val="34"/>
        <w:tblW w:w="0" w:type="auto"/>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8"/>
      </w:tblGrid>
      <w:tr w14:paraId="6926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78" w:type="dxa"/>
          </w:tcPr>
          <w:p w14:paraId="1F1BE028">
            <w:pPr>
              <w:keepNext w:val="0"/>
              <w:keepLines w:val="0"/>
              <w:pageBreakBefore w:val="0"/>
              <w:widowControl w:val="0"/>
              <w:suppressLineNumbers w:val="0"/>
              <w:kinsoku/>
              <w:wordWrap/>
              <w:topLinePunct w:val="0"/>
              <w:bidi w:val="0"/>
              <w:spacing w:before="0" w:beforeAutospacing="0" w:after="0" w:afterAutospacing="0" w:line="600" w:lineRule="exact"/>
              <w:ind w:left="0" w:leftChars="0" w:right="0" w:firstLine="0" w:firstLineChars="0"/>
              <w:jc w:val="center"/>
              <w:rPr>
                <w:rFonts w:hint="eastAsia" w:ascii="仿宋_GB2312" w:hAnsi="仿宋_GB2312" w:eastAsia="仿宋_GB2312" w:cs="仿宋_GB2312"/>
                <w:b w:val="0"/>
                <w:bCs w:val="0"/>
                <w:color w:val="00B050"/>
                <w:kern w:val="2"/>
                <w:sz w:val="28"/>
                <w:szCs w:val="28"/>
                <w:lang w:val="en-US" w:eastAsia="zh-CN"/>
              </w:rPr>
            </w:pPr>
            <w:r>
              <w:rPr>
                <w:rFonts w:hint="eastAsia" w:ascii="黑体" w:hAnsi="黑体" w:eastAsia="黑体" w:cs="黑体"/>
                <w:b w:val="0"/>
                <w:bCs w:val="0"/>
                <w:color w:val="auto"/>
                <w:kern w:val="2"/>
                <w:sz w:val="28"/>
                <w:szCs w:val="28"/>
              </w:rPr>
              <w:t>专栏</w:t>
            </w:r>
            <w:r>
              <w:rPr>
                <w:rFonts w:hint="eastAsia" w:ascii="黑体" w:hAnsi="黑体" w:eastAsia="黑体" w:cs="黑体"/>
                <w:b w:val="0"/>
                <w:bCs w:val="0"/>
                <w:color w:val="auto"/>
                <w:kern w:val="2"/>
                <w:sz w:val="28"/>
                <w:szCs w:val="28"/>
                <w:lang w:val="en-US" w:eastAsia="zh-CN"/>
              </w:rPr>
              <w:t xml:space="preserve"> 6-2    智慧</w:t>
            </w:r>
            <w:r>
              <w:rPr>
                <w:rFonts w:hint="eastAsia" w:ascii="黑体" w:hAnsi="黑体" w:eastAsia="黑体" w:cs="黑体"/>
                <w:b w:val="0"/>
                <w:bCs w:val="0"/>
                <w:color w:val="auto"/>
                <w:kern w:val="2"/>
                <w:sz w:val="28"/>
                <w:szCs w:val="28"/>
              </w:rPr>
              <w:t>城市</w:t>
            </w:r>
            <w:r>
              <w:rPr>
                <w:rFonts w:hint="eastAsia" w:ascii="黑体" w:hAnsi="黑体" w:eastAsia="黑体" w:cs="黑体"/>
                <w:b w:val="0"/>
                <w:bCs w:val="0"/>
                <w:color w:val="auto"/>
                <w:kern w:val="2"/>
                <w:sz w:val="28"/>
                <w:szCs w:val="28"/>
                <w:lang w:val="en-US" w:eastAsia="zh-CN"/>
              </w:rPr>
              <w:t>建设项目</w:t>
            </w:r>
          </w:p>
        </w:tc>
      </w:tr>
      <w:tr w14:paraId="5B1F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8" w:type="dxa"/>
          </w:tcPr>
          <w:p w14:paraId="64D71D64">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jc w:val="both"/>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lang w:val="en-US" w:eastAsia="zh-CN"/>
              </w:rPr>
              <w:t>城市更新项目。加快建设</w:t>
            </w:r>
            <w:r>
              <w:rPr>
                <w:rFonts w:hint="eastAsia" w:ascii="仿宋_GB2312" w:hAnsi="仿宋_GB2312" w:eastAsia="仿宋_GB2312" w:cs="仿宋_GB2312"/>
                <w:b w:val="0"/>
                <w:bCs w:val="0"/>
                <w:color w:val="auto"/>
                <w:kern w:val="2"/>
                <w:sz w:val="28"/>
                <w:szCs w:val="28"/>
              </w:rPr>
              <w:t>智慧城管</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中央公园</w:t>
            </w:r>
            <w:r>
              <w:rPr>
                <w:rFonts w:hint="eastAsia" w:ascii="仿宋_GB2312" w:hAnsi="仿宋_GB2312" w:eastAsia="仿宋_GB2312" w:cs="仿宋_GB2312"/>
                <w:b w:val="0"/>
                <w:bCs w:val="0"/>
                <w:color w:val="auto"/>
                <w:kern w:val="2"/>
                <w:sz w:val="28"/>
                <w:szCs w:val="28"/>
                <w:lang w:val="en-US" w:eastAsia="zh-CN"/>
              </w:rPr>
              <w:t>改造提升等项目。谋划</w:t>
            </w:r>
            <w:r>
              <w:rPr>
                <w:rFonts w:hint="eastAsia" w:ascii="仿宋_GB2312" w:hAnsi="仿宋_GB2312" w:eastAsia="仿宋_GB2312" w:cs="仿宋_GB2312"/>
                <w:b w:val="0"/>
                <w:bCs w:val="0"/>
                <w:color w:val="auto"/>
                <w:kern w:val="2"/>
                <w:sz w:val="28"/>
                <w:szCs w:val="28"/>
              </w:rPr>
              <w:t>完整社区建设项目17个</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停车场建设项目1</w:t>
            </w:r>
            <w:r>
              <w:rPr>
                <w:rFonts w:hint="eastAsia" w:ascii="仿宋_GB2312" w:hAnsi="仿宋_GB2312" w:eastAsia="仿宋_GB2312" w:cs="仿宋_GB2312"/>
                <w:b w:val="0"/>
                <w:bCs w:val="0"/>
                <w:color w:val="auto"/>
                <w:kern w:val="2"/>
                <w:sz w:val="28"/>
                <w:szCs w:val="28"/>
                <w:lang w:val="en-US" w:eastAsia="zh-CN"/>
              </w:rPr>
              <w:t>6</w:t>
            </w:r>
            <w:r>
              <w:rPr>
                <w:rFonts w:hint="eastAsia" w:ascii="仿宋_GB2312" w:hAnsi="仿宋_GB2312" w:eastAsia="仿宋_GB2312" w:cs="仿宋_GB2312"/>
                <w:b w:val="0"/>
                <w:bCs w:val="0"/>
                <w:color w:val="auto"/>
                <w:kern w:val="2"/>
                <w:sz w:val="28"/>
                <w:szCs w:val="28"/>
              </w:rPr>
              <w:t>个</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市政道路建设项目30个。</w:t>
            </w:r>
          </w:p>
          <w:p w14:paraId="26941A41">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jc w:val="both"/>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val="en-US" w:eastAsia="zh-CN"/>
              </w:rPr>
              <w:t>城市</w:t>
            </w:r>
            <w:r>
              <w:rPr>
                <w:rFonts w:hint="eastAsia" w:ascii="仿宋_GB2312" w:hAnsi="仿宋_GB2312" w:eastAsia="仿宋_GB2312" w:cs="仿宋_GB2312"/>
                <w:b w:val="0"/>
                <w:bCs w:val="0"/>
                <w:color w:val="auto"/>
                <w:kern w:val="2"/>
                <w:sz w:val="28"/>
                <w:szCs w:val="28"/>
              </w:rPr>
              <w:t>提质</w:t>
            </w:r>
            <w:r>
              <w:rPr>
                <w:rFonts w:hint="eastAsia" w:ascii="仿宋_GB2312" w:hAnsi="仿宋_GB2312" w:eastAsia="仿宋_GB2312" w:cs="仿宋_GB2312"/>
                <w:b w:val="0"/>
                <w:bCs w:val="0"/>
                <w:color w:val="auto"/>
                <w:kern w:val="2"/>
                <w:sz w:val="28"/>
                <w:szCs w:val="28"/>
                <w:lang w:val="en-US" w:eastAsia="zh-CN"/>
              </w:rPr>
              <w:t>项目。加快推进黄河流域生态修复龙门煤矿治理、老旧水泥厂改造等项目；谋划住房品质提升建设项目34个。</w:t>
            </w:r>
          </w:p>
        </w:tc>
      </w:tr>
    </w:tbl>
    <w:p w14:paraId="746C2CC0">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p w14:paraId="6B02B434">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bookmarkStart w:id="1254" w:name="_Toc30457"/>
      <w:bookmarkStart w:id="1255" w:name="_Toc215857924"/>
      <w:bookmarkStart w:id="1256" w:name="_Toc4391"/>
      <w:bookmarkStart w:id="1257" w:name="_Toc5301"/>
      <w:bookmarkStart w:id="1258" w:name="_Toc11171"/>
      <w:bookmarkStart w:id="1259" w:name="_Toc32320"/>
      <w:bookmarkStart w:id="1260" w:name="_Toc17017"/>
      <w:bookmarkStart w:id="1261" w:name="_Toc18855"/>
      <w:bookmarkStart w:id="1262" w:name="_Toc19066"/>
      <w:bookmarkStart w:id="1263" w:name="_Toc6898"/>
      <w:bookmarkStart w:id="1264" w:name="_Toc12978"/>
      <w:bookmarkStart w:id="1265" w:name="_Toc27828"/>
      <w:bookmarkStart w:id="1266" w:name="_Toc27969"/>
      <w:bookmarkStart w:id="1267" w:name="_Toc232884744"/>
      <w:bookmarkStart w:id="1268" w:name="_Toc12847"/>
      <w:bookmarkStart w:id="1269" w:name="_Toc32257"/>
      <w:r>
        <w:rPr>
          <w:rFonts w:hint="eastAsia" w:ascii="黑体" w:hAnsi="黑体" w:eastAsia="黑体" w:cs="黑体"/>
          <w:b w:val="0"/>
          <w:bCs w:val="0"/>
        </w:rPr>
        <w:t>第</w:t>
      </w:r>
      <w:r>
        <w:rPr>
          <w:rFonts w:hint="eastAsia" w:ascii="黑体" w:hAnsi="黑体" w:eastAsia="黑体" w:cs="黑体"/>
          <w:b w:val="0"/>
          <w:bCs w:val="0"/>
          <w:lang w:val="en-US" w:eastAsia="zh-CN"/>
        </w:rPr>
        <w:t>七</w:t>
      </w:r>
      <w:r>
        <w:rPr>
          <w:rFonts w:hint="eastAsia" w:ascii="黑体" w:hAnsi="黑体" w:eastAsia="黑体" w:cs="黑体"/>
          <w:b w:val="0"/>
          <w:bCs w:val="0"/>
        </w:rPr>
        <w:t>章</w:t>
      </w:r>
      <w:bookmarkEnd w:id="1254"/>
      <w:bookmarkEnd w:id="1255"/>
      <w:bookmarkEnd w:id="1256"/>
      <w:bookmarkEnd w:id="1257"/>
      <w:bookmarkEnd w:id="1258"/>
      <w:r>
        <w:rPr>
          <w:rFonts w:hint="eastAsia" w:ascii="黑体" w:hAnsi="黑体" w:eastAsia="黑体" w:cs="黑体"/>
          <w:b w:val="0"/>
          <w:bCs w:val="0"/>
          <w:lang w:val="en-US" w:eastAsia="zh-CN"/>
        </w:rPr>
        <w:t xml:space="preserve">  加快农业农村现代化，推进</w:t>
      </w:r>
      <w:r>
        <w:rPr>
          <w:rFonts w:hint="eastAsia" w:ascii="黑体" w:hAnsi="黑体" w:eastAsia="黑体" w:cs="黑体"/>
          <w:b w:val="0"/>
          <w:bCs w:val="0"/>
        </w:rPr>
        <w:t>乡村全面振兴</w:t>
      </w:r>
      <w:bookmarkEnd w:id="1259"/>
      <w:bookmarkEnd w:id="1260"/>
      <w:bookmarkEnd w:id="1261"/>
      <w:bookmarkEnd w:id="1262"/>
      <w:bookmarkEnd w:id="1263"/>
      <w:bookmarkEnd w:id="1264"/>
      <w:bookmarkEnd w:id="1265"/>
      <w:bookmarkEnd w:id="1266"/>
      <w:bookmarkEnd w:id="1267"/>
      <w:bookmarkEnd w:id="1268"/>
      <w:bookmarkEnd w:id="1269"/>
    </w:p>
    <w:p w14:paraId="782D5C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rPr>
      </w:pPr>
    </w:p>
    <w:p w14:paraId="0BEDFAFC">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以推动高质量发展为主题，以深化农业供给侧结构性改革为主线，以城乡融合发展为路径，聚焦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产业兴旺、生态宜居、乡风文明、治理有效、生活富裕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的总要求，发挥近郊优势，着力构建城乡互补、协调发展、共同繁荣的新型城乡关系，将乡村区域打造成为服务都市、融入都市、特色鲜明、充满活力的城郊型和美乡村典范。</w:t>
      </w:r>
      <w:bookmarkStart w:id="1270" w:name="_Toc4632"/>
      <w:bookmarkStart w:id="1271" w:name="_Toc22239"/>
      <w:bookmarkStart w:id="1272" w:name="_Toc8868"/>
      <w:bookmarkStart w:id="1273" w:name="_Toc18424"/>
      <w:bookmarkStart w:id="1274" w:name="_Toc12810"/>
      <w:bookmarkStart w:id="1275" w:name="_Toc11401"/>
      <w:bookmarkStart w:id="1276" w:name="_Toc10114"/>
      <w:bookmarkStart w:id="1277" w:name="_Toc23648"/>
      <w:bookmarkStart w:id="1278" w:name="_Toc182259987"/>
      <w:bookmarkStart w:id="1279" w:name="_Toc12533"/>
      <w:bookmarkStart w:id="1280" w:name="_Toc30334"/>
      <w:bookmarkStart w:id="1281" w:name="_Toc24368"/>
      <w:bookmarkStart w:id="1282" w:name="_Toc215857925"/>
      <w:bookmarkStart w:id="1283" w:name="_Toc1948"/>
      <w:bookmarkStart w:id="1284" w:name="_Toc30412"/>
      <w:bookmarkStart w:id="1285" w:name="_Toc11044"/>
    </w:p>
    <w:p w14:paraId="2038D283">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p>
    <w:p w14:paraId="75DBCB27">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 xml:space="preserve">第一节 </w:t>
      </w:r>
      <w:bookmarkEnd w:id="1270"/>
      <w:bookmarkEnd w:id="1271"/>
      <w:bookmarkEnd w:id="1272"/>
      <w:r>
        <w:rPr>
          <w:rFonts w:hint="eastAsia" w:ascii="黑体" w:hAnsi="黑体" w:eastAsia="黑体" w:cs="黑体"/>
          <w:b w:val="0"/>
          <w:bCs w:val="0"/>
          <w:lang w:val="en-US" w:eastAsia="zh-CN"/>
        </w:rPr>
        <w:t xml:space="preserve"> 提升农业综合生产能力和质量效益</w:t>
      </w:r>
      <w:bookmarkEnd w:id="1273"/>
      <w:bookmarkEnd w:id="1274"/>
      <w:bookmarkEnd w:id="1275"/>
      <w:bookmarkEnd w:id="1276"/>
      <w:bookmarkEnd w:id="1277"/>
      <w:bookmarkEnd w:id="1278"/>
      <w:bookmarkEnd w:id="1279"/>
      <w:bookmarkEnd w:id="1280"/>
    </w:p>
    <w:p w14:paraId="085B541E">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4812E88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深刻把握新一轮科技革命和产业变革赋予农业发展的历史性机遇，坚定不移地走创新驱动的内涵式农业高质量发展道路，将科技创新作为引领农业现代化的核心引擎与战略支撑，推动农业生产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科技化、数字化、品牌化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转型，构建现代都市农业产业体系，打造豫西地区科技赋能农业发展的先行区。</w:t>
      </w:r>
    </w:p>
    <w:p w14:paraId="0C387300">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286" w:name="_Toc31743"/>
      <w:bookmarkStart w:id="1287" w:name="_Toc14051"/>
      <w:bookmarkStart w:id="1288" w:name="_Toc23315"/>
      <w:bookmarkStart w:id="1289" w:name="_Toc3564"/>
      <w:bookmarkStart w:id="1290" w:name="_Toc22220"/>
      <w:bookmarkStart w:id="1291" w:name="_Toc23235"/>
      <w:bookmarkStart w:id="1292" w:name="_Toc29874"/>
      <w:bookmarkStart w:id="1293" w:name="_Toc963"/>
      <w:bookmarkStart w:id="1294" w:name="_Toc1000570890"/>
      <w:bookmarkStart w:id="1295" w:name="_Toc11057"/>
      <w:bookmarkStart w:id="1296" w:name="_Toc21836"/>
      <w:r>
        <w:rPr>
          <w:rFonts w:hint="eastAsia" w:ascii="仿宋_GB2312" w:hAnsi="仿宋_GB2312" w:eastAsia="仿宋_GB2312" w:cs="仿宋_GB2312"/>
          <w:b w:val="0"/>
          <w:bCs w:val="0"/>
        </w:rPr>
        <w:t>一、推进农业产业化</w:t>
      </w:r>
      <w:bookmarkEnd w:id="1286"/>
      <w:bookmarkEnd w:id="1287"/>
      <w:bookmarkEnd w:id="1288"/>
      <w:bookmarkEnd w:id="1289"/>
      <w:bookmarkEnd w:id="1290"/>
      <w:bookmarkEnd w:id="1291"/>
      <w:bookmarkEnd w:id="1292"/>
      <w:bookmarkEnd w:id="1293"/>
      <w:bookmarkEnd w:id="1294"/>
      <w:bookmarkEnd w:id="1295"/>
      <w:bookmarkEnd w:id="1296"/>
    </w:p>
    <w:p w14:paraId="31A0DA62">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强化耕地保护利用，实施最严格的耕地保护制度，确保全年粮食播种面积</w:t>
      </w:r>
      <w:r>
        <w:rPr>
          <w:rFonts w:hint="eastAsia" w:ascii="仿宋_GB2312" w:hAnsi="仿宋_GB2312" w:eastAsia="仿宋_GB2312" w:cs="仿宋_GB2312"/>
          <w:b w:val="0"/>
          <w:bCs w:val="0"/>
          <w:color w:val="auto"/>
          <w:lang w:val="en-US" w:eastAsia="zh-CN"/>
        </w:rPr>
        <w:t>基本</w:t>
      </w:r>
      <w:r>
        <w:rPr>
          <w:rFonts w:hint="eastAsia" w:ascii="仿宋_GB2312" w:hAnsi="仿宋_GB2312" w:eastAsia="仿宋_GB2312" w:cs="仿宋_GB2312"/>
          <w:b w:val="0"/>
          <w:bCs w:val="0"/>
          <w:color w:val="auto"/>
        </w:rPr>
        <w:t>稳定。全面推进高标准农田建设，提高耕地质量等级，提高粮食质量产量。做强优质粮油产业，聚焦规模化、标准化现代农业产业链，引进优质品种，优化产业布局</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强化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社区党支部+合作社+农户</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经营模式，推进寇店镇、诸葛镇优质谷子种植基地、优质油菜种植基地建设。支持农产品</w:t>
      </w:r>
      <w:r>
        <w:rPr>
          <w:rFonts w:hint="eastAsia" w:ascii="仿宋_GB2312" w:hAnsi="仿宋_GB2312" w:eastAsia="仿宋_GB2312" w:cs="仿宋_GB2312"/>
          <w:b w:val="0"/>
          <w:bCs w:val="0"/>
          <w:color w:val="auto"/>
          <w:lang w:val="en-US" w:eastAsia="zh-CN"/>
        </w:rPr>
        <w:t>精</w:t>
      </w:r>
      <w:r>
        <w:rPr>
          <w:rFonts w:hint="eastAsia" w:ascii="仿宋_GB2312" w:hAnsi="仿宋_GB2312" w:eastAsia="仿宋_GB2312" w:cs="仿宋_GB2312"/>
          <w:b w:val="0"/>
          <w:bCs w:val="0"/>
          <w:color w:val="auto"/>
        </w:rPr>
        <w:t>深加工，延长产业链，提升农产品附加值。依托城郊优势，大力发展设施农业，建设高标准日光温室和连栋大棚，重点发展番茄、黄瓜、彩椒等高价值蔬菜的标准化、品牌化生产，扩大诸葛镇老井、耿沟、陈沟猕猴桃和车厘子种植规模。在万安山、伊河沿岸等适宜区域，有序发展</w:t>
      </w:r>
      <w:r>
        <w:rPr>
          <w:rFonts w:hint="eastAsia" w:ascii="仿宋_GB2312" w:hAnsi="仿宋_GB2312" w:eastAsia="仿宋_GB2312" w:cs="仿宋_GB2312"/>
          <w:b w:val="0"/>
          <w:bCs w:val="0"/>
          <w:color w:val="auto"/>
          <w:lang w:val="en-US" w:eastAsia="zh-CN"/>
        </w:rPr>
        <w:t>车厘子</w:t>
      </w:r>
      <w:r>
        <w:rPr>
          <w:rFonts w:hint="eastAsia" w:ascii="仿宋_GB2312" w:hAnsi="仿宋_GB2312" w:eastAsia="仿宋_GB2312" w:cs="仿宋_GB2312"/>
          <w:b w:val="0"/>
          <w:bCs w:val="0"/>
          <w:color w:val="auto"/>
        </w:rPr>
        <w:t>、猕猴桃</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草莓、西梅等为主的精品水果采摘园。支持引入社会资本，高标准推进现代农业产业园建设，形成</w:t>
      </w:r>
      <w:r>
        <w:rPr>
          <w:rFonts w:hint="eastAsia" w:ascii="仿宋_GB2312" w:hAnsi="仿宋_GB2312" w:eastAsia="仿宋_GB2312" w:cs="仿宋_GB2312"/>
          <w:b w:val="0"/>
          <w:bCs w:val="0"/>
          <w:color w:val="auto"/>
          <w:lang w:eastAsia="zh-CN"/>
        </w:rPr>
        <w:t>聚</w:t>
      </w:r>
      <w:r>
        <w:rPr>
          <w:rFonts w:hint="eastAsia" w:ascii="仿宋_GB2312" w:hAnsi="仿宋_GB2312" w:eastAsia="仿宋_GB2312" w:cs="仿宋_GB2312"/>
          <w:b w:val="0"/>
          <w:bCs w:val="0"/>
          <w:color w:val="auto"/>
        </w:rPr>
        <w:t>点成面、更具规模的现代农业。</w:t>
      </w:r>
      <w:bookmarkStart w:id="1297" w:name="_Toc30432"/>
      <w:bookmarkStart w:id="1298" w:name="_Toc2436"/>
      <w:bookmarkStart w:id="1299" w:name="_Toc29253"/>
      <w:bookmarkStart w:id="1300" w:name="_Toc27124"/>
      <w:bookmarkStart w:id="1301" w:name="_Toc11402"/>
      <w:bookmarkStart w:id="1302" w:name="_Toc8881"/>
      <w:bookmarkStart w:id="1303" w:name="_Toc1386"/>
      <w:bookmarkStart w:id="1304" w:name="_Toc22952"/>
      <w:bookmarkStart w:id="1305" w:name="_Toc7701"/>
      <w:bookmarkStart w:id="1306" w:name="_Toc26576"/>
      <w:bookmarkStart w:id="1307" w:name="_Toc1301848655"/>
    </w:p>
    <w:p w14:paraId="617C111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、提升农业发展科技化水平</w:t>
      </w:r>
      <w:bookmarkEnd w:id="1297"/>
      <w:bookmarkEnd w:id="1298"/>
      <w:bookmarkEnd w:id="1299"/>
      <w:bookmarkEnd w:id="1300"/>
      <w:bookmarkEnd w:id="1301"/>
      <w:bookmarkEnd w:id="1302"/>
      <w:bookmarkEnd w:id="1303"/>
      <w:bookmarkEnd w:id="1304"/>
      <w:bookmarkEnd w:id="1305"/>
      <w:bookmarkEnd w:id="1306"/>
      <w:bookmarkEnd w:id="1307"/>
    </w:p>
    <w:p w14:paraId="7766EFA1">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促进农机装备迭代升级，聚焦粮食生产全过程、设施农业、特色种养等关键领域和薄弱环节，推广应用具备精准变量作业和无人驾驶功能的大型化、智能化、复式化高端农机装备。培育壮大技术先进、服务规范、辐射面广的新型农机社会化服务组织，大力发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全程机械化+综合农事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服务中心。搭建农业科技创新平台，依托龙门实验室、国家农机装备创新中心等高能级创新平台资源优势，积极对接科研院所，鼓励龙头企业与科研机构组建创新联合体，开展关键技术攻关。强化农业技术推广应用，健全区、镇、村三级农业技术推广服务体系，深入实施科技特派员制度，鼓励农业科技人员下乡服务。</w:t>
      </w:r>
    </w:p>
    <w:p w14:paraId="6D9CBE80">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308" w:name="_Toc1774767832"/>
      <w:bookmarkStart w:id="1309" w:name="_Toc12604"/>
      <w:bookmarkStart w:id="1310" w:name="_Toc1745"/>
      <w:bookmarkStart w:id="1311" w:name="_Toc3978"/>
      <w:bookmarkStart w:id="1312" w:name="_Toc28250"/>
      <w:bookmarkStart w:id="1313" w:name="_Toc7385"/>
      <w:bookmarkStart w:id="1314" w:name="_Toc29181"/>
      <w:bookmarkStart w:id="1315" w:name="_Toc17213"/>
      <w:bookmarkStart w:id="1316" w:name="_Toc24008"/>
      <w:bookmarkStart w:id="1317" w:name="_Toc7980"/>
      <w:bookmarkStart w:id="1318" w:name="_Toc6691"/>
      <w:r>
        <w:rPr>
          <w:rFonts w:hint="eastAsia" w:ascii="仿宋_GB2312" w:hAnsi="仿宋_GB2312" w:eastAsia="仿宋_GB2312" w:cs="仿宋_GB2312"/>
          <w:b w:val="0"/>
          <w:bCs w:val="0"/>
          <w:lang w:val="en-US" w:eastAsia="zh-CN"/>
        </w:rPr>
        <w:t>三</w:t>
      </w:r>
      <w:r>
        <w:rPr>
          <w:rFonts w:hint="eastAsia" w:ascii="仿宋_GB2312" w:hAnsi="仿宋_GB2312" w:eastAsia="仿宋_GB2312" w:cs="仿宋_GB2312"/>
          <w:b w:val="0"/>
          <w:bCs w:val="0"/>
        </w:rPr>
        <w:t>、加强农产品品牌建设</w:t>
      </w:r>
      <w:bookmarkEnd w:id="1308"/>
      <w:bookmarkEnd w:id="1309"/>
      <w:bookmarkEnd w:id="1310"/>
      <w:bookmarkEnd w:id="1311"/>
      <w:bookmarkEnd w:id="1312"/>
      <w:bookmarkEnd w:id="1313"/>
      <w:bookmarkEnd w:id="1314"/>
      <w:bookmarkEnd w:id="1315"/>
      <w:bookmarkEnd w:id="1316"/>
      <w:bookmarkEnd w:id="1317"/>
      <w:bookmarkEnd w:id="1318"/>
    </w:p>
    <w:p w14:paraId="49F7F158">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rPr>
        <w:t>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区域公用品牌+企业自主品牌+特色产品品牌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体系，围绕特色优势产业，整合资源，培育</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豫见伊滨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农产品区域</w:t>
      </w:r>
      <w:r>
        <w:rPr>
          <w:rFonts w:hint="eastAsia" w:ascii="仿宋_GB2312" w:hAnsi="仿宋_GB2312" w:eastAsia="仿宋_GB2312" w:cs="仿宋_GB2312"/>
          <w:b w:val="0"/>
          <w:bCs w:val="0"/>
          <w:lang w:val="en-US" w:eastAsia="zh-CN"/>
        </w:rPr>
        <w:t>公用</w:t>
      </w:r>
      <w:r>
        <w:rPr>
          <w:rFonts w:hint="eastAsia" w:ascii="仿宋_GB2312" w:hAnsi="仿宋_GB2312" w:eastAsia="仿宋_GB2312" w:cs="仿宋_GB2312"/>
          <w:b w:val="0"/>
          <w:bCs w:val="0"/>
        </w:rPr>
        <w:t>品牌，制定品牌产品标准体系，实行严格的准入和退出机制。鼓励和支持农业龙头企业、农民专业合作社、家庭农场等各类新型经营主体，创建具有市场影响力和差异化竞争优势的企业品牌和产品品牌。扩大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寇店小米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伊滨南美对虾</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老井车厘子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等品牌影响力，打造3～4个具有较高影响力的单品品牌。拓展品牌营销渠道，建设</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伊滨农产品电商馆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，入驻淘宝、京东、拼多多等电商平台，培育</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直播电商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团队，推广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网红+农产品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营销模式，完善区、镇、村三级电商服务体系和物流配送网络。到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末，培育10家传统经营企业向电子商务企业转型升级。</w:t>
      </w:r>
      <w:bookmarkEnd w:id="1281"/>
      <w:bookmarkEnd w:id="1282"/>
      <w:bookmarkEnd w:id="1283"/>
      <w:bookmarkEnd w:id="1284"/>
    </w:p>
    <w:bookmarkEnd w:id="1285"/>
    <w:p w14:paraId="165D1FDA">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319" w:name="_Toc3089"/>
      <w:bookmarkStart w:id="1320" w:name="_Toc31486"/>
      <w:bookmarkStart w:id="1321" w:name="_Toc18033"/>
      <w:bookmarkStart w:id="1322" w:name="_Toc11647"/>
      <w:bookmarkStart w:id="1323" w:name="_Toc14124"/>
      <w:bookmarkStart w:id="1324" w:name="_Toc4553"/>
      <w:bookmarkStart w:id="1325" w:name="_Toc31272"/>
      <w:bookmarkStart w:id="1326" w:name="_Toc707"/>
      <w:bookmarkStart w:id="1327" w:name="_Toc1735694783"/>
      <w:bookmarkStart w:id="1328" w:name="_Toc25413"/>
      <w:bookmarkStart w:id="1329" w:name="_Toc4281"/>
      <w:bookmarkStart w:id="1330" w:name="_Toc23264"/>
    </w:p>
    <w:p w14:paraId="46CF8A03">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lang w:val="en-US" w:eastAsia="zh-CN"/>
        </w:rPr>
        <w:t>第二节  提升乡村建设水平</w:t>
      </w:r>
      <w:bookmarkEnd w:id="1319"/>
      <w:bookmarkEnd w:id="1320"/>
      <w:bookmarkEnd w:id="1321"/>
      <w:bookmarkEnd w:id="1322"/>
      <w:bookmarkEnd w:id="1323"/>
      <w:bookmarkEnd w:id="1324"/>
      <w:bookmarkEnd w:id="1325"/>
      <w:bookmarkEnd w:id="1326"/>
      <w:bookmarkEnd w:id="1327"/>
      <w:bookmarkEnd w:id="1328"/>
      <w:bookmarkEnd w:id="1329"/>
    </w:p>
    <w:p w14:paraId="64CEED25">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5A73E59B">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深刻把握城乡形态交织融合的独特区位特征，将乡村发展置于城市现代化建设的全局进行系统谋划与前瞻布局，以服务城市、富裕农民为双重目标，以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国家级乡村振兴示范县区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创建为总抓手，以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和美村、富美村、洁美村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建设为引领，开展宜居宜业和美乡村建设。</w:t>
      </w:r>
    </w:p>
    <w:p w14:paraId="1E0C781D">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331" w:name="_Toc622"/>
      <w:bookmarkStart w:id="1332" w:name="_Toc215857928"/>
      <w:bookmarkStart w:id="1333" w:name="_Toc6640"/>
      <w:bookmarkStart w:id="1334" w:name="_Toc10595"/>
      <w:bookmarkStart w:id="1335" w:name="_Toc18653"/>
      <w:bookmarkStart w:id="1336" w:name="_Toc3054"/>
      <w:bookmarkStart w:id="1337" w:name="_Toc10859"/>
      <w:bookmarkStart w:id="1338" w:name="_Toc5146"/>
      <w:bookmarkStart w:id="1339" w:name="_Toc10256"/>
      <w:bookmarkStart w:id="1340" w:name="_Toc2081789667"/>
      <w:bookmarkStart w:id="1341" w:name="_Toc11510"/>
      <w:bookmarkStart w:id="1342" w:name="_Toc6407"/>
      <w:bookmarkStart w:id="1343" w:name="_Toc13641"/>
      <w:bookmarkStart w:id="1344" w:name="_Toc27821"/>
      <w:bookmarkStart w:id="1345" w:name="_Toc17040"/>
      <w:r>
        <w:rPr>
          <w:rFonts w:hint="eastAsia" w:ascii="仿宋_GB2312" w:hAnsi="仿宋_GB2312" w:eastAsia="仿宋_GB2312" w:cs="仿宋_GB2312"/>
          <w:b w:val="0"/>
          <w:bCs w:val="0"/>
          <w:lang w:val="en-US" w:eastAsia="zh-CN"/>
        </w:rPr>
        <w:t>一</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推进</w:t>
      </w:r>
      <w:r>
        <w:rPr>
          <w:rFonts w:hint="eastAsia" w:ascii="仿宋_GB2312" w:hAnsi="仿宋_GB2312" w:eastAsia="仿宋_GB2312" w:cs="仿宋_GB2312"/>
          <w:b w:val="0"/>
          <w:bCs w:val="0"/>
        </w:rPr>
        <w:t>乡村</w:t>
      </w:r>
      <w:bookmarkEnd w:id="1331"/>
      <w:bookmarkEnd w:id="1332"/>
      <w:bookmarkEnd w:id="1333"/>
      <w:bookmarkEnd w:id="1334"/>
      <w:bookmarkEnd w:id="1335"/>
      <w:bookmarkEnd w:id="1336"/>
      <w:bookmarkEnd w:id="1337"/>
      <w:r>
        <w:rPr>
          <w:rFonts w:hint="eastAsia" w:ascii="仿宋_GB2312" w:hAnsi="仿宋_GB2312" w:eastAsia="仿宋_GB2312" w:cs="仿宋_GB2312"/>
          <w:b w:val="0"/>
          <w:bCs w:val="0"/>
          <w:lang w:val="en-US" w:eastAsia="zh-CN"/>
        </w:rPr>
        <w:t>文明建设</w:t>
      </w:r>
      <w:bookmarkEnd w:id="1338"/>
      <w:bookmarkEnd w:id="1339"/>
      <w:bookmarkEnd w:id="1340"/>
      <w:bookmarkEnd w:id="1341"/>
      <w:bookmarkEnd w:id="1342"/>
      <w:bookmarkEnd w:id="1343"/>
      <w:bookmarkEnd w:id="1344"/>
      <w:bookmarkEnd w:id="1345"/>
    </w:p>
    <w:p w14:paraId="6FCA4976">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lang w:val="en-US" w:eastAsia="zh-CN"/>
        </w:rPr>
        <w:t>持续开展“五星支部”创建，完善创建工作机制，强化各级各部门联动，夯实基层</w:t>
      </w:r>
      <w:r>
        <w:rPr>
          <w:rFonts w:hint="eastAsia" w:ascii="仿宋_GB2312" w:hAnsi="仿宋_GB2312" w:eastAsia="仿宋_GB2312" w:cs="仿宋_GB2312"/>
          <w:b w:val="0"/>
          <w:bCs w:val="0"/>
          <w:i w:val="0"/>
          <w:iCs w:val="0"/>
          <w:caps w:val="0"/>
          <w:color w:val="auto"/>
          <w:spacing w:val="0"/>
          <w:sz w:val="32"/>
          <w:szCs w:val="32"/>
          <w:shd w:val="clear"/>
        </w:rPr>
        <w:t>增强党组织政治功能和组织功能</w:t>
      </w:r>
      <w:r>
        <w:rPr>
          <w:rFonts w:hint="eastAsia" w:ascii="仿宋_GB2312" w:hAnsi="仿宋_GB2312" w:eastAsia="仿宋_GB2312" w:cs="仿宋_GB2312"/>
          <w:b w:val="0"/>
          <w:bCs w:val="0"/>
          <w:i w:val="0"/>
          <w:iCs w:val="0"/>
          <w:caps w:val="0"/>
          <w:color w:val="auto"/>
          <w:spacing w:val="0"/>
          <w:sz w:val="32"/>
          <w:szCs w:val="32"/>
          <w:shd w:val="clear"/>
          <w:lang w:eastAsia="zh-CN"/>
        </w:rPr>
        <w:t>，深入推进抓党建促乡村振兴。</w:t>
      </w:r>
      <w:r>
        <w:rPr>
          <w:rFonts w:hint="eastAsia" w:ascii="仿宋_GB2312" w:hAnsi="仿宋_GB2312" w:eastAsia="仿宋_GB2312" w:cs="仿宋_GB2312"/>
          <w:b w:val="0"/>
          <w:bCs w:val="0"/>
          <w:color w:val="auto"/>
        </w:rPr>
        <w:t>分级分类建好用好乡里中心、邻里中心，构建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镇—社区—网格</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三级管理架构，推动社区治理向网格延伸，</w:t>
      </w:r>
      <w:r>
        <w:rPr>
          <w:rFonts w:hint="eastAsia" w:ascii="仿宋_GB2312" w:hAnsi="仿宋_GB2312" w:eastAsia="仿宋_GB2312" w:cs="仿宋_GB2312"/>
          <w:b w:val="0"/>
          <w:bCs w:val="0"/>
          <w:color w:val="auto"/>
          <w:lang w:val="en-US" w:eastAsia="zh-CN"/>
        </w:rPr>
        <w:t>完善</w:t>
      </w:r>
      <w:r>
        <w:rPr>
          <w:rFonts w:hint="eastAsia" w:ascii="仿宋_GB2312" w:hAnsi="仿宋_GB2312" w:eastAsia="仿宋_GB2312" w:cs="仿宋_GB2312"/>
          <w:b w:val="0"/>
          <w:bCs w:val="0"/>
          <w:color w:val="auto"/>
        </w:rPr>
        <w:t>现代乡村治理体系。深化运用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四议两公开</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，充分发挥村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社区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协商议事平台作用，引导群众有序参与基层治理。培育文明乡风家风，深化农村精神文明创建，广泛开展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星级文明户</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五美好家庭</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身边好人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道德模范</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等评选表彰活动，传承弘扬优良家风家教，营造邻里守望、诚信重礼、勤俭节约的文明乡风。发挥村规民约作用，持续推进移风易俗，遏制高价彩礼、大操大办、铺张浪费等陈规陋习。</w:t>
      </w:r>
      <w:bookmarkStart w:id="1346" w:name="_Toc30538"/>
      <w:bookmarkStart w:id="1347" w:name="_Toc215857927"/>
      <w:bookmarkStart w:id="1348" w:name="_Toc8197"/>
      <w:bookmarkStart w:id="1349" w:name="_Toc254670052"/>
      <w:bookmarkStart w:id="1350" w:name="_Toc4683"/>
      <w:bookmarkStart w:id="1351" w:name="_Toc27506"/>
      <w:bookmarkStart w:id="1352" w:name="_Toc29509"/>
      <w:bookmarkStart w:id="1353" w:name="_Toc6623"/>
      <w:bookmarkStart w:id="1354" w:name="_Toc9612"/>
      <w:bookmarkStart w:id="1355" w:name="_Toc5516"/>
      <w:bookmarkStart w:id="1356" w:name="_Toc31036"/>
      <w:bookmarkStart w:id="1357" w:name="_Toc16720"/>
      <w:bookmarkStart w:id="1358" w:name="_Toc32456"/>
      <w:bookmarkStart w:id="1359" w:name="_Toc10167"/>
      <w:bookmarkStart w:id="1360" w:name="_Toc29013"/>
      <w:bookmarkStart w:id="1361" w:name="_Toc7636"/>
    </w:p>
    <w:p w14:paraId="31FF902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建设</w:t>
      </w:r>
      <w:r>
        <w:rPr>
          <w:rFonts w:hint="eastAsia" w:ascii="仿宋_GB2312" w:hAnsi="仿宋_GB2312" w:eastAsia="仿宋_GB2312" w:cs="仿宋_GB2312"/>
          <w:b w:val="0"/>
          <w:bCs w:val="0"/>
        </w:rPr>
        <w:t>和美</w:t>
      </w:r>
      <w:r>
        <w:rPr>
          <w:rFonts w:hint="eastAsia" w:ascii="仿宋_GB2312" w:hAnsi="仿宋_GB2312" w:eastAsia="仿宋_GB2312" w:cs="仿宋_GB2312"/>
          <w:b w:val="0"/>
          <w:bCs w:val="0"/>
          <w:lang w:val="en-US" w:eastAsia="zh-CN"/>
        </w:rPr>
        <w:t>幸福</w:t>
      </w:r>
      <w:r>
        <w:rPr>
          <w:rFonts w:hint="eastAsia" w:ascii="仿宋_GB2312" w:hAnsi="仿宋_GB2312" w:eastAsia="仿宋_GB2312" w:cs="仿宋_GB2312"/>
          <w:b w:val="0"/>
          <w:bCs w:val="0"/>
        </w:rPr>
        <w:t>乡村</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6DEB0E8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坚持规划先行、示范引领、梯次推进、全域提升的原则，高标准编制56个涉农社区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和美乡村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建设方案，系统化、标准化、品牌化推进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和美乡村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持续改善人居环境，以农村生活垃圾处理为重点，健全长效管护机制。坚持因地制宜、质量优先，稳步推进镇级户厕管护服务站建设，按照三类公厕建设标准，打造村镇公共区域公厕10分钟服务圈。提升改造农村供排水，推动农村集中供水，提高农村污水处理能力，确保全区农村饮水安全水质达标率达到100%。扎实推动农村环卫一体化，健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户分类、村收集、镇转运、区处理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的生活垃圾收运处置体系，实现农村人居环境全域提升。提升乡村整体风貌，加强乡村公共空间整治和设计。实施乡村绿化美化亮化工程，开展村旁、宅旁、水旁、路旁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四旁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绿化，实现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绿化环绕、环境整洁、出门见绿、处处有绿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w:t>
      </w:r>
    </w:p>
    <w:p w14:paraId="050694E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rPr>
      </w:pPr>
    </w:p>
    <w:tbl>
      <w:tblPr>
        <w:tblStyle w:val="34"/>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4"/>
      </w:tblGrid>
      <w:tr w14:paraId="02CE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8844" w:type="dxa"/>
          </w:tcPr>
          <w:p w14:paraId="74D852E8">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520" w:lineRule="exact"/>
              <w:ind w:left="0" w:right="0"/>
              <w:jc w:val="center"/>
              <w:textAlignment w:val="auto"/>
              <w:rPr>
                <w:rFonts w:hint="eastAsia" w:ascii="仿宋_GB2312" w:hAnsi="仿宋_GB2312" w:eastAsia="仿宋_GB2312" w:cs="仿宋_GB2312"/>
                <w:b w:val="0"/>
                <w:bCs w:val="0"/>
                <w:kern w:val="2"/>
                <w:lang w:val="en-US" w:eastAsia="zh-CN"/>
              </w:rPr>
            </w:pPr>
            <w:r>
              <w:rPr>
                <w:rFonts w:hint="eastAsia" w:ascii="黑体" w:hAnsi="黑体" w:eastAsia="黑体" w:cs="黑体"/>
                <w:b w:val="0"/>
                <w:bCs w:val="0"/>
                <w:color w:val="auto"/>
                <w:kern w:val="0"/>
                <w:sz w:val="28"/>
                <w:szCs w:val="28"/>
              </w:rPr>
              <w:t>专栏</w:t>
            </w:r>
            <w:r>
              <w:rPr>
                <w:rFonts w:hint="eastAsia" w:ascii="黑体" w:hAnsi="黑体" w:eastAsia="黑体" w:cs="黑体"/>
                <w:b w:val="0"/>
                <w:bCs w:val="0"/>
                <w:color w:val="auto"/>
                <w:kern w:val="0"/>
                <w:sz w:val="28"/>
                <w:szCs w:val="28"/>
                <w:lang w:val="en-US" w:eastAsia="zh-CN"/>
              </w:rPr>
              <w:t xml:space="preserve">7-1    </w:t>
            </w:r>
            <w:r>
              <w:rPr>
                <w:rFonts w:hint="eastAsia" w:ascii="黑体" w:hAnsi="黑体" w:eastAsia="黑体" w:cs="黑体"/>
                <w:b w:val="0"/>
                <w:bCs w:val="0"/>
                <w:color w:val="auto"/>
                <w:kern w:val="0"/>
                <w:sz w:val="28"/>
                <w:szCs w:val="28"/>
              </w:rPr>
              <w:t>乡村振兴</w:t>
            </w:r>
            <w:r>
              <w:rPr>
                <w:rFonts w:hint="eastAsia" w:ascii="黑体" w:hAnsi="黑体" w:eastAsia="黑体" w:cs="黑体"/>
                <w:b w:val="0"/>
                <w:bCs w:val="0"/>
                <w:color w:val="auto"/>
                <w:kern w:val="0"/>
                <w:sz w:val="28"/>
                <w:szCs w:val="28"/>
                <w:lang w:val="en-US" w:eastAsia="zh-CN"/>
              </w:rPr>
              <w:t>工程项目</w:t>
            </w:r>
          </w:p>
        </w:tc>
      </w:tr>
      <w:tr w14:paraId="2603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4" w:type="dxa"/>
          </w:tcPr>
          <w:p w14:paraId="518A743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_GB2312" w:hAnsi="仿宋_GB2312" w:eastAsia="仿宋_GB2312" w:cs="仿宋_GB2312"/>
                <w:b w:val="0"/>
                <w:bCs w:val="0"/>
                <w:color w:val="auto"/>
                <w:spacing w:val="0"/>
                <w:kern w:val="0"/>
                <w:sz w:val="28"/>
                <w:szCs w:val="28"/>
                <w:lang w:val="en-US" w:eastAsia="zh-CN" w:bidi="ar-SA"/>
              </w:rPr>
            </w:pPr>
            <w:r>
              <w:rPr>
                <w:rFonts w:hint="eastAsia" w:ascii="仿宋_GB2312" w:hAnsi="仿宋_GB2312" w:eastAsia="仿宋_GB2312" w:cs="仿宋_GB2312"/>
                <w:b w:val="0"/>
                <w:bCs w:val="0"/>
                <w:color w:val="auto"/>
                <w:spacing w:val="0"/>
                <w:kern w:val="0"/>
                <w:sz w:val="28"/>
                <w:szCs w:val="28"/>
                <w:lang w:val="en-US" w:eastAsia="zh-CN" w:bidi="ar-SA"/>
              </w:rPr>
              <w:t>农业生产能力提升项目。加快推进寇店镇全域土地综合整治、诸葛镇全域土地综合整治项目；谋划土地改造提升项目3个，智慧农业项目8个。</w:t>
            </w:r>
          </w:p>
          <w:p w14:paraId="0013235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_GB2312" w:hAnsi="仿宋_GB2312" w:eastAsia="仿宋_GB2312" w:cs="仿宋_GB2312"/>
                <w:b w:val="0"/>
                <w:bCs w:val="0"/>
                <w:color w:val="auto"/>
                <w:spacing w:val="0"/>
                <w:kern w:val="0"/>
                <w:sz w:val="28"/>
                <w:szCs w:val="28"/>
                <w:lang w:val="en-US" w:eastAsia="zh-CN" w:bidi="ar-SA"/>
              </w:rPr>
            </w:pPr>
            <w:r>
              <w:rPr>
                <w:rFonts w:hint="eastAsia" w:ascii="仿宋_GB2312" w:hAnsi="仿宋_GB2312" w:eastAsia="仿宋_GB2312" w:cs="仿宋_GB2312"/>
                <w:b w:val="0"/>
                <w:bCs w:val="0"/>
                <w:color w:val="auto"/>
                <w:spacing w:val="0"/>
                <w:kern w:val="0"/>
                <w:sz w:val="28"/>
                <w:szCs w:val="28"/>
                <w:lang w:val="en-US" w:eastAsia="zh-CN" w:bidi="ar-SA"/>
              </w:rPr>
              <w:t>农村生产环境治理。建设万安山区域水源项目、伊河流域（伊滨区段）农村环境整治资金项目；谋划饮用水提升项目2个，灌渠与水库改造提升项目4个。</w:t>
            </w:r>
          </w:p>
          <w:p w14:paraId="624CC27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_GB2312" w:hAnsi="仿宋_GB2312" w:eastAsia="仿宋_GB2312" w:cs="仿宋_GB2312"/>
                <w:b w:val="0"/>
                <w:bCs w:val="0"/>
                <w:color w:val="auto"/>
                <w:spacing w:val="0"/>
                <w:kern w:val="0"/>
                <w:sz w:val="28"/>
                <w:szCs w:val="28"/>
                <w:lang w:val="en-US" w:eastAsia="zh-CN" w:bidi="ar-SA"/>
              </w:rPr>
            </w:pPr>
            <w:r>
              <w:rPr>
                <w:rFonts w:hint="eastAsia" w:ascii="仿宋_GB2312" w:hAnsi="仿宋_GB2312" w:eastAsia="仿宋_GB2312" w:cs="仿宋_GB2312"/>
                <w:b w:val="0"/>
                <w:bCs w:val="0"/>
                <w:color w:val="auto"/>
                <w:spacing w:val="0"/>
                <w:kern w:val="0"/>
                <w:sz w:val="28"/>
                <w:szCs w:val="28"/>
                <w:lang w:val="en-US" w:eastAsia="zh-CN" w:bidi="ar-SA"/>
              </w:rPr>
              <w:t>农文旅融合发展项目。建设和美乡村项目2个；围绕</w:t>
            </w:r>
            <w:r>
              <w:rPr>
                <w:rFonts w:hint="eastAsia" w:ascii="仿宋_GB2312" w:hAnsi="仿宋_GB2312" w:eastAsia="仿宋_GB2312" w:cs="仿宋_GB2312"/>
                <w:b w:val="0"/>
                <w:bCs w:val="0"/>
                <w:color w:val="auto"/>
                <w:kern w:val="2"/>
              </w:rPr>
              <w:t>万安山农文旅融合示范区</w:t>
            </w:r>
            <w:r>
              <w:rPr>
                <w:rFonts w:hint="eastAsia" w:ascii="仿宋_GB2312" w:hAnsi="仿宋_GB2312" w:eastAsia="仿宋_GB2312" w:cs="仿宋_GB2312"/>
                <w:b w:val="0"/>
                <w:bCs w:val="0"/>
                <w:color w:val="auto"/>
                <w:kern w:val="2"/>
                <w:lang w:val="en-US" w:eastAsia="zh-CN"/>
              </w:rPr>
              <w:t>谋划农文旅融合发展性项目5个。</w:t>
            </w:r>
          </w:p>
        </w:tc>
      </w:tr>
      <w:bookmarkEnd w:id="1330"/>
    </w:tbl>
    <w:p w14:paraId="3BC68716">
      <w:pPr>
        <w:keepNext w:val="0"/>
        <w:keepLines w:val="0"/>
        <w:pageBreakBefore w:val="0"/>
        <w:widowControl w:val="0"/>
        <w:kinsoku/>
        <w:wordWrap/>
        <w:overflowPunct/>
        <w:topLinePunct w:val="0"/>
        <w:autoSpaceDE/>
        <w:autoSpaceDN/>
        <w:bidi w:val="0"/>
        <w:adjustRightInd/>
        <w:snapToGrid/>
        <w:spacing w:line="800" w:lineRule="exact"/>
        <w:textAlignment w:val="auto"/>
        <w:rPr>
          <w:rFonts w:hint="eastAsia" w:ascii="仿宋_GB2312" w:hAnsi="仿宋_GB2312" w:eastAsia="仿宋_GB2312" w:cs="仿宋_GB2312"/>
          <w:b w:val="0"/>
          <w:bCs w:val="0"/>
          <w:color w:val="auto"/>
        </w:rPr>
      </w:pPr>
    </w:p>
    <w:p w14:paraId="47F6FA78">
      <w:pPr>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val="0"/>
        </w:rPr>
      </w:pPr>
      <w:bookmarkStart w:id="1362" w:name="_Toc215857932"/>
      <w:bookmarkStart w:id="1363" w:name="_Toc5761"/>
      <w:bookmarkStart w:id="1364" w:name="_Toc23824"/>
      <w:bookmarkStart w:id="1365" w:name="_Toc5783"/>
      <w:bookmarkStart w:id="1366" w:name="_Toc31106"/>
      <w:bookmarkStart w:id="1367" w:name="_Toc16091"/>
      <w:bookmarkStart w:id="1368" w:name="_Toc1498"/>
      <w:bookmarkStart w:id="1369" w:name="_Toc21285"/>
      <w:bookmarkStart w:id="1370" w:name="_Toc6495"/>
      <w:bookmarkStart w:id="1371" w:name="_Toc2004"/>
      <w:bookmarkStart w:id="1372" w:name="_Toc3653"/>
      <w:bookmarkStart w:id="1373" w:name="_Toc1853116589"/>
      <w:bookmarkStart w:id="1374" w:name="_Toc258"/>
      <w:bookmarkStart w:id="1375" w:name="_Toc31979"/>
      <w:bookmarkStart w:id="1376" w:name="_Toc15641"/>
      <w:bookmarkStart w:id="1377" w:name="_Toc3856"/>
      <w:bookmarkStart w:id="1378" w:name="_Toc21708"/>
      <w:bookmarkStart w:id="1379" w:name="_Toc14473"/>
      <w:bookmarkStart w:id="1380" w:name="_Toc15426"/>
      <w:bookmarkStart w:id="1381" w:name="_Toc215857939"/>
      <w:bookmarkStart w:id="1382" w:name="_Toc31911"/>
      <w:bookmarkStart w:id="1383" w:name="_Toc7098"/>
      <w:bookmarkStart w:id="1384" w:name="_Toc28798"/>
      <w:r>
        <w:rPr>
          <w:rFonts w:hint="eastAsia" w:ascii="黑体" w:hAnsi="黑体" w:eastAsia="黑体" w:cs="黑体"/>
          <w:b w:val="0"/>
          <w:bCs w:val="0"/>
        </w:rPr>
        <w:t>第</w:t>
      </w:r>
      <w:r>
        <w:rPr>
          <w:rFonts w:hint="eastAsia" w:ascii="黑体" w:hAnsi="黑体" w:eastAsia="黑体" w:cs="黑体"/>
          <w:b w:val="0"/>
          <w:bCs w:val="0"/>
          <w:lang w:val="en-US" w:eastAsia="zh-CN"/>
        </w:rPr>
        <w:t>三</w:t>
      </w:r>
      <w:r>
        <w:rPr>
          <w:rFonts w:hint="eastAsia" w:ascii="黑体" w:hAnsi="黑体" w:eastAsia="黑体" w:cs="黑体"/>
          <w:b w:val="0"/>
          <w:bCs w:val="0"/>
        </w:rPr>
        <w:t xml:space="preserve">节 </w:t>
      </w:r>
      <w:r>
        <w:rPr>
          <w:rFonts w:hint="eastAsia" w:ascii="黑体" w:hAnsi="黑体" w:eastAsia="黑体" w:cs="黑体"/>
          <w:b w:val="0"/>
          <w:bCs w:val="0"/>
          <w:lang w:val="en-US" w:eastAsia="zh-CN"/>
        </w:rPr>
        <w:t xml:space="preserve"> </w:t>
      </w:r>
      <w:r>
        <w:rPr>
          <w:rFonts w:hint="eastAsia" w:ascii="黑体" w:hAnsi="黑体" w:eastAsia="黑体" w:cs="黑体"/>
          <w:b w:val="0"/>
          <w:bCs w:val="0"/>
        </w:rPr>
        <w:t>打造城乡融合发展带</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162DD6EF">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p>
    <w:p w14:paraId="0C660AA6">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立足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城郊型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区域定位，以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城乡一体、要素流动、服务均等、改革创新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为目标，优化城乡资源配置，推进公共服务均等化，深化农村资源改革，构建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城市带动乡村、乡村服务城市</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的城乡融合发展新格局。</w:t>
      </w:r>
    </w:p>
    <w:p w14:paraId="22FFBBF2">
      <w:pPr>
        <w:pStyle w:val="8"/>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bookmarkStart w:id="1385" w:name="_Toc10797"/>
      <w:bookmarkStart w:id="1386" w:name="_Toc18312"/>
      <w:bookmarkStart w:id="1387" w:name="_Toc21450"/>
      <w:bookmarkStart w:id="1388" w:name="_Toc230874441"/>
      <w:bookmarkStart w:id="1389" w:name="_Toc10425"/>
      <w:bookmarkStart w:id="1390" w:name="_Toc21047"/>
      <w:bookmarkStart w:id="1391" w:name="_Toc29620"/>
      <w:bookmarkStart w:id="1392" w:name="_Toc7614"/>
      <w:bookmarkStart w:id="1393" w:name="_Toc11844"/>
      <w:bookmarkStart w:id="1394" w:name="_Toc11854"/>
      <w:bookmarkStart w:id="1395" w:name="_Toc14087"/>
      <w:bookmarkStart w:id="1396" w:name="_Toc2683"/>
      <w:bookmarkStart w:id="1397" w:name="_Toc215857933"/>
      <w:bookmarkStart w:id="1398" w:name="_Toc6915"/>
      <w:bookmarkStart w:id="1399" w:name="_Toc22625"/>
      <w:bookmarkStart w:id="1400" w:name="_Toc13823"/>
      <w:r>
        <w:rPr>
          <w:rFonts w:hint="eastAsia" w:ascii="仿宋_GB2312" w:hAnsi="仿宋_GB2312" w:eastAsia="仿宋_GB2312" w:cs="仿宋_GB2312"/>
          <w:b w:val="0"/>
          <w:bCs w:val="0"/>
        </w:rPr>
        <w:t>一、优化城乡资源配置</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14:paraId="7C470613">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建强中心</w:t>
      </w:r>
      <w:r>
        <w:rPr>
          <w:rFonts w:hint="eastAsia" w:ascii="仿宋_GB2312" w:hAnsi="仿宋_GB2312" w:eastAsia="仿宋_GB2312" w:cs="仿宋_GB2312"/>
          <w:b w:val="0"/>
          <w:bCs w:val="0"/>
          <w:lang w:val="en-US" w:eastAsia="zh-CN"/>
        </w:rPr>
        <w:t>镇</w:t>
      </w:r>
      <w:r>
        <w:rPr>
          <w:rFonts w:hint="eastAsia" w:ascii="仿宋_GB2312" w:hAnsi="仿宋_GB2312" w:eastAsia="仿宋_GB2312" w:cs="仿宋_GB2312"/>
          <w:b w:val="0"/>
          <w:bCs w:val="0"/>
        </w:rPr>
        <w:t>区。严格遵循、有效落实国土空间规划的战略引领和刚性管控要求，统筹城镇、村庄的规划建设、产业布局与生态空间保护，构建层级清晰、功能互补、布局合理、网络协同、城乡交融的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中心城区—两大片区—9个组团</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级现代化城乡空间体系。持续强化中心城区，高标准、高品位建设核心建成区，强化综合服务功能，建设行政服务中心、商业商务中心、文化体育中心、教育医疗中心，提升城市承载能力，持续增强其对人才、资本、技术、信息等高端生产要素的集聚能力和对周边广大乡村区域的辐射带动与服务能力。</w:t>
      </w:r>
    </w:p>
    <w:p w14:paraId="591ED8FF">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建优两大片区。以产业连片发展为牵引，</w:t>
      </w:r>
      <w:r>
        <w:rPr>
          <w:rFonts w:hint="eastAsia" w:ascii="仿宋_GB2312" w:hAnsi="仿宋_GB2312" w:eastAsia="仿宋_GB2312" w:cs="仿宋_GB2312"/>
          <w:b w:val="0"/>
          <w:bCs w:val="0"/>
          <w:color w:val="auto"/>
          <w:lang w:eastAsia="zh-CN"/>
        </w:rPr>
        <w:t>优化“</w:t>
      </w:r>
      <w:r>
        <w:rPr>
          <w:rFonts w:hint="eastAsia" w:ascii="仿宋_GB2312" w:hAnsi="仿宋_GB2312" w:eastAsia="仿宋_GB2312" w:cs="仿宋_GB2312"/>
          <w:b w:val="0"/>
          <w:bCs w:val="0"/>
          <w:color w:val="auto"/>
        </w:rPr>
        <w:t>万安山农文旅融合示范区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智能家居农工商融合示范区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两大片区布局，统筹推动资源连片整合、要素连片配置、环境连片打造、设施连片提升、组织连片共建。根据组团产业基础及地理位置，统筹推进9个集中连片组团产业发展、乡村建设、乡村治理等工作，</w:t>
      </w:r>
      <w:r>
        <w:rPr>
          <w:rFonts w:hint="eastAsia" w:ascii="仿宋_GB2312" w:hAnsi="仿宋_GB2312" w:eastAsia="仿宋_GB2312" w:cs="仿宋_GB2312"/>
          <w:b w:val="0"/>
          <w:bCs w:val="0"/>
          <w:color w:val="auto"/>
          <w:shd w:val="clear" w:color="auto" w:fill="FFFFFF"/>
        </w:rPr>
        <w:t>有序推进农村道路</w:t>
      </w:r>
      <w:r>
        <w:rPr>
          <w:rFonts w:hint="eastAsia" w:ascii="仿宋_GB2312" w:hAnsi="仿宋_GB2312" w:eastAsia="仿宋_GB2312" w:cs="仿宋_GB2312"/>
          <w:b w:val="0"/>
          <w:bCs w:val="0"/>
          <w:color w:val="auto"/>
        </w:rPr>
        <w:t>、农村电网改造</w:t>
      </w:r>
      <w:r>
        <w:rPr>
          <w:rFonts w:hint="eastAsia" w:ascii="仿宋_GB2312" w:hAnsi="仿宋_GB2312" w:eastAsia="仿宋_GB2312" w:cs="仿宋_GB2312"/>
          <w:b w:val="0"/>
          <w:bCs w:val="0"/>
          <w:color w:val="auto"/>
          <w:shd w:val="clear" w:color="auto" w:fill="FFFFFF"/>
        </w:rPr>
        <w:t>提升工程</w:t>
      </w:r>
      <w:r>
        <w:rPr>
          <w:rFonts w:hint="eastAsia" w:ascii="仿宋_GB2312" w:hAnsi="仿宋_GB2312" w:eastAsia="仿宋_GB2312" w:cs="仿宋_GB2312"/>
          <w:b w:val="0"/>
          <w:bCs w:val="0"/>
          <w:color w:val="auto"/>
        </w:rPr>
        <w:t>，推广太阳能路灯、分布式光伏等清洁能源应用，建设城乡一体的交通、供水、供电、信息等网络。</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末，全部组团得到巩固提升，城乡基础设施实现互联互通，乡村全面振兴</w:t>
      </w:r>
      <w:r>
        <w:rPr>
          <w:rFonts w:hint="eastAsia" w:ascii="仿宋_GB2312" w:hAnsi="仿宋_GB2312" w:eastAsia="仿宋_GB2312" w:cs="仿宋_GB2312"/>
          <w:b w:val="0"/>
          <w:bCs w:val="0"/>
          <w:color w:val="auto"/>
          <w:lang w:eastAsia="zh-CN"/>
        </w:rPr>
        <w:t>取得实质性进展</w:t>
      </w:r>
      <w:r>
        <w:rPr>
          <w:rFonts w:hint="eastAsia" w:ascii="仿宋_GB2312" w:hAnsi="仿宋_GB2312" w:eastAsia="仿宋_GB2312" w:cs="仿宋_GB2312"/>
          <w:b w:val="0"/>
          <w:bCs w:val="0"/>
          <w:color w:val="auto"/>
        </w:rPr>
        <w:t>。</w:t>
      </w:r>
    </w:p>
    <w:p w14:paraId="723B0EC8">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401" w:name="_Toc8317"/>
      <w:bookmarkStart w:id="1402" w:name="_Toc5968"/>
      <w:bookmarkStart w:id="1403" w:name="_Toc3496"/>
      <w:bookmarkStart w:id="1404" w:name="_Toc19067"/>
      <w:bookmarkStart w:id="1405" w:name="_Toc11980"/>
      <w:bookmarkStart w:id="1406" w:name="_Toc21611"/>
      <w:bookmarkStart w:id="1407" w:name="_Toc1525964413"/>
      <w:bookmarkStart w:id="1408" w:name="_Toc12536"/>
      <w:bookmarkStart w:id="1409" w:name="_Toc17569"/>
      <w:bookmarkStart w:id="1410" w:name="_Toc17529"/>
      <w:bookmarkStart w:id="1411" w:name="_Toc2320"/>
      <w:bookmarkStart w:id="1412" w:name="_Toc31845"/>
      <w:bookmarkStart w:id="1413" w:name="_Toc161"/>
      <w:bookmarkStart w:id="1414" w:name="_Toc15545"/>
      <w:bookmarkStart w:id="1415" w:name="_Toc215857934"/>
      <w:bookmarkStart w:id="1416" w:name="_Toc30913"/>
      <w:r>
        <w:rPr>
          <w:rFonts w:hint="eastAsia" w:ascii="仿宋_GB2312" w:hAnsi="仿宋_GB2312" w:eastAsia="仿宋_GB2312" w:cs="仿宋_GB2312"/>
          <w:b w:val="0"/>
          <w:bCs w:val="0"/>
        </w:rPr>
        <w:t>二、推进公共服务均等化</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14:paraId="721B17D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提升农村教育医疗水平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优化城乡教育资源配置，深化集团化办学、校际合作，促进优秀教师城乡流动。加强乡镇卫生院和村卫生室能力建设，深化紧密型医共体改革，提高基层医疗卫生服务能力。完善城乡统一的居民基本医疗保险和大病保险制度，实现农村居民基本医疗保险参</w:t>
      </w:r>
      <w:r>
        <w:rPr>
          <w:rFonts w:hint="eastAsia" w:ascii="仿宋_GB2312" w:hAnsi="仿宋_GB2312" w:eastAsia="仿宋_GB2312" w:cs="仿宋_GB2312"/>
          <w:b w:val="0"/>
          <w:bCs w:val="0"/>
          <w:color w:val="auto"/>
        </w:rPr>
        <w:t>保率</w:t>
      </w:r>
      <w:r>
        <w:rPr>
          <w:rFonts w:hint="eastAsia" w:ascii="仿宋_GB2312" w:hAnsi="仿宋_GB2312" w:eastAsia="仿宋_GB2312" w:cs="仿宋_GB2312"/>
          <w:b w:val="0"/>
          <w:bCs w:val="0"/>
          <w:color w:val="auto"/>
          <w:lang w:val="en-US" w:eastAsia="zh-CN"/>
        </w:rPr>
        <w:t>全覆盖</w:t>
      </w:r>
      <w:r>
        <w:rPr>
          <w:rFonts w:hint="eastAsia" w:ascii="仿宋_GB2312" w:hAnsi="仿宋_GB2312" w:eastAsia="仿宋_GB2312" w:cs="仿宋_GB2312"/>
          <w:b w:val="0"/>
          <w:bCs w:val="0"/>
          <w:color w:val="auto"/>
        </w:rPr>
        <w:t>。健全农村社会保障体系，完善城乡居民基本养老保险制度，实现养老保险参保</w:t>
      </w:r>
      <w:r>
        <w:rPr>
          <w:rFonts w:hint="eastAsia" w:ascii="仿宋_GB2312" w:hAnsi="仿宋_GB2312" w:eastAsia="仿宋_GB2312" w:cs="仿宋_GB2312"/>
          <w:b w:val="0"/>
          <w:bCs w:val="0"/>
          <w:color w:val="auto"/>
          <w:lang w:val="en-US" w:eastAsia="zh-CN"/>
        </w:rPr>
        <w:t>全覆盖</w:t>
      </w:r>
      <w:r>
        <w:rPr>
          <w:rFonts w:hint="eastAsia" w:ascii="仿宋_GB2312" w:hAnsi="仿宋_GB2312" w:eastAsia="仿宋_GB2312" w:cs="仿宋_GB2312"/>
          <w:b w:val="0"/>
          <w:bCs w:val="0"/>
          <w:color w:val="auto"/>
        </w:rPr>
        <w:t>。</w:t>
      </w:r>
      <w:r>
        <w:rPr>
          <w:rFonts w:hint="eastAsia" w:ascii="仿宋_GB2312" w:hAnsi="仿宋_GB2312" w:eastAsia="仿宋_GB2312" w:cs="仿宋_GB2312"/>
          <w:b w:val="0"/>
          <w:bCs w:val="0"/>
          <w:color w:val="auto"/>
          <w:lang w:val="en-US" w:eastAsia="zh-CN"/>
        </w:rPr>
        <w:t>健全</w:t>
      </w:r>
      <w:r>
        <w:rPr>
          <w:rFonts w:hint="eastAsia" w:ascii="仿宋_GB2312" w:hAnsi="仿宋_GB2312" w:eastAsia="仿宋_GB2312" w:cs="仿宋_GB2312"/>
          <w:b w:val="0"/>
          <w:bCs w:val="0"/>
          <w:color w:val="auto"/>
        </w:rPr>
        <w:t>城乡统筹、分层分类社会救助</w:t>
      </w:r>
      <w:r>
        <w:rPr>
          <w:rFonts w:hint="eastAsia" w:ascii="仿宋_GB2312" w:hAnsi="仿宋_GB2312" w:eastAsia="仿宋_GB2312" w:cs="仿宋_GB2312"/>
          <w:b w:val="0"/>
          <w:bCs w:val="0"/>
          <w:color w:val="auto"/>
          <w:lang w:val="en-US" w:eastAsia="zh-CN"/>
        </w:rPr>
        <w:t>体系</w:t>
      </w:r>
      <w:r>
        <w:rPr>
          <w:rFonts w:hint="eastAsia" w:ascii="仿宋_GB2312" w:hAnsi="仿宋_GB2312" w:eastAsia="仿宋_GB2312" w:cs="仿宋_GB2312"/>
          <w:b w:val="0"/>
          <w:bCs w:val="0"/>
          <w:color w:val="auto"/>
        </w:rPr>
        <w:t>，做好</w:t>
      </w:r>
      <w:r>
        <w:rPr>
          <w:rFonts w:hint="eastAsia" w:ascii="仿宋_GB2312" w:hAnsi="仿宋_GB2312" w:eastAsia="仿宋_GB2312" w:cs="仿宋_GB2312"/>
          <w:b w:val="0"/>
          <w:bCs w:val="0"/>
        </w:rPr>
        <w:t>农村留守儿童、妇女、老年人及残疾人关爱服务工作。</w:t>
      </w:r>
      <w:r>
        <w:rPr>
          <w:rFonts w:hint="eastAsia" w:ascii="仿宋_GB2312" w:hAnsi="仿宋_GB2312" w:eastAsia="仿宋_GB2312" w:cs="仿宋_GB2312"/>
          <w:b w:val="0"/>
          <w:bCs w:val="0"/>
          <w:lang w:val="en-US" w:eastAsia="zh-CN"/>
        </w:rPr>
        <w:t>健全慈善帮扶机制，弘扬慈善文化，更好发挥第三次分配对居民财富的调节机制。</w:t>
      </w:r>
      <w:r>
        <w:rPr>
          <w:rFonts w:hint="eastAsia" w:ascii="仿宋_GB2312" w:hAnsi="仿宋_GB2312" w:eastAsia="仿宋_GB2312" w:cs="仿宋_GB2312"/>
          <w:b w:val="0"/>
          <w:bCs w:val="0"/>
        </w:rPr>
        <w:t>繁荣农村公共文化，推动区级公共文化资源下沉，建设乡镇综合文化站、村级文化广场，保护农村非物质文化遗产，持续开展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送戏下乡</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、舞台剧、电影放映等多种形式惠民演出。</w:t>
      </w:r>
    </w:p>
    <w:p w14:paraId="785C03D2">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417" w:name="_Toc30300"/>
      <w:bookmarkStart w:id="1418" w:name="_Toc14383"/>
      <w:bookmarkStart w:id="1419" w:name="_Toc16753"/>
      <w:bookmarkStart w:id="1420" w:name="_Toc6737"/>
      <w:bookmarkStart w:id="1421" w:name="_Toc7984"/>
      <w:bookmarkStart w:id="1422" w:name="_Toc22417"/>
      <w:bookmarkStart w:id="1423" w:name="_Toc31935"/>
      <w:bookmarkStart w:id="1424" w:name="_Toc215857935"/>
      <w:bookmarkStart w:id="1425" w:name="_Toc16542"/>
      <w:bookmarkStart w:id="1426" w:name="_Toc7767"/>
      <w:bookmarkStart w:id="1427" w:name="_Toc12617"/>
      <w:bookmarkStart w:id="1428" w:name="_Toc460112478"/>
      <w:bookmarkStart w:id="1429" w:name="_Toc9333"/>
      <w:bookmarkStart w:id="1430" w:name="_Toc15267"/>
      <w:bookmarkStart w:id="1431" w:name="_Toc896"/>
      <w:bookmarkStart w:id="1432" w:name="_Toc18660"/>
      <w:r>
        <w:rPr>
          <w:rFonts w:hint="eastAsia" w:ascii="仿宋_GB2312" w:hAnsi="仿宋_GB2312" w:eastAsia="仿宋_GB2312" w:cs="仿宋_GB2312"/>
          <w:b w:val="0"/>
          <w:bCs w:val="0"/>
        </w:rPr>
        <w:t>三、</w:t>
      </w:r>
      <w:bookmarkEnd w:id="1417"/>
      <w:bookmarkEnd w:id="1418"/>
      <w:bookmarkEnd w:id="1419"/>
      <w:bookmarkEnd w:id="1420"/>
      <w:bookmarkEnd w:id="1421"/>
      <w:bookmarkEnd w:id="1422"/>
      <w:bookmarkEnd w:id="1423"/>
      <w:bookmarkEnd w:id="1424"/>
      <w:r>
        <w:rPr>
          <w:rFonts w:hint="eastAsia" w:ascii="仿宋_GB2312" w:hAnsi="仿宋_GB2312" w:eastAsia="仿宋_GB2312" w:cs="仿宋_GB2312"/>
          <w:b w:val="0"/>
          <w:bCs w:val="0"/>
          <w:lang w:val="en-US" w:eastAsia="zh-CN"/>
        </w:rPr>
        <w:t>提高强农惠农富农政策效能</w:t>
      </w:r>
      <w:bookmarkEnd w:id="1425"/>
      <w:bookmarkEnd w:id="1426"/>
      <w:bookmarkEnd w:id="1427"/>
      <w:bookmarkEnd w:id="1428"/>
      <w:bookmarkEnd w:id="1429"/>
      <w:bookmarkEnd w:id="1430"/>
      <w:bookmarkEnd w:id="1431"/>
      <w:bookmarkEnd w:id="1432"/>
    </w:p>
    <w:p w14:paraId="65D38A7D">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lang w:eastAsia="zh-CN"/>
        </w:rPr>
        <w:t>健全多元投入机制，提高财政资金使用效益，</w:t>
      </w:r>
      <w:r>
        <w:rPr>
          <w:rFonts w:hint="eastAsia" w:ascii="仿宋_GB2312" w:hAnsi="仿宋_GB2312" w:eastAsia="仿宋_GB2312" w:cs="仿宋_GB2312"/>
          <w:b w:val="0"/>
          <w:bCs w:val="0"/>
        </w:rPr>
        <w:t>创新农村投融资机制，鼓励金融机构创新农村金融产品和服务，</w:t>
      </w:r>
      <w:r>
        <w:rPr>
          <w:rFonts w:hint="eastAsia" w:ascii="仿宋_GB2312" w:hAnsi="仿宋_GB2312" w:eastAsia="仿宋_GB2312" w:cs="仿宋_GB2312"/>
          <w:b w:val="0"/>
          <w:bCs w:val="0"/>
          <w:lang w:eastAsia="zh-CN"/>
        </w:rPr>
        <w:t>积极吸引</w:t>
      </w:r>
      <w:r>
        <w:rPr>
          <w:rFonts w:hint="eastAsia" w:ascii="仿宋_GB2312" w:hAnsi="仿宋_GB2312" w:eastAsia="仿宋_GB2312" w:cs="仿宋_GB2312"/>
          <w:b w:val="0"/>
          <w:bCs w:val="0"/>
          <w:lang w:val="en-US" w:eastAsia="zh-CN"/>
        </w:rPr>
        <w:t>并</w:t>
      </w:r>
      <w:r>
        <w:rPr>
          <w:rFonts w:hint="eastAsia" w:ascii="仿宋_GB2312" w:hAnsi="仿宋_GB2312" w:eastAsia="仿宋_GB2312" w:cs="仿宋_GB2312"/>
          <w:b w:val="0"/>
          <w:bCs w:val="0"/>
        </w:rPr>
        <w:t>引导、规范</w:t>
      </w:r>
      <w:r>
        <w:rPr>
          <w:rFonts w:hint="eastAsia" w:ascii="仿宋_GB2312" w:hAnsi="仿宋_GB2312" w:eastAsia="仿宋_GB2312" w:cs="仿宋_GB2312"/>
          <w:b w:val="0"/>
          <w:bCs w:val="0"/>
          <w:lang w:eastAsia="zh-CN"/>
        </w:rPr>
        <w:t>社会资本投入，确保乡村振兴投入力度不断增强。</w:t>
      </w:r>
      <w:r>
        <w:rPr>
          <w:rFonts w:hint="eastAsia" w:ascii="仿宋_GB2312" w:hAnsi="仿宋_GB2312" w:eastAsia="仿宋_GB2312" w:cs="仿宋_GB2312"/>
          <w:b w:val="0"/>
          <w:bCs w:val="0"/>
        </w:rPr>
        <w:t>深化农村土地制度改革，</w:t>
      </w:r>
      <w:r>
        <w:rPr>
          <w:rFonts w:hint="eastAsia" w:ascii="仿宋_GB2312" w:hAnsi="仿宋_GB2312" w:eastAsia="仿宋_GB2312" w:cs="仿宋_GB2312"/>
          <w:b w:val="0"/>
          <w:bCs w:val="0"/>
          <w:lang w:eastAsia="zh-CN"/>
        </w:rPr>
        <w:t>稳步推进第二轮土地承包到期后再延长三十年试点，扎实做好房地一体宅基地确权登记颁证工作。</w:t>
      </w:r>
      <w:r>
        <w:rPr>
          <w:rFonts w:hint="eastAsia" w:ascii="仿宋_GB2312" w:hAnsi="仿宋_GB2312" w:eastAsia="仿宋_GB2312" w:cs="仿宋_GB2312"/>
          <w:b w:val="0"/>
          <w:bCs w:val="0"/>
        </w:rPr>
        <w:t>稳慎推进农村宅基地制度改革，积极探索宅基地所有权、资格权、使用权分置有效实现形式，鼓励和规范农村闲置宅基地和闲置住宅的盘活利用。健全土地经营权市场化流转服务平台和风险防范机制，大力发展多种形式的农业适度规模经营。健全城乡统一的建设用地市场，探索农村集体经营性建设用地入市途径。发展壮大新型农村集体经济，鼓励和支持村集体经济组织通过自主开发、作价入股、合资合作等多种方式，深度参与乡村旅游开发、仓储物流建设、农产品初加工、城乡公共服务供给等项目，积极探索农村集体资产收益分配机制。</w:t>
      </w:r>
      <w:r>
        <w:rPr>
          <w:rFonts w:hint="eastAsia" w:ascii="仿宋_GB2312" w:hAnsi="仿宋_GB2312" w:eastAsia="仿宋_GB2312" w:cs="仿宋_GB2312"/>
          <w:b w:val="0"/>
          <w:bCs w:val="0"/>
          <w:lang w:val="en-US" w:eastAsia="zh-CN"/>
        </w:rPr>
        <w:t>持续完善</w:t>
      </w:r>
      <w:r>
        <w:rPr>
          <w:rFonts w:hint="eastAsia" w:ascii="仿宋_GB2312" w:hAnsi="仿宋_GB2312" w:eastAsia="仿宋_GB2312" w:cs="仿宋_GB2312"/>
          <w:b w:val="0"/>
          <w:bCs w:val="0"/>
          <w:lang w:eastAsia="zh-CN"/>
        </w:rPr>
        <w:t>常态化防止返贫致贫机制，抓好动态监测和精准帮扶，确保不发生规模性返贫致贫。</w:t>
      </w:r>
    </w:p>
    <w:p w14:paraId="060661C9">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p>
    <w:p w14:paraId="06CC5670">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bookmarkStart w:id="1433" w:name="_Toc281"/>
      <w:bookmarkStart w:id="1434" w:name="_Toc1572102123"/>
      <w:bookmarkStart w:id="1435" w:name="_Toc72"/>
      <w:bookmarkStart w:id="1436" w:name="_Toc8374"/>
      <w:bookmarkStart w:id="1437" w:name="_Toc18561"/>
      <w:bookmarkStart w:id="1438" w:name="_Toc21332"/>
      <w:bookmarkStart w:id="1439" w:name="_Toc17697"/>
      <w:bookmarkStart w:id="1440" w:name="_Toc4214"/>
      <w:r>
        <w:rPr>
          <w:rFonts w:hint="eastAsia" w:ascii="黑体" w:hAnsi="黑体" w:eastAsia="黑体" w:cs="黑体"/>
          <w:b w:val="0"/>
          <w:bCs w:val="0"/>
          <w:lang w:val="en-US" w:eastAsia="zh-CN"/>
        </w:rPr>
        <w:t xml:space="preserve">第八章 </w:t>
      </w:r>
      <w:bookmarkEnd w:id="1377"/>
      <w:bookmarkEnd w:id="1378"/>
      <w:bookmarkEnd w:id="1379"/>
      <w:r>
        <w:rPr>
          <w:rFonts w:hint="eastAsia" w:ascii="黑体" w:hAnsi="黑体" w:eastAsia="黑体" w:cs="黑体"/>
          <w:b w:val="0"/>
          <w:bCs w:val="0"/>
          <w:lang w:val="en-US" w:eastAsia="zh-CN"/>
        </w:rPr>
        <w:t xml:space="preserve"> 赓续历史文脉，推动文旅产业高质量融合发展</w:t>
      </w:r>
      <w:bookmarkEnd w:id="1433"/>
      <w:bookmarkEnd w:id="1434"/>
      <w:bookmarkEnd w:id="1435"/>
      <w:bookmarkEnd w:id="1436"/>
      <w:bookmarkEnd w:id="1437"/>
      <w:bookmarkEnd w:id="1438"/>
      <w:bookmarkEnd w:id="1439"/>
      <w:bookmarkEnd w:id="1440"/>
    </w:p>
    <w:p w14:paraId="3F63C4F2">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p>
    <w:p w14:paraId="4EF6DFD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坚持马克思主义在意识形态领域的指导地位，以社会主义核心价值观引领文化建设，用党的创新理论武装头脑、以先进文化滋养人心、以文明创建提升素养，繁荣文化事业，做大文旅产业，打造都市郊野研学文创旅游目的地。</w:t>
      </w:r>
    </w:p>
    <w:p w14:paraId="3509FEB5">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1441" w:name="_Toc8998"/>
      <w:bookmarkStart w:id="1442" w:name="_Toc18748"/>
      <w:bookmarkStart w:id="1443" w:name="_Toc19511"/>
      <w:bookmarkStart w:id="1444" w:name="_Toc780675745"/>
      <w:bookmarkStart w:id="1445" w:name="_Toc29341"/>
      <w:bookmarkStart w:id="1446" w:name="_Toc19589"/>
      <w:bookmarkStart w:id="1447" w:name="_Toc15003"/>
      <w:bookmarkStart w:id="1448" w:name="_Toc12948"/>
      <w:bookmarkStart w:id="1449" w:name="_Toc1195"/>
      <w:bookmarkStart w:id="1450" w:name="_Toc26628"/>
      <w:bookmarkStart w:id="1451" w:name="_Toc16562"/>
    </w:p>
    <w:p w14:paraId="38600165">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一</w:t>
      </w:r>
      <w:r>
        <w:rPr>
          <w:rFonts w:hint="eastAsia" w:ascii="黑体" w:hAnsi="黑体" w:eastAsia="黑体" w:cs="黑体"/>
          <w:b w:val="0"/>
          <w:bCs w:val="0"/>
        </w:rPr>
        <w:t>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弘扬和践行社会主义核心价值观</w:t>
      </w:r>
      <w:bookmarkEnd w:id="1441"/>
      <w:bookmarkEnd w:id="1442"/>
      <w:bookmarkEnd w:id="1443"/>
      <w:bookmarkEnd w:id="1444"/>
      <w:bookmarkEnd w:id="1445"/>
      <w:bookmarkEnd w:id="1446"/>
      <w:bookmarkEnd w:id="1447"/>
      <w:bookmarkEnd w:id="1448"/>
      <w:bookmarkEnd w:id="1449"/>
      <w:bookmarkEnd w:id="1450"/>
      <w:bookmarkEnd w:id="1451"/>
    </w:p>
    <w:p w14:paraId="438C9ADA">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p>
    <w:p w14:paraId="1FBDF53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高举</w:t>
      </w:r>
      <w:r>
        <w:rPr>
          <w:rFonts w:hint="eastAsia" w:ascii="仿宋_GB2312" w:hAnsi="仿宋_GB2312" w:eastAsia="仿宋_GB2312" w:cs="仿宋_GB2312"/>
          <w:b w:val="0"/>
          <w:bCs w:val="0"/>
        </w:rPr>
        <w:t>习近平新时代中国特色社会主义思想</w:t>
      </w:r>
      <w:r>
        <w:rPr>
          <w:rFonts w:hint="eastAsia" w:ascii="仿宋_GB2312" w:hAnsi="仿宋_GB2312" w:eastAsia="仿宋_GB2312" w:cs="仿宋_GB2312"/>
          <w:b w:val="0"/>
          <w:bCs w:val="0"/>
          <w:lang w:val="en-US" w:eastAsia="zh-CN"/>
        </w:rPr>
        <w:t>伟大旗帜</w:t>
      </w:r>
      <w:r>
        <w:rPr>
          <w:rFonts w:hint="eastAsia" w:ascii="仿宋_GB2312" w:hAnsi="仿宋_GB2312" w:eastAsia="仿宋_GB2312" w:cs="仿宋_GB2312"/>
          <w:b w:val="0"/>
          <w:bCs w:val="0"/>
        </w:rPr>
        <w:t>，加强社会主义精神文明建设，推动形成适应新时代要求的思想观念、精神面貌、文明风尚、行为规范，不断提升人民文明素养和社会文明程度。</w:t>
      </w:r>
    </w:p>
    <w:p w14:paraId="78CB8EB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452" w:name="_Toc15433"/>
      <w:bookmarkStart w:id="1453" w:name="_Toc9808"/>
      <w:bookmarkStart w:id="1454" w:name="_Toc29251"/>
      <w:bookmarkStart w:id="1455" w:name="_Toc4882"/>
      <w:bookmarkStart w:id="1456" w:name="_Toc14226"/>
      <w:bookmarkStart w:id="1457" w:name="_Toc3967"/>
      <w:bookmarkStart w:id="1458" w:name="_Toc1724055040"/>
      <w:bookmarkStart w:id="1459" w:name="_Toc3840"/>
      <w:bookmarkStart w:id="1460" w:name="_Toc5706"/>
      <w:bookmarkStart w:id="1461" w:name="_Toc22175"/>
      <w:bookmarkStart w:id="1462" w:name="_Toc15363"/>
      <w:r>
        <w:rPr>
          <w:rFonts w:hint="eastAsia" w:ascii="仿宋_GB2312" w:hAnsi="仿宋_GB2312" w:eastAsia="仿宋_GB2312" w:cs="仿宋_GB2312"/>
          <w:b w:val="0"/>
          <w:bCs w:val="0"/>
        </w:rPr>
        <w:t>一、巩固壮大主流思想舆论</w:t>
      </w:r>
      <w:bookmarkEnd w:id="1452"/>
      <w:bookmarkEnd w:id="1453"/>
      <w:bookmarkEnd w:id="1454"/>
      <w:bookmarkEnd w:id="1455"/>
      <w:bookmarkEnd w:id="1456"/>
      <w:bookmarkEnd w:id="1457"/>
      <w:bookmarkEnd w:id="1458"/>
      <w:bookmarkEnd w:id="1459"/>
      <w:bookmarkEnd w:id="1460"/>
      <w:bookmarkEnd w:id="1461"/>
      <w:bookmarkEnd w:id="1462"/>
    </w:p>
    <w:p w14:paraId="7A17C78C">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color w:val="auto"/>
          <w:spacing w:val="0"/>
          <w:sz w:val="32"/>
          <w:szCs w:val="32"/>
          <w:lang w:eastAsia="zh-CN"/>
        </w:rPr>
        <w:t>深化党的创新理论学习教育，坚持不懈用习近平新时代中国特色社会主义思想凝心铸魂。</w:t>
      </w:r>
      <w:r>
        <w:rPr>
          <w:rFonts w:hint="eastAsia" w:ascii="仿宋_GB2312" w:hAnsi="仿宋_GB2312" w:eastAsia="仿宋_GB2312" w:cs="仿宋_GB2312"/>
          <w:b w:val="0"/>
          <w:bCs w:val="0"/>
          <w:color w:val="auto"/>
          <w:spacing w:val="0"/>
          <w:sz w:val="32"/>
          <w:szCs w:val="32"/>
          <w:lang w:val="en-US" w:eastAsia="zh-CN"/>
        </w:rPr>
        <w:t>严格落实党委意识形态工作责任制，完善攻防并举的意识形态工作格局。</w:t>
      </w:r>
      <w:r>
        <w:rPr>
          <w:rFonts w:hint="eastAsia" w:ascii="仿宋_GB2312" w:hAnsi="仿宋_GB2312" w:eastAsia="仿宋_GB2312" w:cs="仿宋_GB2312"/>
          <w:b w:val="0"/>
          <w:bCs w:val="0"/>
        </w:rPr>
        <w:t>坚持和落实党管媒体原则，牢牢把握正确舆论导向，常态化开展重大主题宣传。建强用好融媒体中心</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及时更新党政信息，宣传党的方针政策，传播正能量</w:t>
      </w:r>
      <w:r>
        <w:rPr>
          <w:rFonts w:hint="eastAsia" w:ascii="仿宋_GB2312" w:hAnsi="仿宋_GB2312" w:eastAsia="仿宋_GB2312" w:cs="仿宋_GB2312"/>
          <w:b w:val="0"/>
          <w:bCs w:val="0"/>
        </w:rPr>
        <w:t>。充分运用文化墙、村史馆、红色教育基地等文化阵地和载体，广泛开展道德模范等宣传活动，推动社会主义核心价值观宣传全面覆盖各类媒体、公共空间、文化宣传阵地和人群。加强网络文明建设，发展积极健康的网络文化。深化未成年人思想道德建设，构建学校、家庭、社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三位一体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的未成年人思想道德教育网络。大力支持国防和军队现代化建设，完善国防动员体系，强化全民国防教育，巩固军政军民团结。</w:t>
      </w:r>
      <w:bookmarkStart w:id="1463" w:name="_Toc10154"/>
      <w:bookmarkStart w:id="1464" w:name="_Toc22822"/>
      <w:bookmarkStart w:id="1465" w:name="_Toc18107"/>
      <w:bookmarkStart w:id="1466" w:name="_Toc4557"/>
      <w:bookmarkStart w:id="1467" w:name="_Toc30064"/>
      <w:bookmarkStart w:id="1468" w:name="_Toc1937"/>
      <w:bookmarkStart w:id="1469" w:name="_Toc6037"/>
      <w:bookmarkStart w:id="1470" w:name="_Toc16688"/>
      <w:bookmarkStart w:id="1471" w:name="_Toc18740"/>
      <w:bookmarkStart w:id="1472" w:name="_Toc20209"/>
      <w:bookmarkStart w:id="1473" w:name="_Toc1384860217"/>
    </w:p>
    <w:p w14:paraId="1CDE1C1B">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二、持续提升公众文明素养</w:t>
      </w:r>
      <w:bookmarkEnd w:id="1463"/>
      <w:bookmarkEnd w:id="1464"/>
      <w:bookmarkEnd w:id="1465"/>
      <w:bookmarkEnd w:id="1466"/>
      <w:bookmarkEnd w:id="1467"/>
      <w:bookmarkEnd w:id="1468"/>
      <w:bookmarkEnd w:id="1469"/>
      <w:bookmarkEnd w:id="1470"/>
      <w:bookmarkEnd w:id="1471"/>
      <w:bookmarkEnd w:id="1472"/>
      <w:bookmarkEnd w:id="1473"/>
    </w:p>
    <w:p w14:paraId="116AE9F1">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坚持标杆带动，实施公民道德建设工程，以加强社会公德、职业道德、家庭美德、个人品德建设为着力点，评选树立一批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最美伊滨人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，加强宣传学习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引导人们自觉讲道德、尊道德、守道德。实施文明创建工程，推动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文明单位、文明社区、文明村镇、文明家庭、文明校园</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等系列群众性创建活动，深化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文明交通、文明旅游、文明餐桌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等市民文明素质提升行动，组织开展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风尚新美、环境秀美、生活富美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创建。广泛开展社会工作和志愿服务关爱行动，推进志愿服务制度化建设。完善市民公约、乡规民约、学生守则、团体章程等社会规范，建立惩戒失德行为机制。弘扬诚信文化，建设诚信伊滨。倡导艰苦奋斗、勤俭节约，大力弘扬劳模精神、劳动精神、工匠精神，深入开展以劳动创造幸福为主题的宣传教育。</w:t>
      </w:r>
    </w:p>
    <w:p w14:paraId="63820D3F">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474" w:name="_Toc31799"/>
      <w:bookmarkStart w:id="1475" w:name="_Toc4785"/>
      <w:bookmarkStart w:id="1476" w:name="_Toc13828"/>
      <w:bookmarkStart w:id="1477" w:name="_Toc4064"/>
      <w:bookmarkStart w:id="1478" w:name="_Toc26457"/>
      <w:bookmarkStart w:id="1479" w:name="_Toc10035"/>
      <w:bookmarkStart w:id="1480" w:name="_Toc4088"/>
      <w:bookmarkStart w:id="1481" w:name="_Toc558508121"/>
      <w:bookmarkStart w:id="1482" w:name="_Toc13882"/>
      <w:bookmarkStart w:id="1483" w:name="_Toc6243"/>
      <w:bookmarkStart w:id="1484" w:name="_Toc29437"/>
    </w:p>
    <w:p w14:paraId="432383CA">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第二节  大力繁荣文化事业</w:t>
      </w:r>
      <w:bookmarkEnd w:id="1474"/>
      <w:bookmarkEnd w:id="1475"/>
      <w:bookmarkEnd w:id="1476"/>
      <w:bookmarkEnd w:id="1477"/>
      <w:bookmarkEnd w:id="1478"/>
      <w:bookmarkEnd w:id="1479"/>
      <w:bookmarkEnd w:id="1480"/>
      <w:bookmarkEnd w:id="1481"/>
    </w:p>
    <w:p w14:paraId="2F174BD2">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p>
    <w:p w14:paraId="001A6BE1">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提高文化软实力，创新实施文化惠民工程，加快构建现代公共文化服务体系和现代文化产业体系，以高质量的文化供给增强人民群众的文化获得感幸福感。</w:t>
      </w:r>
    </w:p>
    <w:p w14:paraId="7C79E927">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485" w:name="_Toc162461290"/>
      <w:bookmarkStart w:id="1486" w:name="_Toc790"/>
      <w:bookmarkStart w:id="1487" w:name="_Toc5167"/>
      <w:bookmarkStart w:id="1488" w:name="_Toc12600"/>
      <w:bookmarkStart w:id="1489" w:name="_Toc8370"/>
      <w:bookmarkStart w:id="1490" w:name="_Toc20105"/>
      <w:bookmarkStart w:id="1491" w:name="_Toc26594"/>
      <w:bookmarkStart w:id="1492" w:name="_Toc19439"/>
      <w:bookmarkStart w:id="1493" w:name="_Toc23458"/>
      <w:r>
        <w:rPr>
          <w:rFonts w:hint="eastAsia" w:ascii="仿宋_GB2312" w:hAnsi="仿宋_GB2312" w:eastAsia="仿宋_GB2312" w:cs="仿宋_GB2312"/>
          <w:b w:val="0"/>
          <w:bCs w:val="0"/>
          <w:lang w:val="en-US" w:eastAsia="zh-CN"/>
        </w:rPr>
        <w:t>一、完善公共文化服务体系</w:t>
      </w:r>
      <w:bookmarkEnd w:id="1485"/>
      <w:bookmarkEnd w:id="1486"/>
      <w:bookmarkEnd w:id="1487"/>
      <w:bookmarkEnd w:id="1488"/>
      <w:bookmarkEnd w:id="1489"/>
      <w:bookmarkEnd w:id="1490"/>
      <w:bookmarkEnd w:id="1491"/>
      <w:bookmarkEnd w:id="1492"/>
      <w:bookmarkEnd w:id="1493"/>
    </w:p>
    <w:p w14:paraId="358A7D1C">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构建覆盖城乡、普惠共享的现代公共文化服务体系，统筹优化城乡文化设施布局，高标准推进各类文化场馆提档升级与数字化改造，构建“云端文化馆”“数字图书馆”等线上服务矩阵，并深度整合新时代文明实践中心等基层阵地。优化城乡文化资源配置，按照公益性、基本性、均等性、便利性要求，统筹规划完善城乡公共文化服务网络，形成结构合理、发展平衡、网络健全、运行有效、惠及全民的现代公共文化服务体系，提升公共文化产品和服务供给能力，更好满足群众多层次、多样化文化需求。</w:t>
      </w:r>
    </w:p>
    <w:p w14:paraId="02C0C85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494" w:name="_Toc4327"/>
      <w:bookmarkStart w:id="1495" w:name="_Toc2067"/>
      <w:bookmarkStart w:id="1496" w:name="_Toc29269"/>
      <w:bookmarkStart w:id="1497" w:name="_Toc21016"/>
      <w:bookmarkStart w:id="1498" w:name="_Toc20741"/>
      <w:bookmarkStart w:id="1499" w:name="_Toc7284"/>
      <w:bookmarkStart w:id="1500" w:name="_Toc7379"/>
      <w:bookmarkStart w:id="1501" w:name="_Toc1903763664"/>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w:t>
      </w:r>
      <w:bookmarkEnd w:id="1482"/>
      <w:bookmarkEnd w:id="1483"/>
      <w:bookmarkEnd w:id="1484"/>
      <w:r>
        <w:rPr>
          <w:rFonts w:hint="eastAsia" w:ascii="仿宋_GB2312" w:hAnsi="仿宋_GB2312" w:eastAsia="仿宋_GB2312" w:cs="仿宋_GB2312"/>
          <w:b w:val="0"/>
          <w:bCs w:val="0"/>
          <w:lang w:val="en-US" w:eastAsia="en-US"/>
        </w:rPr>
        <w:t>加强文化遗产保护传承传播</w:t>
      </w:r>
      <w:bookmarkEnd w:id="1494"/>
      <w:bookmarkEnd w:id="1495"/>
      <w:bookmarkEnd w:id="1496"/>
      <w:bookmarkEnd w:id="1497"/>
      <w:bookmarkEnd w:id="1498"/>
      <w:bookmarkEnd w:id="1499"/>
      <w:bookmarkEnd w:id="1500"/>
      <w:bookmarkEnd w:id="1501"/>
    </w:p>
    <w:p w14:paraId="1EEE16E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snapToGrid w:val="0"/>
          <w:color w:val="auto"/>
          <w:kern w:val="0"/>
          <w:sz w:val="32"/>
          <w:szCs w:val="32"/>
          <w:highlight w:val="none"/>
          <w:lang w:eastAsia="en-US"/>
        </w:rPr>
        <w:t>积极融入黄河文化保护传承弘扬</w:t>
      </w:r>
      <w:r>
        <w:rPr>
          <w:rFonts w:hint="eastAsia" w:ascii="仿宋_GB2312" w:hAnsi="仿宋_GB2312" w:eastAsia="仿宋_GB2312" w:cs="仿宋_GB2312"/>
          <w:b w:val="0"/>
          <w:bCs w:val="0"/>
          <w:snapToGrid w:val="0"/>
          <w:color w:val="auto"/>
          <w:kern w:val="0"/>
          <w:sz w:val="32"/>
          <w:szCs w:val="32"/>
          <w:highlight w:val="none"/>
          <w:lang w:eastAsia="zh-CN"/>
        </w:rPr>
        <w:t>工作</w:t>
      </w:r>
      <w:r>
        <w:rPr>
          <w:rFonts w:hint="eastAsia" w:ascii="仿宋_GB2312" w:hAnsi="仿宋_GB2312" w:eastAsia="仿宋_GB2312" w:cs="仿宋_GB2312"/>
          <w:b w:val="0"/>
          <w:bCs w:val="0"/>
          <w:snapToGrid w:val="0"/>
          <w:color w:val="auto"/>
          <w:kern w:val="0"/>
          <w:sz w:val="32"/>
          <w:szCs w:val="32"/>
          <w:highlight w:val="none"/>
          <w:lang w:eastAsia="en-US"/>
        </w:rPr>
        <w:t>大局。</w:t>
      </w:r>
      <w:r>
        <w:rPr>
          <w:rFonts w:hint="eastAsia" w:ascii="仿宋_GB2312" w:hAnsi="仿宋_GB2312" w:eastAsia="仿宋_GB2312" w:cs="仿宋_GB2312"/>
          <w:b w:val="0"/>
          <w:bCs w:val="0"/>
        </w:rPr>
        <w:t>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红色+</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战略，深入挖掘并讲好革命故事，传承红色基因。</w:t>
      </w:r>
      <w:r>
        <w:rPr>
          <w:rFonts w:hint="eastAsia" w:ascii="仿宋_GB2312" w:hAnsi="仿宋_GB2312" w:eastAsia="仿宋_GB2312" w:cs="仿宋_GB2312"/>
          <w:b w:val="0"/>
          <w:bCs w:val="0"/>
          <w:snapToGrid w:val="0"/>
          <w:color w:val="auto"/>
          <w:kern w:val="0"/>
          <w:sz w:val="32"/>
          <w:szCs w:val="32"/>
          <w:highlight w:val="none"/>
          <w:lang w:val="en-US" w:eastAsia="en-US"/>
        </w:rPr>
        <w:t>加强文化遗产系统性保护，完善文化遗产保护规划体系，建立文化遗产名录档案，加强文物保护领域关键技术攻关和成果应用</w:t>
      </w:r>
      <w:r>
        <w:rPr>
          <w:rFonts w:hint="eastAsia" w:ascii="仿宋_GB2312" w:hAnsi="仿宋_GB2312" w:eastAsia="仿宋_GB2312" w:cs="仿宋_GB2312"/>
          <w:b w:val="0"/>
          <w:bCs w:val="0"/>
          <w:snapToGrid w:val="0"/>
          <w:color w:val="auto"/>
          <w:kern w:val="0"/>
          <w:sz w:val="32"/>
          <w:szCs w:val="32"/>
          <w:highlight w:val="none"/>
          <w:lang w:val="en-US" w:eastAsia="zh-CN"/>
        </w:rPr>
        <w:t>，</w:t>
      </w:r>
      <w:r>
        <w:rPr>
          <w:rFonts w:hint="eastAsia" w:ascii="仿宋_GB2312" w:hAnsi="仿宋_GB2312" w:eastAsia="仿宋_GB2312" w:cs="仿宋_GB2312"/>
          <w:b w:val="0"/>
          <w:bCs w:val="0"/>
          <w:lang w:val="en-US" w:eastAsia="zh-CN"/>
        </w:rPr>
        <w:t>提高</w:t>
      </w:r>
      <w:r>
        <w:rPr>
          <w:rFonts w:hint="eastAsia" w:ascii="仿宋_GB2312" w:hAnsi="仿宋_GB2312" w:eastAsia="仿宋_GB2312" w:cs="仿宋_GB2312"/>
          <w:b w:val="0"/>
          <w:bCs w:val="0"/>
        </w:rPr>
        <w:t>文物隐患整治和消防能力。</w:t>
      </w:r>
      <w:r>
        <w:rPr>
          <w:rFonts w:hint="eastAsia" w:ascii="仿宋_GB2312" w:hAnsi="仿宋_GB2312" w:eastAsia="仿宋_GB2312" w:cs="仿宋_GB2312"/>
          <w:b w:val="0"/>
          <w:bCs w:val="0"/>
          <w:lang w:val="en-US" w:eastAsia="zh-CN"/>
        </w:rPr>
        <w:t>提升客家文化学术研讨会影响力，</w:t>
      </w:r>
      <w:r>
        <w:rPr>
          <w:rFonts w:hint="eastAsia" w:ascii="仿宋_GB2312" w:hAnsi="仿宋_GB2312" w:eastAsia="仿宋_GB2312" w:cs="仿宋_GB2312"/>
          <w:b w:val="0"/>
          <w:bCs w:val="0"/>
        </w:rPr>
        <w:t>依托客家之源纪念馆及丰富的历史文化资源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打造伊滨客家文化品牌</w:t>
      </w:r>
      <w:r>
        <w:rPr>
          <w:rFonts w:hint="eastAsia" w:ascii="仿宋_GB2312" w:hAnsi="仿宋_GB2312" w:eastAsia="仿宋_GB2312" w:cs="仿宋_GB2312"/>
          <w:b w:val="0"/>
          <w:bCs w:val="0"/>
        </w:rPr>
        <w:t>。依托</w:t>
      </w:r>
      <w:r>
        <w:rPr>
          <w:rFonts w:hint="eastAsia" w:ascii="仿宋_GB2312" w:hAnsi="仿宋_GB2312" w:eastAsia="仿宋_GB2312" w:cs="仿宋_GB2312"/>
          <w:b w:val="0"/>
          <w:bCs w:val="0"/>
          <w:color w:val="auto"/>
        </w:rPr>
        <w:t>司马光文化园、</w:t>
      </w:r>
      <w:r>
        <w:rPr>
          <w:rFonts w:hint="eastAsia" w:ascii="仿宋_GB2312" w:hAnsi="仿宋_GB2312" w:eastAsia="仿宋_GB2312" w:cs="仿宋_GB2312"/>
          <w:b w:val="0"/>
          <w:bCs w:val="0"/>
          <w:color w:val="auto"/>
          <w:lang w:val="en-US" w:eastAsia="zh-CN"/>
        </w:rPr>
        <w:t>禹</w:t>
      </w:r>
      <w:r>
        <w:rPr>
          <w:rFonts w:hint="eastAsia" w:ascii="仿宋_GB2312" w:hAnsi="仿宋_GB2312" w:eastAsia="仿宋_GB2312" w:cs="仿宋_GB2312"/>
          <w:b w:val="0"/>
          <w:bCs w:val="0"/>
          <w:lang w:val="en-US" w:eastAsia="zh-CN"/>
        </w:rPr>
        <w:t>宿谷堆</w:t>
      </w:r>
      <w:r>
        <w:rPr>
          <w:rFonts w:hint="eastAsia" w:ascii="仿宋_GB2312" w:hAnsi="仿宋_GB2312" w:eastAsia="仿宋_GB2312" w:cs="仿宋_GB2312"/>
          <w:b w:val="0"/>
          <w:bCs w:val="0"/>
        </w:rPr>
        <w:t>、中共豫西特委梁村旧址修缮工程等文物保护展示工程，协调文物勘探与项目建设，保障文物安全与经济发展。建立非物质文化遗产数据库。构建非物质文化遗产和代表性传承人名录体系，积极做好各级各类非遗名录项目推荐申报工作。加强档案基础设施提升、信息化建设以及档案的保护利用。</w:t>
      </w:r>
    </w:p>
    <w:p w14:paraId="51A32952">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502" w:name="_Toc10202"/>
      <w:bookmarkStart w:id="1503" w:name="_Toc12668"/>
      <w:bookmarkStart w:id="1504" w:name="_Toc28159"/>
      <w:bookmarkStart w:id="1505" w:name="_Toc26875"/>
      <w:bookmarkStart w:id="1506" w:name="_Toc22174"/>
      <w:bookmarkStart w:id="1507" w:name="_Toc17629"/>
      <w:bookmarkStart w:id="1508" w:name="_Toc729723867"/>
      <w:bookmarkStart w:id="1509" w:name="_Toc13180"/>
      <w:bookmarkStart w:id="1510" w:name="_Toc17556"/>
      <w:bookmarkStart w:id="1511" w:name="_Toc17601"/>
      <w:bookmarkStart w:id="1512" w:name="_Toc14196"/>
      <w:r>
        <w:rPr>
          <w:rFonts w:hint="eastAsia" w:ascii="仿宋_GB2312" w:hAnsi="仿宋_GB2312" w:eastAsia="仿宋_GB2312" w:cs="仿宋_GB2312"/>
          <w:b w:val="0"/>
          <w:bCs w:val="0"/>
          <w:lang w:val="en-US" w:eastAsia="zh-CN"/>
        </w:rPr>
        <w:t>三、建设</w:t>
      </w:r>
      <w:r>
        <w:rPr>
          <w:rFonts w:hint="eastAsia" w:ascii="仿宋_GB2312" w:hAnsi="仿宋_GB2312" w:eastAsia="仿宋_GB2312" w:cs="仿宋_GB2312"/>
          <w:b w:val="0"/>
          <w:bCs w:val="0"/>
        </w:rPr>
        <w:t>文体强区</w:t>
      </w:r>
      <w:bookmarkEnd w:id="1502"/>
      <w:bookmarkEnd w:id="1503"/>
      <w:bookmarkEnd w:id="1504"/>
      <w:bookmarkEnd w:id="1505"/>
      <w:bookmarkEnd w:id="1506"/>
      <w:bookmarkEnd w:id="1507"/>
      <w:bookmarkEnd w:id="1508"/>
      <w:bookmarkEnd w:id="1509"/>
      <w:bookmarkEnd w:id="1510"/>
      <w:bookmarkEnd w:id="1511"/>
      <w:bookmarkEnd w:id="1512"/>
    </w:p>
    <w:p w14:paraId="34F947C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推动公共文体资源有效整合和互联互通，完善公共文体设施网络。全面推进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六个身边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工程建设，加大社区体育公园、多功能运动场地、健身步道建设，打造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10分钟高品质健身圈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到2030年，新改建社区体育设施20处以上。推进公共文体服务高质量发展。实施文化惠民工程、文艺精品工程，依托街道综合文化活动中心、镇文化站、社区综合文化服务中心等载体，开展丰富多彩的群众文化活动，让群众在家门口享受文化滋养。引导和支持社会力量参与公共文化建设，畅通群众文化需求和评价反馈渠道。普及科学健身知识和健身方法，组织开展多样化健身活动，探索举办区全民运动会，镇（街道）群众运动会、村（社区）运动会等比赛活动，满足群众体育健身需求。</w:t>
      </w:r>
    </w:p>
    <w:p w14:paraId="059A1AE0">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1513" w:name="_Toc25677"/>
      <w:bookmarkStart w:id="1514" w:name="_Toc2173"/>
      <w:bookmarkStart w:id="1515" w:name="_Toc4672"/>
      <w:bookmarkStart w:id="1516" w:name="_Toc27230"/>
      <w:bookmarkStart w:id="1517" w:name="_Toc15171"/>
      <w:bookmarkStart w:id="1518" w:name="_Toc31322"/>
      <w:bookmarkStart w:id="1519" w:name="_Toc1070222403"/>
      <w:bookmarkStart w:id="1520" w:name="_Toc14510"/>
      <w:bookmarkStart w:id="1521" w:name="_Toc27294"/>
      <w:bookmarkStart w:id="1522" w:name="_Toc3838"/>
      <w:bookmarkStart w:id="1523" w:name="_Toc23672"/>
    </w:p>
    <w:p w14:paraId="703BF52A">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lang w:val="en-US" w:eastAsia="zh-CN"/>
        </w:rPr>
        <w:t>第三节  推动</w:t>
      </w:r>
      <w:r>
        <w:rPr>
          <w:rFonts w:hint="eastAsia" w:ascii="黑体" w:hAnsi="黑体" w:eastAsia="黑体" w:cs="黑体"/>
          <w:b w:val="0"/>
          <w:bCs w:val="0"/>
        </w:rPr>
        <w:t>文旅产业</w:t>
      </w:r>
      <w:r>
        <w:rPr>
          <w:rFonts w:hint="eastAsia" w:ascii="黑体" w:hAnsi="黑体" w:eastAsia="黑体" w:cs="黑体"/>
          <w:b w:val="0"/>
          <w:bCs w:val="0"/>
          <w:lang w:val="en-US" w:eastAsia="zh-CN"/>
        </w:rPr>
        <w:t>高质量</w:t>
      </w:r>
      <w:r>
        <w:rPr>
          <w:rFonts w:hint="eastAsia" w:ascii="黑体" w:hAnsi="黑体" w:eastAsia="黑体" w:cs="黑体"/>
          <w:b w:val="0"/>
          <w:bCs w:val="0"/>
        </w:rPr>
        <w:t>发展</w:t>
      </w:r>
      <w:bookmarkEnd w:id="1513"/>
      <w:bookmarkEnd w:id="1514"/>
      <w:bookmarkEnd w:id="1515"/>
      <w:bookmarkEnd w:id="1516"/>
      <w:bookmarkEnd w:id="1517"/>
      <w:bookmarkEnd w:id="1518"/>
      <w:bookmarkEnd w:id="1519"/>
      <w:bookmarkEnd w:id="1520"/>
      <w:bookmarkEnd w:id="1521"/>
      <w:bookmarkEnd w:id="1522"/>
      <w:bookmarkEnd w:id="1523"/>
    </w:p>
    <w:p w14:paraId="2D9E57E9">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524" w:name="_Toc8263"/>
      <w:bookmarkStart w:id="1525" w:name="_Toc23592"/>
      <w:bookmarkStart w:id="1526" w:name="_Toc8186"/>
    </w:p>
    <w:p w14:paraId="48F0A27C">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深度挖掘生态价值、文化价值和休闲价值，以文塑旅、以旅彰文，构建内涵丰富、业态多元、特色鲜明的文旅融合发展新格局，将伊滨乡村打造成为洛阳市民和周边游客向往的微度假、慢生活目的地。</w:t>
      </w:r>
    </w:p>
    <w:p w14:paraId="56C88C41">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527" w:name="_Toc19794"/>
      <w:bookmarkStart w:id="1528" w:name="_Toc25550"/>
      <w:bookmarkStart w:id="1529" w:name="_Toc28501"/>
      <w:bookmarkStart w:id="1530" w:name="_Toc32343"/>
      <w:bookmarkStart w:id="1531" w:name="_Toc642493831"/>
      <w:bookmarkStart w:id="1532" w:name="_Toc13329"/>
      <w:bookmarkStart w:id="1533" w:name="_Toc13484"/>
      <w:bookmarkStart w:id="1534" w:name="_Toc14508"/>
      <w:r>
        <w:rPr>
          <w:rFonts w:hint="eastAsia" w:ascii="仿宋_GB2312" w:hAnsi="仿宋_GB2312" w:eastAsia="仿宋_GB2312" w:cs="仿宋_GB2312"/>
          <w:b w:val="0"/>
          <w:bCs w:val="0"/>
          <w:lang w:val="en-US" w:eastAsia="zh-CN"/>
        </w:rPr>
        <w:t>一、构建旅游</w:t>
      </w:r>
      <w:bookmarkEnd w:id="1524"/>
      <w:bookmarkEnd w:id="1525"/>
      <w:bookmarkEnd w:id="1526"/>
      <w:r>
        <w:rPr>
          <w:rFonts w:hint="eastAsia" w:ascii="仿宋_GB2312" w:hAnsi="仿宋_GB2312" w:eastAsia="仿宋_GB2312" w:cs="仿宋_GB2312"/>
          <w:b w:val="0"/>
          <w:bCs w:val="0"/>
          <w:lang w:val="en-US" w:eastAsia="zh-CN"/>
        </w:rPr>
        <w:t>发展新格局</w:t>
      </w:r>
      <w:bookmarkEnd w:id="1527"/>
      <w:bookmarkEnd w:id="1528"/>
      <w:bookmarkEnd w:id="1529"/>
      <w:bookmarkEnd w:id="1530"/>
      <w:bookmarkEnd w:id="1531"/>
      <w:bookmarkEnd w:id="1532"/>
      <w:bookmarkEnd w:id="1533"/>
      <w:bookmarkEnd w:id="1534"/>
    </w:p>
    <w:p w14:paraId="5F0544FE">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依托伊河优美的自然景观和深厚的</w:t>
      </w:r>
      <w:r>
        <w:rPr>
          <w:rFonts w:hint="eastAsia" w:ascii="仿宋_GB2312" w:hAnsi="仿宋_GB2312" w:eastAsia="仿宋_GB2312" w:cs="仿宋_GB2312"/>
          <w:b w:val="0"/>
          <w:bCs w:val="0"/>
          <w:color w:val="auto"/>
          <w:lang w:val="en-US" w:eastAsia="zh-CN"/>
        </w:rPr>
        <w:t>历史</w:t>
      </w:r>
      <w:r>
        <w:rPr>
          <w:rFonts w:hint="eastAsia" w:ascii="仿宋_GB2312" w:hAnsi="仿宋_GB2312" w:eastAsia="仿宋_GB2312" w:cs="仿宋_GB2312"/>
          <w:b w:val="0"/>
          <w:bCs w:val="0"/>
          <w:color w:val="auto"/>
        </w:rPr>
        <w:t>文化底蕴，重点发展旅游休闲、数字娱乐、体育赛事等产业。构建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一核、一带、多点</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的旅游发展布局。</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一核</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即洛阳华夏历史文明传承创新产业园核心旅游区；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一带</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为旅游环线，串联大谷关、万安山</w:t>
      </w:r>
      <w:r>
        <w:rPr>
          <w:rFonts w:hint="eastAsia" w:ascii="仿宋_GB2312" w:hAnsi="仿宋_GB2312" w:eastAsia="仿宋_GB2312" w:cs="仿宋_GB2312"/>
          <w:b w:val="0"/>
          <w:bCs w:val="0"/>
          <w:color w:val="auto"/>
          <w:lang w:eastAsia="zh-CN"/>
        </w:rPr>
        <w:t>、倒盏村</w:t>
      </w:r>
      <w:r>
        <w:rPr>
          <w:rFonts w:hint="eastAsia" w:ascii="仿宋_GB2312" w:hAnsi="仿宋_GB2312" w:eastAsia="仿宋_GB2312" w:cs="仿宋_GB2312"/>
          <w:b w:val="0"/>
          <w:bCs w:val="0"/>
          <w:color w:val="auto"/>
        </w:rPr>
        <w:t>等重要景点；</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多点</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涵盖玉泉山居、杨沟民宿、跃龙谷等周边特色民宿群，以及其他分散的旅游景点和乡村旅游点。打造以洛阳华夏历史文明传承创新产业园为标志性的文旅核心，充分发挥其品牌影响力和游客集聚效应，带动周边景区转型升级。丰富优化旅游环线，大力发展特色乡村民宿，融入当地文化元素，提供个性化住宿体验，丰富游客住宿选择。</w:t>
      </w:r>
    </w:p>
    <w:p w14:paraId="4E8E8C01">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535" w:name="_Toc26329"/>
      <w:bookmarkStart w:id="1536" w:name="_Toc22090"/>
      <w:bookmarkStart w:id="1537" w:name="_Toc11955"/>
      <w:bookmarkStart w:id="1538" w:name="_Toc18032"/>
      <w:bookmarkStart w:id="1539" w:name="_Toc1332302890"/>
      <w:bookmarkStart w:id="1540" w:name="_Toc215857936"/>
      <w:bookmarkStart w:id="1541" w:name="_Toc31737"/>
      <w:bookmarkStart w:id="1542" w:name="_Toc12549"/>
      <w:bookmarkStart w:id="1543" w:name="_Toc31553"/>
      <w:bookmarkStart w:id="1544" w:name="_Toc11101"/>
      <w:bookmarkStart w:id="1545" w:name="_Toc7565"/>
      <w:bookmarkStart w:id="1546" w:name="_Toc9248"/>
      <w:bookmarkStart w:id="1547" w:name="_Toc22163"/>
      <w:bookmarkStart w:id="1548" w:name="_Toc18627"/>
      <w:bookmarkStart w:id="1549" w:name="_Toc18315"/>
      <w:r>
        <w:rPr>
          <w:rFonts w:hint="eastAsia" w:ascii="仿宋_GB2312" w:hAnsi="仿宋_GB2312" w:eastAsia="仿宋_GB2312" w:cs="仿宋_GB2312"/>
          <w:b w:val="0"/>
          <w:bCs w:val="0"/>
          <w:lang w:val="en-US" w:eastAsia="zh-CN"/>
        </w:rPr>
        <w:t>二、促进</w:t>
      </w:r>
      <w:r>
        <w:rPr>
          <w:rFonts w:hint="eastAsia" w:ascii="仿宋_GB2312" w:hAnsi="仿宋_GB2312" w:eastAsia="仿宋_GB2312" w:cs="仿宋_GB2312"/>
          <w:b w:val="0"/>
          <w:bCs w:val="0"/>
        </w:rPr>
        <w:t>农文旅融合</w:t>
      </w:r>
      <w:r>
        <w:rPr>
          <w:rFonts w:hint="eastAsia" w:ascii="仿宋_GB2312" w:hAnsi="仿宋_GB2312" w:eastAsia="仿宋_GB2312" w:cs="仿宋_GB2312"/>
          <w:b w:val="0"/>
          <w:bCs w:val="0"/>
          <w:lang w:val="en-US" w:eastAsia="zh-CN"/>
        </w:rPr>
        <w:t>发展</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14:paraId="28E8C47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以万安山、大谷关等重要景点为核心，构建精品旅游环线。引入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微短剧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等文旅新风口，引导倒盏民俗村、玉川古寨等景区差异化发展。拓展文旅融合新业态，建设万安山田园综合体，推进采摘园建设，发展生态农业观光、农耕体验等业态提升游客</w:t>
      </w:r>
      <w:r>
        <w:rPr>
          <w:rFonts w:hint="eastAsia" w:ascii="仿宋_GB2312" w:hAnsi="仿宋_GB2312" w:eastAsia="仿宋_GB2312" w:cs="仿宋_GB2312"/>
          <w:b w:val="0"/>
          <w:bCs w:val="0"/>
          <w:lang w:val="en-US" w:eastAsia="zh-CN"/>
        </w:rPr>
        <w:t>参与</w:t>
      </w:r>
      <w:r>
        <w:rPr>
          <w:rFonts w:hint="eastAsia" w:ascii="仿宋_GB2312" w:hAnsi="仿宋_GB2312" w:eastAsia="仿宋_GB2312" w:cs="仿宋_GB2312"/>
          <w:b w:val="0"/>
          <w:bCs w:val="0"/>
        </w:rPr>
        <w:t>感。持续深入实施油菜、油葵轮作工程，叫响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春览油菜、秋赏油葵</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的伊滨乡村游名片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依托大谷关、万安山、伊河湿地公园、梁村旧址等资源，开发红色文化研学、历史文化体验、生态科技研学、非遗民俗研学等沉浸式教育旅游项目。开发徒步、攀岩、滑翔伞等山地运动，举办系列赛事活动，推动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文旅+体育</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深度融合，提升区域影响力。积极参加洛阳文旅推介会，加强与中央、省级及线上</w:t>
      </w:r>
      <w:r>
        <w:rPr>
          <w:rFonts w:hint="eastAsia" w:ascii="仿宋_GB2312" w:hAnsi="仿宋_GB2312" w:eastAsia="仿宋_GB2312" w:cs="仿宋_GB2312"/>
          <w:b w:val="0"/>
          <w:bCs w:val="0"/>
          <w:lang w:val="en-US" w:eastAsia="zh-CN"/>
        </w:rPr>
        <w:t>媒体</w:t>
      </w:r>
      <w:r>
        <w:rPr>
          <w:rFonts w:hint="eastAsia" w:ascii="仿宋_GB2312" w:hAnsi="仿宋_GB2312" w:eastAsia="仿宋_GB2312" w:cs="仿宋_GB2312"/>
          <w:b w:val="0"/>
          <w:bCs w:val="0"/>
        </w:rPr>
        <w:t>平台的深度合作，构建“线上线下联动、政企媒协同”的宣传矩阵。</w:t>
      </w:r>
    </w:p>
    <w:p w14:paraId="35AF430B">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550" w:name="_Toc13346"/>
      <w:bookmarkStart w:id="1551" w:name="_Toc19346"/>
      <w:bookmarkStart w:id="1552" w:name="_Toc14784"/>
      <w:bookmarkStart w:id="1553" w:name="_Toc120847972"/>
      <w:bookmarkStart w:id="1554" w:name="_Toc6321"/>
      <w:bookmarkStart w:id="1555" w:name="_Toc14680"/>
      <w:bookmarkStart w:id="1556" w:name="_Toc17056"/>
      <w:bookmarkStart w:id="1557" w:name="_Toc10192"/>
      <w:bookmarkStart w:id="1558" w:name="_Toc17170"/>
      <w:bookmarkStart w:id="1559" w:name="_Toc5713"/>
      <w:bookmarkStart w:id="1560" w:name="_Toc29926"/>
      <w:r>
        <w:rPr>
          <w:rFonts w:hint="eastAsia" w:ascii="仿宋_GB2312" w:hAnsi="仿宋_GB2312" w:eastAsia="仿宋_GB2312" w:cs="仿宋_GB2312"/>
          <w:b w:val="0"/>
          <w:bCs w:val="0"/>
          <w:lang w:val="en-US" w:eastAsia="zh-CN"/>
        </w:rPr>
        <w:t>三、</w:t>
      </w:r>
      <w:bookmarkEnd w:id="1550"/>
      <w:bookmarkEnd w:id="1551"/>
      <w:bookmarkEnd w:id="1552"/>
      <w:r>
        <w:rPr>
          <w:rFonts w:hint="eastAsia" w:ascii="仿宋_GB2312" w:hAnsi="仿宋_GB2312" w:eastAsia="仿宋_GB2312" w:cs="仿宋_GB2312"/>
          <w:b w:val="0"/>
          <w:bCs w:val="0"/>
          <w:lang w:val="en-US" w:eastAsia="zh-CN"/>
        </w:rPr>
        <w:t>打造文旅全产业链</w:t>
      </w:r>
      <w:bookmarkEnd w:id="1553"/>
      <w:bookmarkEnd w:id="1554"/>
      <w:bookmarkEnd w:id="1555"/>
      <w:bookmarkEnd w:id="1556"/>
      <w:bookmarkEnd w:id="1557"/>
      <w:bookmarkEnd w:id="1558"/>
      <w:bookmarkEnd w:id="1559"/>
      <w:bookmarkEnd w:id="1560"/>
    </w:p>
    <w:p w14:paraId="010BAA1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整合旅游资源，推出洛阳华夏历史文明传承创新产业园沉浸式体验、中央</w:t>
      </w:r>
      <w:r>
        <w:rPr>
          <w:rFonts w:hint="eastAsia" w:ascii="仿宋_GB2312" w:hAnsi="仿宋_GB2312" w:eastAsia="仿宋_GB2312" w:cs="仿宋_GB2312"/>
          <w:b w:val="0"/>
          <w:bCs w:val="0"/>
          <w:lang w:val="en-US" w:eastAsia="zh-CN"/>
        </w:rPr>
        <w:t>轴线踏青露营</w:t>
      </w:r>
      <w:r>
        <w:rPr>
          <w:rFonts w:hint="eastAsia" w:ascii="仿宋_GB2312" w:hAnsi="仿宋_GB2312" w:eastAsia="仿宋_GB2312" w:cs="仿宋_GB2312"/>
          <w:b w:val="0"/>
          <w:bCs w:val="0"/>
        </w:rPr>
        <w:t>、伊水游园非遗体验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奥体中心文</w:t>
      </w:r>
      <w:r>
        <w:rPr>
          <w:rFonts w:hint="eastAsia" w:ascii="仿宋_GB2312" w:hAnsi="仿宋_GB2312" w:eastAsia="仿宋_GB2312" w:cs="仿宋_GB2312"/>
          <w:b w:val="0"/>
          <w:bCs w:val="0"/>
          <w:lang w:val="en-US" w:eastAsia="zh-CN"/>
        </w:rPr>
        <w:t>体</w:t>
      </w:r>
      <w:r>
        <w:rPr>
          <w:rFonts w:hint="eastAsia" w:ascii="仿宋_GB2312" w:hAnsi="仿宋_GB2312" w:eastAsia="仿宋_GB2312" w:cs="仿宋_GB2312"/>
          <w:b w:val="0"/>
          <w:bCs w:val="0"/>
        </w:rPr>
        <w:t>活动以及乡村民宿休闲度假的联合旅游线路。强化融合创新发展，深入推进旅游景区和农业、科技、体育等相关产业融合创新。依托伊河、万安山等自然生态资源，创新发展都市休闲、生态康养、体育赛事、研学旅游等文旅新业态。围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万安山居、万安山味、万安</w:t>
      </w:r>
      <w:r>
        <w:rPr>
          <w:rFonts w:hint="eastAsia" w:ascii="仿宋_GB2312" w:hAnsi="仿宋_GB2312" w:eastAsia="仿宋_GB2312" w:cs="仿宋_GB2312"/>
          <w:b w:val="0"/>
          <w:bCs w:val="0"/>
          <w:lang w:eastAsia="zh-CN"/>
        </w:rPr>
        <w:t>山</w:t>
      </w:r>
      <w:r>
        <w:rPr>
          <w:rFonts w:hint="eastAsia" w:ascii="仿宋_GB2312" w:hAnsi="仿宋_GB2312" w:eastAsia="仿宋_GB2312" w:cs="仿宋_GB2312"/>
          <w:b w:val="0"/>
          <w:bCs w:val="0"/>
        </w:rPr>
        <w:t>趣</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全要素配套，完善餐饮、住宿、购物、娱乐等配套业态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创新运营管理机制，鼓励引入专业运营商，搭建景区合作平台，建立联盟合作机制。鼓励</w:t>
      </w:r>
      <w:r>
        <w:rPr>
          <w:rFonts w:hint="eastAsia" w:ascii="仿宋_GB2312" w:hAnsi="仿宋_GB2312" w:eastAsia="仿宋_GB2312" w:cs="仿宋_GB2312"/>
          <w:b w:val="0"/>
          <w:bCs w:val="0"/>
          <w:lang w:val="en-US" w:eastAsia="zh-CN"/>
        </w:rPr>
        <w:t>企业</w:t>
      </w:r>
      <w:r>
        <w:rPr>
          <w:rFonts w:hint="eastAsia" w:ascii="仿宋_GB2312" w:hAnsi="仿宋_GB2312" w:eastAsia="仿宋_GB2312" w:cs="仿宋_GB2312"/>
          <w:b w:val="0"/>
          <w:bCs w:val="0"/>
        </w:rPr>
        <w:t>与</w:t>
      </w:r>
      <w:r>
        <w:rPr>
          <w:rFonts w:hint="eastAsia" w:ascii="仿宋_GB2312" w:hAnsi="仿宋_GB2312" w:eastAsia="仿宋_GB2312" w:cs="仿宋_GB2312"/>
          <w:b w:val="0"/>
          <w:bCs w:val="0"/>
          <w:lang w:val="en-US" w:eastAsia="zh-CN"/>
        </w:rPr>
        <w:t>乡镇</w:t>
      </w:r>
      <w:r>
        <w:rPr>
          <w:rFonts w:hint="eastAsia" w:ascii="仿宋_GB2312" w:hAnsi="仿宋_GB2312" w:eastAsia="仿宋_GB2312" w:cs="仿宋_GB2312"/>
          <w:b w:val="0"/>
          <w:bCs w:val="0"/>
        </w:rPr>
        <w:t>联动发展，串联山地生态与田园产业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共建四季宜游的增收共同体。完善基础设施网络，开通串联洛阳华夏历史文明传承</w:t>
      </w:r>
      <w:r>
        <w:rPr>
          <w:rFonts w:hint="eastAsia" w:ascii="仿宋_GB2312" w:hAnsi="仿宋_GB2312" w:eastAsia="仿宋_GB2312" w:cs="仿宋_GB2312"/>
          <w:b w:val="0"/>
          <w:bCs w:val="0"/>
          <w:lang w:eastAsia="zh-CN"/>
        </w:rPr>
        <w:t>创新</w:t>
      </w:r>
      <w:r>
        <w:rPr>
          <w:rFonts w:hint="eastAsia" w:ascii="仿宋_GB2312" w:hAnsi="仿宋_GB2312" w:eastAsia="仿宋_GB2312" w:cs="仿宋_GB2312"/>
          <w:b w:val="0"/>
          <w:bCs w:val="0"/>
        </w:rPr>
        <w:t>产业园、万安山等核心景区的旅游</w:t>
      </w:r>
      <w:r>
        <w:rPr>
          <w:rFonts w:hint="eastAsia" w:ascii="仿宋_GB2312" w:hAnsi="仿宋_GB2312" w:eastAsia="仿宋_GB2312" w:cs="仿宋_GB2312"/>
          <w:b w:val="0"/>
          <w:bCs w:val="0"/>
          <w:lang w:val="en-US" w:eastAsia="zh-CN"/>
        </w:rPr>
        <w:t>线路</w:t>
      </w:r>
      <w:r>
        <w:rPr>
          <w:rFonts w:hint="eastAsia" w:ascii="仿宋_GB2312" w:hAnsi="仿宋_GB2312" w:eastAsia="仿宋_GB2312" w:cs="仿宋_GB2312"/>
          <w:b w:val="0"/>
          <w:bCs w:val="0"/>
        </w:rPr>
        <w:t>，完成旅游环线二期建设，配套建设骑行绿道和观光步道。快速推进壹然在野民宿二期、风之谷等项目建设以及五龙峡景区、杨沟民宿等重点文旅项目建设</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推动民宿向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精品化、主题化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升级，加快建设高端民宿集群产业。</w:t>
      </w:r>
      <w:bookmarkStart w:id="1561" w:name="_Toc1003"/>
      <w:bookmarkStart w:id="1562" w:name="_Toc31457"/>
      <w:bookmarkStart w:id="1563" w:name="_Toc944"/>
    </w:p>
    <w:p w14:paraId="1BE303C0">
      <w:pPr>
        <w:pageBreakBefore w:val="0"/>
        <w:widowControl w:val="0"/>
        <w:kinsoku/>
        <w:wordWrap/>
        <w:topLinePunct w:val="0"/>
        <w:bidi w:val="0"/>
        <w:spacing w:line="600" w:lineRule="exact"/>
        <w:rPr>
          <w:rFonts w:hint="eastAsia" w:ascii="仿宋_GB2312" w:hAnsi="仿宋_GB2312" w:eastAsia="仿宋_GB2312" w:cs="仿宋_GB2312"/>
          <w:b w:val="0"/>
          <w:bCs w:val="0"/>
        </w:rPr>
      </w:pPr>
    </w:p>
    <w:tbl>
      <w:tblPr>
        <w:tblStyle w:val="34"/>
        <w:tblW w:w="0" w:type="auto"/>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8"/>
      </w:tblGrid>
      <w:tr w14:paraId="23C5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8" w:type="dxa"/>
          </w:tcPr>
          <w:p w14:paraId="5AC40858">
            <w:pPr>
              <w:pStyle w:val="2"/>
              <w:keepNext w:val="0"/>
              <w:keepLines w:val="0"/>
              <w:pageBreakBefore w:val="0"/>
              <w:widowControl w:val="0"/>
              <w:suppressLineNumbers w:val="0"/>
              <w:kinsoku/>
              <w:wordWrap/>
              <w:topLinePunct w:val="0"/>
              <w:bidi w:val="0"/>
              <w:spacing w:before="0" w:beforeAutospacing="0" w:after="0" w:afterAutospacing="0" w:line="600" w:lineRule="exact"/>
              <w:ind w:left="0" w:right="0"/>
              <w:jc w:val="center"/>
              <w:rPr>
                <w:rFonts w:hint="eastAsia" w:ascii="仿宋_GB2312" w:hAnsi="仿宋_GB2312" w:eastAsia="仿宋_GB2312" w:cs="仿宋_GB2312"/>
                <w:b w:val="0"/>
                <w:bCs w:val="0"/>
                <w:color w:val="auto"/>
                <w:kern w:val="2"/>
                <w:sz w:val="28"/>
                <w:szCs w:val="28"/>
                <w:lang w:val="en-US" w:eastAsia="zh-CN"/>
              </w:rPr>
            </w:pPr>
            <w:r>
              <w:rPr>
                <w:rFonts w:hint="eastAsia" w:ascii="黑体" w:hAnsi="黑体" w:eastAsia="黑体" w:cs="黑体"/>
                <w:b w:val="0"/>
                <w:bCs w:val="0"/>
                <w:color w:val="auto"/>
                <w:kern w:val="0"/>
                <w:sz w:val="28"/>
                <w:szCs w:val="28"/>
              </w:rPr>
              <w:t>专栏</w:t>
            </w:r>
            <w:r>
              <w:rPr>
                <w:rFonts w:hint="eastAsia" w:ascii="黑体" w:hAnsi="黑体" w:eastAsia="黑体" w:cs="黑体"/>
                <w:b w:val="0"/>
                <w:bCs w:val="0"/>
                <w:color w:val="auto"/>
                <w:kern w:val="0"/>
                <w:sz w:val="28"/>
                <w:szCs w:val="28"/>
                <w:lang w:val="en-US" w:eastAsia="zh-CN"/>
              </w:rPr>
              <w:t xml:space="preserve"> 8-1    </w:t>
            </w:r>
            <w:r>
              <w:rPr>
                <w:rFonts w:hint="eastAsia" w:ascii="黑体" w:hAnsi="黑体" w:eastAsia="黑体" w:cs="黑体"/>
                <w:b w:val="0"/>
                <w:bCs w:val="0"/>
                <w:color w:val="auto"/>
                <w:kern w:val="0"/>
                <w:sz w:val="28"/>
                <w:szCs w:val="28"/>
              </w:rPr>
              <w:t>文旅</w:t>
            </w:r>
            <w:r>
              <w:rPr>
                <w:rFonts w:hint="eastAsia" w:ascii="黑体" w:hAnsi="黑体" w:eastAsia="黑体" w:cs="黑体"/>
                <w:b w:val="0"/>
                <w:bCs w:val="0"/>
                <w:color w:val="auto"/>
                <w:kern w:val="0"/>
                <w:sz w:val="28"/>
                <w:szCs w:val="28"/>
                <w:lang w:val="en-US" w:eastAsia="zh-CN"/>
              </w:rPr>
              <w:t>产业</w:t>
            </w:r>
            <w:r>
              <w:rPr>
                <w:rFonts w:hint="eastAsia" w:ascii="黑体" w:hAnsi="黑体" w:eastAsia="黑体" w:cs="黑体"/>
                <w:b w:val="0"/>
                <w:bCs w:val="0"/>
                <w:color w:val="auto"/>
                <w:kern w:val="0"/>
                <w:sz w:val="28"/>
                <w:szCs w:val="28"/>
              </w:rPr>
              <w:t>融合</w:t>
            </w:r>
            <w:r>
              <w:rPr>
                <w:rFonts w:hint="eastAsia" w:ascii="黑体" w:hAnsi="黑体" w:eastAsia="黑体" w:cs="黑体"/>
                <w:b w:val="0"/>
                <w:bCs w:val="0"/>
                <w:color w:val="auto"/>
                <w:kern w:val="0"/>
                <w:sz w:val="28"/>
                <w:szCs w:val="28"/>
                <w:lang w:val="en-US" w:eastAsia="zh-CN"/>
              </w:rPr>
              <w:t>发展项目</w:t>
            </w:r>
          </w:p>
        </w:tc>
      </w:tr>
      <w:tr w14:paraId="52CE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8" w:type="dxa"/>
          </w:tcPr>
          <w:p w14:paraId="2AB76468">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rPr>
                <w:rFonts w:hint="eastAsia" w:ascii="仿宋_GB2312" w:hAnsi="仿宋_GB2312" w:eastAsia="仿宋_GB2312" w:cs="仿宋_GB2312"/>
                <w:b w:val="0"/>
                <w:bCs w:val="0"/>
                <w:color w:val="auto"/>
                <w:kern w:val="2"/>
                <w:sz w:val="28"/>
                <w:szCs w:val="28"/>
                <w:lang w:eastAsia="zh-CN"/>
              </w:rPr>
            </w:pPr>
            <w:r>
              <w:rPr>
                <w:rFonts w:hint="eastAsia" w:ascii="仿宋_GB2312" w:hAnsi="仿宋_GB2312" w:eastAsia="仿宋_GB2312" w:cs="仿宋_GB2312"/>
                <w:b w:val="0"/>
                <w:bCs w:val="0"/>
                <w:color w:val="auto"/>
                <w:kern w:val="2"/>
                <w:sz w:val="28"/>
                <w:szCs w:val="28"/>
                <w:lang w:val="en-US" w:eastAsia="zh-CN"/>
              </w:rPr>
              <w:t>文旅产业重点建设项目。谋划万安山低空文旅项目，特色康养项目2个，文化遗址保护与开发项目3个，研学基地项目3个，特色民宿项目8个</w:t>
            </w:r>
            <w:r>
              <w:rPr>
                <w:rFonts w:hint="eastAsia" w:ascii="仿宋_GB2312" w:hAnsi="仿宋_GB2312" w:eastAsia="仿宋_GB2312" w:cs="仿宋_GB2312"/>
                <w:b w:val="0"/>
                <w:bCs w:val="0"/>
                <w:color w:val="auto"/>
                <w:kern w:val="2"/>
                <w:sz w:val="28"/>
                <w:szCs w:val="28"/>
                <w:lang w:eastAsia="zh-CN"/>
              </w:rPr>
              <w:t>。</w:t>
            </w:r>
          </w:p>
          <w:p w14:paraId="54F06E2F">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rPr>
                <w:rFonts w:hint="eastAsia" w:ascii="仿宋_GB2312" w:hAnsi="仿宋_GB2312" w:eastAsia="仿宋_GB2312" w:cs="仿宋_GB2312"/>
                <w:b w:val="0"/>
                <w:bCs w:val="0"/>
                <w:color w:val="auto"/>
                <w:kern w:val="2"/>
                <w:sz w:val="28"/>
                <w:szCs w:val="28"/>
                <w:lang w:eastAsia="zh-CN"/>
              </w:rPr>
            </w:pPr>
            <w:r>
              <w:rPr>
                <w:rFonts w:hint="eastAsia" w:ascii="仿宋_GB2312" w:hAnsi="仿宋_GB2312" w:eastAsia="仿宋_GB2312" w:cs="仿宋_GB2312"/>
                <w:b w:val="0"/>
                <w:bCs w:val="0"/>
                <w:color w:val="auto"/>
                <w:kern w:val="2"/>
                <w:sz w:val="28"/>
                <w:szCs w:val="28"/>
                <w:lang w:val="en-US" w:eastAsia="zh-CN"/>
              </w:rPr>
              <w:t>旅游景区建设项目。推动</w:t>
            </w:r>
            <w:r>
              <w:rPr>
                <w:rFonts w:hint="eastAsia" w:ascii="仿宋_GB2312" w:hAnsi="仿宋_GB2312" w:eastAsia="仿宋_GB2312" w:cs="仿宋_GB2312"/>
                <w:b w:val="0"/>
                <w:bCs w:val="0"/>
                <w:color w:val="auto"/>
                <w:kern w:val="2"/>
                <w:sz w:val="28"/>
                <w:szCs w:val="28"/>
              </w:rPr>
              <w:t>寇店镇五龙峡景区开发项目</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谋划</w:t>
            </w:r>
            <w:r>
              <w:rPr>
                <w:rFonts w:hint="eastAsia" w:ascii="仿宋_GB2312" w:hAnsi="仿宋_GB2312" w:eastAsia="仿宋_GB2312" w:cs="仿宋_GB2312"/>
                <w:b w:val="0"/>
                <w:bCs w:val="0"/>
                <w:color w:val="auto"/>
                <w:kern w:val="2"/>
                <w:sz w:val="28"/>
                <w:szCs w:val="28"/>
              </w:rPr>
              <w:t>诸葛镇酒流沟</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世界客家文化公园</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万安山旅游度假区住宿设施提升</w:t>
            </w:r>
            <w:r>
              <w:rPr>
                <w:rFonts w:hint="eastAsia" w:ascii="仿宋_GB2312" w:hAnsi="仿宋_GB2312" w:eastAsia="仿宋_GB2312" w:cs="仿宋_GB2312"/>
                <w:b w:val="0"/>
                <w:bCs w:val="0"/>
                <w:color w:val="auto"/>
                <w:kern w:val="2"/>
                <w:sz w:val="28"/>
                <w:szCs w:val="28"/>
                <w:lang w:val="en-US" w:eastAsia="zh-CN"/>
              </w:rPr>
              <w:t>等旅游景区建设项目4个</w:t>
            </w:r>
            <w:r>
              <w:rPr>
                <w:rFonts w:hint="eastAsia" w:ascii="仿宋_GB2312" w:hAnsi="仿宋_GB2312" w:eastAsia="仿宋_GB2312" w:cs="仿宋_GB2312"/>
                <w:b w:val="0"/>
                <w:bCs w:val="0"/>
                <w:color w:val="auto"/>
                <w:kern w:val="2"/>
                <w:sz w:val="28"/>
                <w:szCs w:val="28"/>
                <w:lang w:eastAsia="zh-CN"/>
              </w:rPr>
              <w:t>。</w:t>
            </w:r>
          </w:p>
        </w:tc>
      </w:tr>
    </w:tbl>
    <w:p w14:paraId="16712B3D">
      <w:pPr>
        <w:pageBreakBefore w:val="0"/>
        <w:widowControl w:val="0"/>
        <w:kinsoku/>
        <w:wordWrap/>
        <w:topLinePunct w:val="0"/>
        <w:bidi w:val="0"/>
        <w:spacing w:line="600" w:lineRule="exact"/>
        <w:ind w:left="0" w:leftChars="0" w:firstLine="0" w:firstLineChars="0"/>
        <w:rPr>
          <w:rFonts w:hint="eastAsia" w:ascii="仿宋_GB2312" w:hAnsi="仿宋_GB2312" w:eastAsia="仿宋_GB2312" w:cs="仿宋_GB2312"/>
          <w:b w:val="0"/>
          <w:bCs w:val="0"/>
        </w:rPr>
      </w:pPr>
      <w:bookmarkStart w:id="1564" w:name="_Toc28499"/>
      <w:bookmarkStart w:id="1565" w:name="_Toc30238"/>
      <w:bookmarkStart w:id="1566" w:name="_Toc5443"/>
      <w:bookmarkStart w:id="1567" w:name="_Toc896133848"/>
      <w:bookmarkStart w:id="1568" w:name="_Toc16664"/>
      <w:bookmarkStart w:id="1569" w:name="_Toc1220"/>
      <w:bookmarkStart w:id="1570" w:name="_Toc9562"/>
      <w:bookmarkStart w:id="1571" w:name="_Toc19045"/>
    </w:p>
    <w:p w14:paraId="17F09E95">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九</w:t>
      </w:r>
      <w:r>
        <w:rPr>
          <w:rFonts w:hint="eastAsia" w:ascii="黑体" w:hAnsi="黑体" w:eastAsia="黑体" w:cs="黑体"/>
          <w:b w:val="0"/>
          <w:bCs w:val="0"/>
        </w:rPr>
        <w:t xml:space="preserve">章 </w:t>
      </w:r>
      <w:r>
        <w:rPr>
          <w:rFonts w:hint="eastAsia" w:ascii="黑体" w:hAnsi="黑体" w:eastAsia="黑体" w:cs="黑体"/>
          <w:b w:val="0"/>
          <w:bCs w:val="0"/>
          <w:lang w:val="en-US" w:eastAsia="zh-CN"/>
        </w:rPr>
        <w:t xml:space="preserve"> 着力保障改善</w:t>
      </w:r>
      <w:r>
        <w:rPr>
          <w:rFonts w:hint="eastAsia" w:ascii="黑体" w:hAnsi="黑体" w:eastAsia="黑体" w:cs="黑体"/>
          <w:b w:val="0"/>
          <w:bCs w:val="0"/>
        </w:rPr>
        <w:t>民生，建设共</w:t>
      </w:r>
      <w:r>
        <w:rPr>
          <w:rFonts w:hint="eastAsia" w:ascii="黑体" w:hAnsi="黑体" w:eastAsia="黑体" w:cs="黑体"/>
          <w:b w:val="0"/>
          <w:bCs w:val="0"/>
          <w:lang w:val="en-US" w:eastAsia="zh-CN"/>
        </w:rPr>
        <w:t>同</w:t>
      </w:r>
      <w:r>
        <w:rPr>
          <w:rFonts w:hint="eastAsia" w:ascii="黑体" w:hAnsi="黑体" w:eastAsia="黑体" w:cs="黑体"/>
          <w:b w:val="0"/>
          <w:bCs w:val="0"/>
        </w:rPr>
        <w:t>富</w:t>
      </w:r>
      <w:r>
        <w:rPr>
          <w:rFonts w:hint="eastAsia" w:ascii="黑体" w:hAnsi="黑体" w:eastAsia="黑体" w:cs="黑体"/>
          <w:b w:val="0"/>
          <w:bCs w:val="0"/>
          <w:lang w:val="en-US" w:eastAsia="zh-CN"/>
        </w:rPr>
        <w:t>裕</w:t>
      </w:r>
      <w:r>
        <w:rPr>
          <w:rFonts w:hint="eastAsia" w:ascii="黑体" w:hAnsi="黑体" w:eastAsia="黑体" w:cs="黑体"/>
          <w:b w:val="0"/>
          <w:bCs w:val="0"/>
        </w:rPr>
        <w:t>文明新区</w:t>
      </w:r>
      <w:bookmarkEnd w:id="1380"/>
      <w:bookmarkEnd w:id="1381"/>
      <w:bookmarkEnd w:id="1382"/>
      <w:bookmarkEnd w:id="1383"/>
      <w:bookmarkEnd w:id="1384"/>
      <w:bookmarkEnd w:id="1561"/>
      <w:bookmarkEnd w:id="1562"/>
      <w:bookmarkEnd w:id="1563"/>
      <w:bookmarkEnd w:id="1564"/>
      <w:bookmarkEnd w:id="1565"/>
      <w:bookmarkEnd w:id="1566"/>
      <w:bookmarkEnd w:id="1567"/>
      <w:bookmarkEnd w:id="1568"/>
      <w:bookmarkEnd w:id="1569"/>
      <w:bookmarkEnd w:id="1570"/>
      <w:bookmarkEnd w:id="1571"/>
    </w:p>
    <w:p w14:paraId="108AD31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rPr>
      </w:pPr>
      <w:bookmarkStart w:id="1572" w:name="_Toc23416"/>
      <w:bookmarkStart w:id="1573" w:name="_Toc215857957"/>
      <w:bookmarkStart w:id="1574" w:name="_Toc10755"/>
    </w:p>
    <w:p w14:paraId="7A65C56B">
      <w:pPr>
        <w:pageBreakBefore w:val="0"/>
        <w:widowControl w:val="0"/>
        <w:kinsoku/>
        <w:wordWrap/>
        <w:topLinePunct w:val="0"/>
        <w:bidi w:val="0"/>
        <w:spacing w:line="600" w:lineRule="exact"/>
        <w:ind w:left="0" w:leftChars="0" w:firstLine="640" w:firstLineChars="200"/>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坚持以人民为中心，围绕就业、教育、医疗、健康、社会保障等领域，实施普惠性、基础性、兜底性民生建设，促进普惠化向优质化长效转变，建设高品质生活共同富裕文明新区。</w:t>
      </w:r>
    </w:p>
    <w:p w14:paraId="0D3CD850">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1575" w:name="_Toc14099"/>
      <w:bookmarkStart w:id="1576" w:name="_Toc718"/>
      <w:bookmarkStart w:id="1577" w:name="_Toc8760"/>
      <w:bookmarkStart w:id="1578" w:name="_Toc14674"/>
      <w:bookmarkStart w:id="1579" w:name="_Toc15228"/>
      <w:bookmarkStart w:id="1580" w:name="_Toc1325"/>
      <w:bookmarkStart w:id="1581" w:name="_Toc10371"/>
      <w:bookmarkStart w:id="1582" w:name="_Toc5387"/>
      <w:bookmarkStart w:id="1583" w:name="_Toc9903"/>
      <w:bookmarkStart w:id="1584" w:name="_Toc11855"/>
      <w:bookmarkStart w:id="1585" w:name="_Toc989547584"/>
      <w:bookmarkStart w:id="1586" w:name="_Toc2714"/>
      <w:bookmarkStart w:id="1587" w:name="_Toc23756"/>
      <w:bookmarkStart w:id="1588" w:name="_Toc24954"/>
      <w:bookmarkStart w:id="1589" w:name="_Toc25534"/>
    </w:p>
    <w:p w14:paraId="2A619778">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rPr>
        <w:t xml:space="preserve">第一节 </w:t>
      </w:r>
      <w:r>
        <w:rPr>
          <w:rFonts w:hint="eastAsia" w:ascii="黑体" w:hAnsi="黑体" w:eastAsia="黑体" w:cs="黑体"/>
          <w:b w:val="0"/>
          <w:bCs w:val="0"/>
          <w:lang w:val="en-US" w:eastAsia="zh-CN"/>
        </w:rPr>
        <w:t xml:space="preserve"> 大力促进群众</w:t>
      </w:r>
      <w:r>
        <w:rPr>
          <w:rFonts w:hint="eastAsia" w:ascii="黑体" w:hAnsi="黑体" w:eastAsia="黑体" w:cs="黑体"/>
          <w:b w:val="0"/>
          <w:bCs w:val="0"/>
        </w:rPr>
        <w:t>就业</w:t>
      </w:r>
      <w:bookmarkEnd w:id="1575"/>
      <w:bookmarkEnd w:id="1576"/>
      <w:bookmarkEnd w:id="1577"/>
      <w:bookmarkEnd w:id="1578"/>
      <w:bookmarkEnd w:id="1579"/>
      <w:bookmarkEnd w:id="1580"/>
      <w:bookmarkEnd w:id="1581"/>
      <w:r>
        <w:rPr>
          <w:rFonts w:hint="eastAsia" w:ascii="黑体" w:hAnsi="黑体" w:eastAsia="黑体" w:cs="黑体"/>
          <w:b w:val="0"/>
          <w:bCs w:val="0"/>
          <w:lang w:val="en-US" w:eastAsia="zh-CN"/>
        </w:rPr>
        <w:t>增收</w:t>
      </w:r>
      <w:bookmarkEnd w:id="1582"/>
      <w:bookmarkEnd w:id="1583"/>
      <w:bookmarkEnd w:id="1584"/>
      <w:bookmarkEnd w:id="1585"/>
      <w:bookmarkEnd w:id="1586"/>
      <w:bookmarkEnd w:id="1587"/>
      <w:bookmarkEnd w:id="1588"/>
      <w:bookmarkEnd w:id="1589"/>
    </w:p>
    <w:p w14:paraId="07F92E25">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590" w:name="_Toc17304"/>
      <w:bookmarkStart w:id="1591" w:name="_Toc19600"/>
      <w:bookmarkStart w:id="1592" w:name="_Toc30761"/>
      <w:bookmarkStart w:id="1593" w:name="_Toc2148"/>
      <w:bookmarkStart w:id="1594" w:name="_Toc25101"/>
    </w:p>
    <w:p w14:paraId="01DDA71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创造客观公平、结构优化、机会充分的就业环境，多渠道开拓就业岗位，实现工作稳定，收入合理，人岗匹配高效，劳动关系和谐，提供更多高质量工作机会。</w:t>
      </w:r>
    </w:p>
    <w:p w14:paraId="575D8BE0">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595" w:name="_Toc21446"/>
      <w:bookmarkStart w:id="1596" w:name="_Toc20513"/>
      <w:bookmarkStart w:id="1597" w:name="_Toc4688"/>
      <w:bookmarkStart w:id="1598" w:name="_Toc11592"/>
      <w:bookmarkStart w:id="1599" w:name="_Toc1655106240"/>
      <w:bookmarkStart w:id="1600" w:name="_Toc3976"/>
      <w:bookmarkStart w:id="1601" w:name="_Toc19615"/>
      <w:bookmarkStart w:id="1602" w:name="_Toc26487"/>
      <w:bookmarkStart w:id="1603" w:name="_Toc18951"/>
      <w:bookmarkStart w:id="1604" w:name="_Toc19009"/>
      <w:bookmarkStart w:id="1605" w:name="_Toc6230"/>
      <w:r>
        <w:rPr>
          <w:rFonts w:hint="eastAsia" w:ascii="仿宋_GB2312" w:hAnsi="仿宋_GB2312" w:eastAsia="仿宋_GB2312" w:cs="仿宋_GB2312"/>
          <w:b w:val="0"/>
          <w:bCs w:val="0"/>
        </w:rPr>
        <w:t>一、健全公共就业服务体系</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14:paraId="68B87F1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健全覆盖城乡、贯穿全程、辐射全城、便捷高效的三级公共就业服务体系，探索在人口密集社区设置就业服务站，推动就业公共服务资源向基层延伸和困难群体倾斜。将服务端口前移，巩固提升基层劳动就业社会保障服务平台功能因地制宜发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家门</w:t>
      </w:r>
      <w:r>
        <w:rPr>
          <w:rFonts w:hint="eastAsia" w:ascii="仿宋_GB2312" w:hAnsi="仿宋_GB2312" w:eastAsia="仿宋_GB2312" w:cs="仿宋_GB2312"/>
          <w:b w:val="0"/>
          <w:bCs w:val="0"/>
          <w:spacing w:val="-4"/>
          <w:sz w:val="32"/>
        </w:rPr>
        <w:t>口</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就业服务站、零工市场，打造</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15分钟就业服务圈</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，实现区、街道</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乡镇</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、社区</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村</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三级网络全覆盖。创新就业服务模式，</w:t>
      </w:r>
      <w:r>
        <w:rPr>
          <w:rFonts w:hint="eastAsia" w:ascii="仿宋_GB2312" w:hAnsi="仿宋_GB2312" w:eastAsia="仿宋_GB2312" w:cs="仿宋_GB2312"/>
          <w:b w:val="0"/>
          <w:bCs w:val="0"/>
        </w:rPr>
        <w:t>搭建平台，强化人力资源市场供求数据挖掘和信息利用，合理引导用人单位招聘用工和劳动者求职择业。</w:t>
      </w:r>
      <w:r>
        <w:rPr>
          <w:rFonts w:hint="eastAsia" w:ascii="仿宋_GB2312" w:hAnsi="仿宋_GB2312" w:eastAsia="仿宋_GB2312" w:cs="仿宋_GB2312"/>
          <w:b w:val="0"/>
          <w:bCs w:val="0"/>
          <w:lang w:val="en-US" w:eastAsia="zh-CN"/>
        </w:rPr>
        <w:t>重点帮扶</w:t>
      </w:r>
      <w:r>
        <w:rPr>
          <w:rFonts w:hint="eastAsia" w:ascii="仿宋_GB2312" w:hAnsi="仿宋_GB2312" w:eastAsia="仿宋_GB2312" w:cs="仿宋_GB2312"/>
          <w:b w:val="0"/>
          <w:bCs w:val="0"/>
        </w:rPr>
        <w:t>高校毕业生、退役军人、</w:t>
      </w:r>
      <w:r>
        <w:rPr>
          <w:rFonts w:hint="eastAsia" w:ascii="仿宋_GB2312" w:hAnsi="仿宋_GB2312" w:eastAsia="仿宋_GB2312" w:cs="仿宋_GB2312"/>
          <w:b w:val="0"/>
          <w:bCs w:val="0"/>
          <w:lang w:val="en-US" w:eastAsia="zh-CN"/>
        </w:rPr>
        <w:t>困难人员</w:t>
      </w:r>
      <w:r>
        <w:rPr>
          <w:rFonts w:hint="eastAsia" w:ascii="仿宋_GB2312" w:hAnsi="仿宋_GB2312" w:eastAsia="仿宋_GB2312" w:cs="仿宋_GB2312"/>
          <w:b w:val="0"/>
          <w:bCs w:val="0"/>
        </w:rPr>
        <w:t>、被征地农民、残疾人</w:t>
      </w:r>
      <w:r>
        <w:rPr>
          <w:rFonts w:hint="eastAsia" w:ascii="仿宋_GB2312" w:hAnsi="仿宋_GB2312" w:eastAsia="仿宋_GB2312" w:cs="仿宋_GB2312"/>
          <w:b w:val="0"/>
          <w:bCs w:val="0"/>
          <w:lang w:val="en-US" w:eastAsia="zh-CN"/>
        </w:rPr>
        <w:t>等</w:t>
      </w:r>
      <w:r>
        <w:rPr>
          <w:rFonts w:hint="eastAsia" w:ascii="仿宋_GB2312" w:hAnsi="仿宋_GB2312" w:eastAsia="仿宋_GB2312" w:cs="仿宋_GB2312"/>
          <w:b w:val="0"/>
          <w:bCs w:val="0"/>
        </w:rPr>
        <w:t>重点</w:t>
      </w:r>
      <w:r>
        <w:rPr>
          <w:rFonts w:hint="eastAsia" w:ascii="仿宋_GB2312" w:hAnsi="仿宋_GB2312" w:eastAsia="仿宋_GB2312" w:cs="仿宋_GB2312"/>
          <w:b w:val="0"/>
          <w:bCs w:val="0"/>
          <w:lang w:val="en-US" w:eastAsia="zh-CN"/>
        </w:rPr>
        <w:t>群体</w:t>
      </w:r>
      <w:r>
        <w:rPr>
          <w:rFonts w:hint="eastAsia" w:ascii="仿宋_GB2312" w:hAnsi="仿宋_GB2312" w:eastAsia="仿宋_GB2312" w:cs="仿宋_GB2312"/>
          <w:b w:val="0"/>
          <w:bCs w:val="0"/>
        </w:rPr>
        <w:t>，联合企业加强岗位供给，促进更充分更高质量就业。通过微信公众号平台，线上线下定期推送岗位信息、招聘会公告、就业创业政策解读等内容。扎实推进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春风行动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学查改·以企观政服务企业大走访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金秋招聘月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等招聘活动，推动群众就业，实现企业与求职者精准对接。加大困难群体就业援助力度，发挥公益性岗位托底安置作用，更加有效保障和改善困难人员的基本生活。</w:t>
      </w:r>
      <w:bookmarkStart w:id="1606" w:name="_Toc20102"/>
      <w:bookmarkStart w:id="1607" w:name="_Toc17680"/>
      <w:bookmarkStart w:id="1608" w:name="_Toc22840"/>
      <w:bookmarkStart w:id="1609" w:name="_Toc20278"/>
      <w:bookmarkStart w:id="1610" w:name="_Toc18052"/>
      <w:bookmarkStart w:id="1611" w:name="_Toc1276"/>
      <w:bookmarkStart w:id="1612" w:name="_Toc2084263186"/>
      <w:bookmarkStart w:id="1613" w:name="_Toc10321"/>
      <w:bookmarkStart w:id="1614" w:name="_Toc5579"/>
      <w:bookmarkStart w:id="1615" w:name="_Toc21327"/>
      <w:bookmarkStart w:id="1616" w:name="_Toc20554"/>
      <w:bookmarkStart w:id="1617" w:name="_Toc16679"/>
      <w:bookmarkStart w:id="1618" w:name="_Toc30793"/>
      <w:bookmarkStart w:id="1619" w:name="_Toc6474"/>
      <w:bookmarkStart w:id="1620" w:name="_Toc28169"/>
      <w:bookmarkStart w:id="1621" w:name="_Toc2747"/>
    </w:p>
    <w:p w14:paraId="23025BE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二、完善充分就业支持政策</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14:paraId="43527EC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把高质量充分就业作为经济社会发展优先目标，形成经济发展和扩大就业良性循环。聚焦新材料、新能源、</w:t>
      </w:r>
      <w:r>
        <w:rPr>
          <w:rFonts w:hint="eastAsia" w:ascii="仿宋_GB2312" w:hAnsi="仿宋_GB2312" w:eastAsia="仿宋_GB2312" w:cs="仿宋_GB2312"/>
          <w:b w:val="0"/>
          <w:bCs w:val="0"/>
          <w:lang w:val="en-US" w:eastAsia="zh-CN"/>
        </w:rPr>
        <w:t>智能</w:t>
      </w:r>
      <w:r>
        <w:rPr>
          <w:rFonts w:hint="eastAsia" w:ascii="仿宋_GB2312" w:hAnsi="仿宋_GB2312" w:eastAsia="仿宋_GB2312" w:cs="仿宋_GB2312"/>
          <w:b w:val="0"/>
          <w:bCs w:val="0"/>
        </w:rPr>
        <w:t>家具等产业，加强就业政策与产业、财税、金融、社保等政策协同，精准对接产业需求，稳定扩大就业岗位。落实降低社保费率政策，加大援企稳岗力度，对吸纳就业困难人员企业给予社保补贴。加强就业需求调查分析，落实失业保险稳岗返还政策，发挥失业保险保生活、防失业、促就业的作用。支持退役军人等重点群体多渠道就业创业，完善落实创业帮扶政策，鼓励创新创业。</w:t>
      </w:r>
    </w:p>
    <w:p w14:paraId="753DC738">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622" w:name="_Toc14253"/>
      <w:bookmarkStart w:id="1623" w:name="_Toc12406"/>
      <w:bookmarkStart w:id="1624" w:name="_Toc11089"/>
      <w:bookmarkStart w:id="1625" w:name="_Toc17570"/>
      <w:bookmarkStart w:id="1626" w:name="_Toc21740"/>
      <w:bookmarkStart w:id="1627" w:name="_Toc25096"/>
      <w:bookmarkStart w:id="1628" w:name="_Toc23928"/>
      <w:bookmarkStart w:id="1629" w:name="_Toc7711"/>
      <w:bookmarkStart w:id="1630" w:name="_Toc7462"/>
      <w:bookmarkStart w:id="1631" w:name="_Toc2131993923"/>
      <w:bookmarkStart w:id="1632" w:name="_Toc30153"/>
      <w:bookmarkStart w:id="1633" w:name="_Toc6087"/>
      <w:bookmarkStart w:id="1634" w:name="_Toc20858"/>
      <w:bookmarkStart w:id="1635" w:name="_Toc16505"/>
      <w:bookmarkStart w:id="1636" w:name="_Toc9939"/>
      <w:bookmarkStart w:id="1637" w:name="_Toc6894"/>
      <w:r>
        <w:rPr>
          <w:rFonts w:hint="eastAsia" w:ascii="仿宋_GB2312" w:hAnsi="仿宋_GB2312" w:eastAsia="仿宋_GB2312" w:cs="仿宋_GB2312"/>
          <w:b w:val="0"/>
          <w:bCs w:val="0"/>
        </w:rPr>
        <w:t>三、加强劳动者职业培训</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14:paraId="4B69B78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提升劳动者素质，建立面向城乡全体劳动者、贯穿职业生涯、普惠性的终身职业技能培训制度。聚焦培训质量，实施职业技能提升行动，深入对接重点群体就业需求，积极引导各类主体开展补贴性职业技能培训，确保农村转移劳动力、城镇失业人员等就业重点群体实现稳定就业。加强高校培训，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技能照亮前程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培训行动，将康养托育、先进制造、现代服务、数字经济等作为重点培训领域。调动企业开展培训评价积极性，通过企业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新型学徒制</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培训、岗前培训和脱产培训，帮助更多企业纾困解难，组织企业积极申报企业自主评价机构，指导企业对技能人员自主开展定级和晋级评价，支持企业职工、培训学员考取专项职业能力证书、职业资格证书或技能等级证书，促进我区技能人才队伍提质增量。</w:t>
      </w:r>
      <w:bookmarkStart w:id="1638" w:name="_Toc12270"/>
      <w:bookmarkStart w:id="1639" w:name="_Toc24894"/>
      <w:bookmarkStart w:id="1640" w:name="_Toc21903"/>
      <w:bookmarkStart w:id="1641" w:name="_Toc31295"/>
      <w:bookmarkStart w:id="1642" w:name="_Toc16816"/>
      <w:bookmarkStart w:id="1643" w:name="_Toc1510717815"/>
      <w:bookmarkStart w:id="1644" w:name="_Toc10823"/>
      <w:bookmarkStart w:id="1645" w:name="_Toc26064"/>
      <w:bookmarkStart w:id="1646" w:name="_Toc7863"/>
      <w:bookmarkStart w:id="1647" w:name="_Toc14779"/>
      <w:bookmarkStart w:id="1648" w:name="_Toc5686"/>
      <w:bookmarkStart w:id="1649" w:name="_Toc23400"/>
      <w:bookmarkStart w:id="1650" w:name="_Toc9237"/>
      <w:bookmarkStart w:id="1651" w:name="_Toc11704"/>
      <w:bookmarkStart w:id="1652" w:name="_Toc27679"/>
      <w:bookmarkStart w:id="1653" w:name="_Toc13261"/>
    </w:p>
    <w:p w14:paraId="11AB751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四、加强劳动者权益保障</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14:paraId="5CF298D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完善政策支持和公共服务，健全政府、工会、企业共同参与的劳动关系协商协调机制。认真落实国务院《保障农民工工资支付条例》，健全根治欠薪和化解劳动争议长效机制，加大工程领域欠薪隐患排查和专项检查力度，加强劳动保障监察和争议调解仲裁，畅通举报投诉渠道，限时办结案件，做到有诉必办、有案必查；加强行政执法与刑事司法衔接，严厉打击恶意欠薪、恶意讨薪、强迫劳动等违法犯罪行为。强化部门联动处置，实行多部门联合治理机制，加强与各行业主管部门协调沟通，按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谁主管，谁负责，谁审批，谁处置</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原则，对用人单位的劳动用工动态监管，督促企业严格落实实名制用工，不断扩大日常巡视检查、书面材料审查的范围，从源头上预防拖欠工资的问题的发生。完善基层劳动关系协调机制，构建和谐劳动关系。依法加强劳务派遣用工监管，规范企业裁员行为。</w:t>
      </w:r>
    </w:p>
    <w:p w14:paraId="6BF94DC9">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1654" w:name="_Toc806569747"/>
      <w:bookmarkStart w:id="1655" w:name="_Toc19012"/>
      <w:bookmarkStart w:id="1656" w:name="_Toc26010"/>
      <w:bookmarkStart w:id="1657" w:name="_Toc18019"/>
      <w:bookmarkStart w:id="1658" w:name="_Toc16403"/>
      <w:bookmarkStart w:id="1659" w:name="_Toc3830"/>
      <w:bookmarkStart w:id="1660" w:name="_Toc13535"/>
      <w:bookmarkStart w:id="1661" w:name="_Toc19825"/>
      <w:bookmarkStart w:id="1662" w:name="_Toc7488"/>
      <w:bookmarkStart w:id="1663" w:name="_Toc15038"/>
      <w:bookmarkStart w:id="1664" w:name="_Toc887"/>
      <w:bookmarkStart w:id="1665" w:name="_Toc13208"/>
      <w:bookmarkStart w:id="1666" w:name="_Toc32014"/>
      <w:bookmarkStart w:id="1667" w:name="_Toc8299"/>
      <w:bookmarkStart w:id="1668" w:name="_Toc9138"/>
      <w:bookmarkStart w:id="1669" w:name="_Toc23260"/>
    </w:p>
    <w:p w14:paraId="5DE625D6">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第二节</w:t>
      </w:r>
      <w:r>
        <w:rPr>
          <w:rFonts w:hint="eastAsia" w:ascii="黑体" w:hAnsi="黑体" w:eastAsia="黑体" w:cs="黑体"/>
          <w:b w:val="0"/>
          <w:bCs w:val="0"/>
          <w:lang w:val="en-US" w:eastAsia="zh-CN"/>
        </w:rPr>
        <w:t xml:space="preserve"> </w:t>
      </w:r>
      <w:r>
        <w:rPr>
          <w:rFonts w:hint="eastAsia" w:ascii="黑体" w:hAnsi="黑体" w:eastAsia="黑体" w:cs="黑体"/>
          <w:b w:val="0"/>
          <w:bCs w:val="0"/>
        </w:rPr>
        <w:t xml:space="preserve"> </w:t>
      </w:r>
      <w:r>
        <w:rPr>
          <w:rFonts w:hint="eastAsia" w:ascii="黑体" w:hAnsi="黑体" w:eastAsia="黑体" w:cs="黑体"/>
          <w:b w:val="0"/>
          <w:bCs w:val="0"/>
          <w:lang w:val="en-US" w:eastAsia="zh-CN"/>
        </w:rPr>
        <w:t>办好人民满意的</w:t>
      </w:r>
      <w:r>
        <w:rPr>
          <w:rFonts w:hint="eastAsia" w:ascii="黑体" w:hAnsi="黑体" w:eastAsia="黑体" w:cs="黑体"/>
          <w:b w:val="0"/>
          <w:bCs w:val="0"/>
        </w:rPr>
        <w:t>教育</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14:paraId="09D2DF03">
      <w:pPr>
        <w:pageBreakBefore w:val="0"/>
        <w:widowControl w:val="0"/>
        <w:kinsoku/>
        <w:wordWrap/>
        <w:topLinePunct w:val="0"/>
        <w:bidi w:val="0"/>
        <w:spacing w:line="600" w:lineRule="exact"/>
        <w:rPr>
          <w:rFonts w:hint="eastAsia" w:ascii="仿宋_GB2312" w:hAnsi="仿宋_GB2312" w:eastAsia="仿宋_GB2312" w:cs="仿宋_GB2312"/>
          <w:b w:val="0"/>
          <w:bCs w:val="0"/>
          <w:sz w:val="32"/>
          <w:szCs w:val="32"/>
        </w:rPr>
      </w:pPr>
      <w:bookmarkStart w:id="1670" w:name="_Toc7975"/>
      <w:bookmarkStart w:id="1671" w:name="_Toc2767"/>
      <w:bookmarkStart w:id="1672" w:name="_Toc10102"/>
      <w:bookmarkStart w:id="1673" w:name="_Toc5245"/>
      <w:bookmarkStart w:id="1674" w:name="_Toc6448"/>
    </w:p>
    <w:p w14:paraId="42012D89">
      <w:pPr>
        <w:pageBreakBefore w:val="0"/>
        <w:widowControl w:val="0"/>
        <w:kinsoku/>
        <w:wordWrap/>
        <w:topLinePunct w:val="0"/>
        <w:bidi w:val="0"/>
        <w:spacing w:line="600" w:lineRule="exac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健全与人口变化</w:t>
      </w:r>
      <w:r>
        <w:rPr>
          <w:rFonts w:hint="eastAsia" w:ascii="仿宋_GB2312" w:hAnsi="仿宋_GB2312" w:eastAsia="仿宋_GB2312" w:cs="仿宋_GB2312"/>
          <w:b w:val="0"/>
          <w:bCs w:val="0"/>
          <w:sz w:val="32"/>
          <w:szCs w:val="32"/>
          <w:lang w:val="en-US" w:eastAsia="zh-CN"/>
        </w:rPr>
        <w:t>趋势</w:t>
      </w:r>
      <w:r>
        <w:rPr>
          <w:rFonts w:hint="eastAsia" w:ascii="仿宋_GB2312" w:hAnsi="仿宋_GB2312" w:eastAsia="仿宋_GB2312" w:cs="仿宋_GB2312"/>
          <w:b w:val="0"/>
          <w:bCs w:val="0"/>
          <w:sz w:val="32"/>
          <w:szCs w:val="32"/>
        </w:rPr>
        <w:t>相适应的教育资源配置机制，稳步扩大免费教育范围，办好人民满意的教育。</w:t>
      </w:r>
      <w:bookmarkStart w:id="1675" w:name="_Toc28773"/>
      <w:bookmarkStart w:id="1676" w:name="_Toc16454"/>
      <w:bookmarkStart w:id="1677" w:name="_Toc11007"/>
      <w:bookmarkStart w:id="1678" w:name="_Toc28336"/>
      <w:bookmarkStart w:id="1679" w:name="_Toc16861"/>
      <w:bookmarkStart w:id="1680" w:name="_Toc4838"/>
      <w:bookmarkStart w:id="1681" w:name="_Toc17358"/>
      <w:bookmarkStart w:id="1682" w:name="_Toc29105"/>
      <w:bookmarkStart w:id="1683" w:name="_Toc217395019"/>
      <w:bookmarkStart w:id="1684" w:name="_Toc29452"/>
      <w:bookmarkStart w:id="1685" w:name="_Toc25225"/>
    </w:p>
    <w:p w14:paraId="65AAFAB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一、</w:t>
      </w:r>
      <w:bookmarkEnd w:id="1670"/>
      <w:bookmarkEnd w:id="1671"/>
      <w:r>
        <w:rPr>
          <w:rFonts w:hint="eastAsia" w:ascii="仿宋_GB2312" w:hAnsi="仿宋_GB2312" w:eastAsia="仿宋_GB2312" w:cs="仿宋_GB2312"/>
          <w:b w:val="0"/>
          <w:bCs w:val="0"/>
        </w:rPr>
        <w:t>落实立德树人根本任务</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14:paraId="14BBAAF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全面加强党的建设。增强基层党组织政治功能和组织功能，发挥战斗堡垒作用。推进学校思政课与社会课堂有效融合，加强青少年理想信念教育。推动社会主义核心价值观教育，拓展实践育人和网络育人空间和阵地。探索课上课下协同、校内校外一体、线上线下融合的育人机制。发挥洛阳红色资源育人功能，组织学生参加红色研学之旅。加强青少年学生网络安全意识、文明素养、行为习惯教育。实施新时代立德树人工程，坚持五育并举，健全德智体美劳培养体系，促进学生健康成长、全面发展。优化育人环境，融入人工智能和信息科技元素，发挥环境育人效能，打造一批区域有影响力的特色学校、幼儿园，擦亮</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学在伊滨，品质教育</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的全省优质教育名片。</w:t>
      </w:r>
    </w:p>
    <w:p w14:paraId="4FF92107">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686" w:name="_Toc26629"/>
      <w:bookmarkStart w:id="1687" w:name="_Toc3444"/>
      <w:bookmarkStart w:id="1688" w:name="_Toc31162"/>
      <w:bookmarkStart w:id="1689" w:name="_Toc32213"/>
      <w:bookmarkStart w:id="1690" w:name="_Toc5385"/>
      <w:bookmarkStart w:id="1691" w:name="_Toc27144"/>
      <w:bookmarkStart w:id="1692" w:name="_Toc30193"/>
      <w:bookmarkStart w:id="1693" w:name="_Toc31146"/>
      <w:bookmarkStart w:id="1694" w:name="_Toc31427"/>
      <w:bookmarkStart w:id="1695" w:name="_Toc22990"/>
      <w:bookmarkStart w:id="1696" w:name="_Toc16761"/>
      <w:bookmarkStart w:id="1697" w:name="_Toc7592"/>
      <w:bookmarkStart w:id="1698" w:name="_Toc24307"/>
      <w:bookmarkStart w:id="1699" w:name="_Toc30945"/>
      <w:bookmarkStart w:id="1700" w:name="_Toc12815"/>
      <w:bookmarkStart w:id="1701" w:name="_Toc1692977802"/>
      <w:r>
        <w:rPr>
          <w:rFonts w:hint="eastAsia" w:ascii="仿宋_GB2312" w:hAnsi="仿宋_GB2312" w:eastAsia="仿宋_GB2312" w:cs="仿宋_GB2312"/>
          <w:b w:val="0"/>
          <w:bCs w:val="0"/>
        </w:rPr>
        <w:t>二、</w:t>
      </w:r>
      <w:bookmarkEnd w:id="1686"/>
      <w:bookmarkEnd w:id="1687"/>
      <w:r>
        <w:rPr>
          <w:rFonts w:hint="eastAsia" w:ascii="仿宋_GB2312" w:hAnsi="仿宋_GB2312" w:eastAsia="仿宋_GB2312" w:cs="仿宋_GB2312"/>
          <w:b w:val="0"/>
          <w:bCs w:val="0"/>
        </w:rPr>
        <w:t>优化教育资源布局</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14:paraId="7CA6B44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深入实施基础教育扩优提质工程。高标准建设一批融合现代理念、绿色生态、智慧科技与优秀传统文化的书院式中小学、幼儿园，满足未来适龄人口增加的教育需求，办好老百姓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家门口的好学校</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城乡教育资源统筹配置，提高教育公共服务质量和水平，推动义务教育优质均衡和学前教育优质普惠发展。依托公办幼儿园，完善托育服务功能，打造儿童友好型城市。办好特殊教育、专门教育，支持服务高中、职业学校、大中专院校建设，引导规范民办教育发展，构建全链条教育体系。健全校家社协同育人机制，办好家长学校，强化家校互动。坚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一校一策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一批家长驿站，提升协同育人实效。推进智慧校园建设，探索数字赋能创新性教学的有效途径，建设一批AI未来教室，促进人工智能助力教育变革。构建校园智能化安防体系，加强学生心理健康教育。完善学生欺凌和暴力行为早发现、早预防、早控制机制，加强防溺水、交通安全等教育，完善校园安全纠纷多元化解机制和安全风险社会化分担机制，保障师生人身安全，维护校园安全稳定。</w:t>
      </w:r>
    </w:p>
    <w:p w14:paraId="5A307DF4">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702" w:name="_Toc14883"/>
      <w:bookmarkStart w:id="1703" w:name="_Toc17026"/>
      <w:bookmarkStart w:id="1704" w:name="_Toc22341"/>
      <w:bookmarkStart w:id="1705" w:name="_Toc9532"/>
      <w:bookmarkStart w:id="1706" w:name="_Toc853"/>
      <w:bookmarkStart w:id="1707" w:name="_Toc1807140637"/>
      <w:bookmarkStart w:id="1708" w:name="_Toc14655"/>
      <w:bookmarkStart w:id="1709" w:name="_Toc22434"/>
      <w:bookmarkStart w:id="1710" w:name="_Toc26141"/>
      <w:bookmarkStart w:id="1711" w:name="_Toc5344"/>
      <w:bookmarkStart w:id="1712" w:name="_Toc6447"/>
      <w:bookmarkStart w:id="1713" w:name="_Toc18461"/>
      <w:bookmarkStart w:id="1714" w:name="_Toc30340"/>
      <w:bookmarkStart w:id="1715" w:name="_Toc3404"/>
      <w:r>
        <w:rPr>
          <w:rFonts w:hint="eastAsia" w:ascii="仿宋_GB2312" w:hAnsi="仿宋_GB2312" w:eastAsia="仿宋_GB2312" w:cs="仿宋_GB2312"/>
          <w:b w:val="0"/>
          <w:bCs w:val="0"/>
        </w:rPr>
        <w:t>三、深化教育综合改革</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14:paraId="3D9DA0F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推动现代学校治理体系改革。完善学校管理体系，健全学校章程实施保障机制，落实学校办学自主权，提升依法治教和管理水平。深化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县管校聘</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改革，打破教师管理体制的机制壁垒，促进教师从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学校人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系统人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转变。深化校长职级制改革。健全校长职级和聘期考核，完善校长培养、聘任、交流、考核等机制，落实校长职级薪酬，实现校长队伍职业化和专业化发展。持续推动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以学为主</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的课堂教学改革，以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做中学、用中学、创中学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提升学生的核心素养。深化教育评价改革。探索建立科学有效的学校工作评价机制，确保</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双减</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政策落地见效，规范化办学水平持续提升。破除人才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帽子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制约，突出创新能力、工作实效导向，完善全面、科学、发展的教师评价体系，构建多元主体参与评价机制。健全学业质量评价体系，坚持德育为先，能力为重，全面发展，坚持面向全体，因材施教，改变</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唯分数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弊病，完善综合素质评价体系。深化教育督导体制机制改革，构建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督政、督学、评估监测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位一体、高效权威的教育督导体系。强化督政实效，压实地方政府履行教育职责。创新督学方式，推动学校督导常态化、专业化。完善评估监测，建立健全科学多元的教育质量评估监测体系，强化结果运用与问责机制，形成覆盖全面、运转高效、结果权威、问责有力的教育督导新格局，为教育强区建设提供坚实的监督保障。</w:t>
      </w:r>
    </w:p>
    <w:p w14:paraId="2662A07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716" w:name="_Toc17566"/>
      <w:bookmarkStart w:id="1717" w:name="_Toc13784"/>
      <w:bookmarkStart w:id="1718" w:name="_Toc6035"/>
      <w:bookmarkStart w:id="1719" w:name="_Toc26640"/>
      <w:bookmarkStart w:id="1720" w:name="_Toc4651"/>
      <w:bookmarkStart w:id="1721" w:name="_Toc24906"/>
      <w:bookmarkStart w:id="1722" w:name="_Toc23121"/>
      <w:bookmarkStart w:id="1723" w:name="_Toc22527"/>
      <w:bookmarkStart w:id="1724" w:name="_Toc13504"/>
      <w:bookmarkStart w:id="1725" w:name="_Toc7658"/>
      <w:bookmarkStart w:id="1726" w:name="_Toc3486"/>
      <w:bookmarkStart w:id="1727" w:name="_Toc14677"/>
      <w:bookmarkStart w:id="1728" w:name="_Toc10728"/>
      <w:bookmarkStart w:id="1729" w:name="_Toc17667"/>
      <w:bookmarkStart w:id="1730" w:name="_Toc30261"/>
      <w:bookmarkStart w:id="1731" w:name="_Toc1519243674"/>
      <w:r>
        <w:rPr>
          <w:rFonts w:hint="eastAsia" w:ascii="仿宋_GB2312" w:hAnsi="仿宋_GB2312" w:eastAsia="仿宋_GB2312" w:cs="仿宋_GB2312"/>
          <w:b w:val="0"/>
          <w:bCs w:val="0"/>
        </w:rPr>
        <w:t>四、</w:t>
      </w:r>
      <w:bookmarkEnd w:id="1716"/>
      <w:bookmarkEnd w:id="1717"/>
      <w:r>
        <w:rPr>
          <w:rFonts w:hint="eastAsia" w:ascii="仿宋_GB2312" w:hAnsi="仿宋_GB2312" w:eastAsia="仿宋_GB2312" w:cs="仿宋_GB2312"/>
          <w:b w:val="0"/>
          <w:bCs w:val="0"/>
        </w:rPr>
        <w:t>建设高素质专业化教师队伍</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14:paraId="6BDDAE8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实施教育家精神铸魂强师行动。弘扬教育家精神，推动教育家精神融入教师培养培训全过程，贯穿课堂教学、科学研究、社会实践各环节，构建日常浸润、项目赋能、平台支撑的教师发展良好生态。坚持师德师风第一标准，健全师德师风建设长效机制，严格落实师德失范</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零容忍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。健全教师教育体系，以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四有好老师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和新时代教师应具备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六种精神</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为标准，构建四级教师培养模式，发挥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三名工作室</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效能，培养一批国家级、省级名师，全学科实现名师引领发展，全面提升教师专业素养。招才引智，加强区域教育交流合作，优化师资队伍配置，建立健全教师队伍激励竞争机制，激发教师发展活力，强化教师待遇保障。</w:t>
      </w:r>
    </w:p>
    <w:p w14:paraId="03DA298C">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1732" w:name="_Toc25032"/>
      <w:bookmarkStart w:id="1733" w:name="_Toc2643"/>
      <w:bookmarkStart w:id="1734" w:name="_Toc32171"/>
      <w:bookmarkStart w:id="1735" w:name="_Toc10410"/>
      <w:bookmarkStart w:id="1736" w:name="_Toc14907"/>
      <w:bookmarkStart w:id="1737" w:name="_Toc1450"/>
      <w:bookmarkStart w:id="1738" w:name="_Toc19411"/>
      <w:bookmarkStart w:id="1739" w:name="_Toc30059"/>
      <w:bookmarkStart w:id="1740" w:name="_Toc1320261986"/>
      <w:bookmarkStart w:id="1741" w:name="_Toc26438"/>
      <w:bookmarkStart w:id="1742" w:name="_Toc31392"/>
      <w:bookmarkStart w:id="1743" w:name="_Toc15129"/>
      <w:bookmarkStart w:id="1744" w:name="_Toc23737"/>
      <w:bookmarkStart w:id="1745" w:name="_Toc8835"/>
      <w:bookmarkStart w:id="1746" w:name="_Toc9158"/>
      <w:bookmarkStart w:id="1747" w:name="_Toc17831"/>
    </w:p>
    <w:p w14:paraId="5793C332">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 xml:space="preserve">第三节 </w:t>
      </w:r>
      <w:r>
        <w:rPr>
          <w:rFonts w:hint="eastAsia" w:ascii="黑体" w:hAnsi="黑体" w:eastAsia="黑体" w:cs="黑体"/>
          <w:b w:val="0"/>
          <w:bCs w:val="0"/>
          <w:lang w:val="en-US" w:eastAsia="zh-CN"/>
        </w:rPr>
        <w:t xml:space="preserve"> 建设更</w:t>
      </w:r>
      <w:r>
        <w:rPr>
          <w:rFonts w:hint="eastAsia" w:ascii="黑体" w:hAnsi="黑体" w:eastAsia="黑体" w:cs="黑体"/>
          <w:b w:val="0"/>
          <w:bCs w:val="0"/>
        </w:rPr>
        <w:t>高水平健康</w:t>
      </w:r>
      <w:r>
        <w:rPr>
          <w:rFonts w:hint="eastAsia" w:ascii="黑体" w:hAnsi="黑体" w:eastAsia="黑体" w:cs="黑体"/>
          <w:b w:val="0"/>
          <w:bCs w:val="0"/>
          <w:lang w:val="en-US" w:eastAsia="zh-CN"/>
        </w:rPr>
        <w:t>伊滨</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14:paraId="26B54AC1">
      <w:pPr>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748" w:name="_Toc10723"/>
    </w:p>
    <w:p w14:paraId="18DA0CC6">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实施健康优先发展战略，健全健康促进政策制度体系，提升爱国卫生运动成效，提高人均预期寿命和人民健康水平，建设区域健康中心。</w:t>
      </w:r>
    </w:p>
    <w:p w14:paraId="4FBF8BDA">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749" w:name="_Toc4428"/>
      <w:bookmarkStart w:id="1750" w:name="_Toc26476"/>
      <w:bookmarkStart w:id="1751" w:name="_Toc4802"/>
      <w:bookmarkStart w:id="1752" w:name="_Toc20407"/>
      <w:bookmarkStart w:id="1753" w:name="_Toc21112"/>
      <w:bookmarkStart w:id="1754" w:name="_Toc28383"/>
      <w:bookmarkStart w:id="1755" w:name="_Toc2995"/>
      <w:bookmarkStart w:id="1756" w:name="_Toc15243"/>
      <w:bookmarkStart w:id="1757" w:name="_Toc6574"/>
      <w:bookmarkStart w:id="1758" w:name="_Toc6889"/>
      <w:bookmarkStart w:id="1759" w:name="_Toc68"/>
      <w:bookmarkStart w:id="1760" w:name="_Toc3586"/>
      <w:bookmarkStart w:id="1761" w:name="_Toc6988"/>
      <w:bookmarkStart w:id="1762" w:name="_Toc23788"/>
      <w:bookmarkStart w:id="1763" w:name="_Toc1395351772"/>
      <w:r>
        <w:rPr>
          <w:rFonts w:hint="eastAsia" w:ascii="仿宋_GB2312" w:hAnsi="仿宋_GB2312" w:eastAsia="仿宋_GB2312" w:cs="仿宋_GB2312"/>
          <w:b w:val="0"/>
          <w:bCs w:val="0"/>
        </w:rPr>
        <w:t>一、健全医疗服务体系</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14:paraId="36C3D85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加强医疗服务体系建设，促进分级诊疗。推动北京中医药大学东直门医院洛阳医院、西交大二附院洛阳医院二期工程建设，全面提升国家区域医疗中心综合效能；推动建设区人民医院，发挥区域医疗服务作用。着力提升基层医疗服务水平，规划建设诸葛镇卫生院、李村街道社区卫生服务中心等一级医疗机构，实施特色专科建设，全面提升基层医疗服务水平；持续完善社区卫生服务站建设，融合基本医疗、慢性病管理及家庭医生服务功能，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15分钟医疗卫生服务圈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w:t>
      </w:r>
    </w:p>
    <w:p w14:paraId="6EC869FC">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1764" w:name="_Toc3405"/>
      <w:bookmarkStart w:id="1765" w:name="_Toc3350"/>
      <w:bookmarkStart w:id="1766" w:name="_Toc18183"/>
      <w:bookmarkStart w:id="1767" w:name="_Toc14237"/>
      <w:bookmarkStart w:id="1768" w:name="_Toc6603"/>
      <w:bookmarkStart w:id="1769" w:name="_Toc24625"/>
      <w:bookmarkStart w:id="1770" w:name="_Toc17497"/>
      <w:bookmarkStart w:id="1771" w:name="_Toc17117"/>
      <w:bookmarkStart w:id="1772" w:name="_Toc12139"/>
      <w:bookmarkStart w:id="1773" w:name="_Toc1453549693"/>
      <w:bookmarkStart w:id="1774" w:name="_Toc6762"/>
      <w:bookmarkStart w:id="1775" w:name="_Toc19659"/>
      <w:bookmarkStart w:id="1776" w:name="_Toc10612"/>
      <w:bookmarkStart w:id="1777" w:name="_Toc15431"/>
      <w:r>
        <w:rPr>
          <w:rFonts w:hint="eastAsia" w:ascii="仿宋_GB2312" w:hAnsi="仿宋_GB2312" w:eastAsia="仿宋_GB2312" w:cs="仿宋_GB2312"/>
          <w:b w:val="0"/>
          <w:bCs w:val="0"/>
          <w:lang w:val="en-US" w:eastAsia="zh-CN"/>
        </w:rPr>
        <w:t>二、推进</w:t>
      </w:r>
      <w:r>
        <w:rPr>
          <w:rFonts w:hint="eastAsia" w:ascii="仿宋_GB2312" w:hAnsi="仿宋_GB2312" w:eastAsia="仿宋_GB2312" w:cs="仿宋_GB2312"/>
          <w:b w:val="0"/>
          <w:bCs w:val="0"/>
        </w:rPr>
        <w:t>健康</w:t>
      </w:r>
      <w:bookmarkEnd w:id="1764"/>
      <w:bookmarkEnd w:id="1765"/>
      <w:bookmarkEnd w:id="1766"/>
      <w:bookmarkEnd w:id="1767"/>
      <w:bookmarkEnd w:id="1768"/>
      <w:bookmarkEnd w:id="1769"/>
      <w:r>
        <w:rPr>
          <w:rFonts w:hint="eastAsia" w:ascii="仿宋_GB2312" w:hAnsi="仿宋_GB2312" w:eastAsia="仿宋_GB2312" w:cs="仿宋_GB2312"/>
          <w:b w:val="0"/>
          <w:bCs w:val="0"/>
          <w:lang w:val="en-US" w:eastAsia="zh-CN"/>
        </w:rPr>
        <w:t>伊滨创建行动</w:t>
      </w:r>
      <w:bookmarkEnd w:id="1770"/>
      <w:bookmarkEnd w:id="1771"/>
      <w:bookmarkEnd w:id="1772"/>
      <w:bookmarkEnd w:id="1773"/>
      <w:bookmarkEnd w:id="1774"/>
      <w:bookmarkEnd w:id="1775"/>
      <w:bookmarkEnd w:id="1776"/>
      <w:bookmarkEnd w:id="1777"/>
    </w:p>
    <w:p w14:paraId="4B11471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持续深化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健康伊滨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建设，围绕让群众</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不得病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少得病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核心目标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健全健康管理网络，夯实镇办、社区公共卫生委员会职能。系统推进健康教育与促进，普及文明健康生活方式与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三减三健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知识，建设无烟环境、健康步道等支持性设施。深入开展健康细胞、健康乡镇培育工程，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末，各项创建指标达到国家标准，构建起</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医防融合、人人共享</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的优质高效医疗卫生服务体系，全面提升居民健康素养与健康水平。</w:t>
      </w:r>
      <w:bookmarkStart w:id="1778" w:name="_Toc10372"/>
      <w:bookmarkStart w:id="1779" w:name="_Toc4323"/>
    </w:p>
    <w:p w14:paraId="1A25B4E5">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780" w:name="_Toc6816"/>
      <w:bookmarkStart w:id="1781" w:name="_Toc8471"/>
      <w:bookmarkStart w:id="1782" w:name="_Toc20508"/>
      <w:bookmarkStart w:id="1783" w:name="_Toc28718"/>
      <w:bookmarkStart w:id="1784" w:name="_Toc19862"/>
      <w:bookmarkStart w:id="1785" w:name="_Toc22347"/>
      <w:bookmarkStart w:id="1786" w:name="_Toc1574932039"/>
      <w:bookmarkStart w:id="1787" w:name="_Toc27937"/>
      <w:bookmarkStart w:id="1788" w:name="_Toc5277"/>
      <w:bookmarkStart w:id="1789" w:name="_Toc15198"/>
      <w:bookmarkStart w:id="1790" w:name="_Toc18972"/>
      <w:bookmarkStart w:id="1791" w:name="_Toc4461"/>
      <w:bookmarkStart w:id="1792" w:name="_Toc14003"/>
      <w:bookmarkStart w:id="1793" w:name="_Toc31171"/>
      <w:r>
        <w:rPr>
          <w:rFonts w:hint="eastAsia" w:ascii="仿宋_GB2312" w:hAnsi="仿宋_GB2312" w:eastAsia="仿宋_GB2312" w:cs="仿宋_GB2312"/>
          <w:b w:val="0"/>
          <w:bCs w:val="0"/>
        </w:rPr>
        <w:t>三、完善公共卫生体系</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14:paraId="2FCFCDC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预防为主，推进关口前移，建设现代化疾控体系。完善区疾控中心建设，组建专业化队伍，配齐相关专业设备，强化传染病监测预警、卫生应急响应、慢性病防控及卫生监督等能力。深化拓展医防协同机制，构建以疾控机构为核心、二级以上医疗机构为支撑、基层医疗卫生机构为前哨的三级防控网络。健全重大疫情应急响应机制，提升重特大疫情快速响应能力和现场处置能力。完善妇幼健康服务体系，提高综合医院和基层医疗服务机构的产科、儿科和妇幼保健服务能力，开展儿童常见病和健康影响因素监测、干预、防治。加强对全人群、全生命周期的致残疾病及致残因素的防控。提升残疾人康复服务能力。加强职业健康保护，建立完善职业病防治网络。强化医疗卫生和养老服务的有效衔接，推进老年友善型医疗卫生机构建设，提升老年病专科、康复专科、安宁疗护专科服务能力，推动老年卫生服务延伸至社区、家庭。</w:t>
      </w:r>
      <w:bookmarkStart w:id="1794" w:name="_Toc1844"/>
      <w:bookmarkStart w:id="1795" w:name="_Toc17372"/>
      <w:bookmarkStart w:id="1796" w:name="_Toc28226"/>
      <w:bookmarkStart w:id="1797" w:name="_Toc6361"/>
      <w:bookmarkStart w:id="1798" w:name="_Toc24026"/>
      <w:bookmarkStart w:id="1799" w:name="_Toc31569"/>
      <w:bookmarkStart w:id="1800" w:name="_Toc19035"/>
      <w:bookmarkStart w:id="1801" w:name="_Toc3532"/>
      <w:bookmarkStart w:id="1802" w:name="_Toc14969"/>
      <w:bookmarkStart w:id="1803" w:name="_Toc17839"/>
      <w:bookmarkStart w:id="1804" w:name="_Toc1313"/>
      <w:bookmarkStart w:id="1805" w:name="_Toc15649"/>
      <w:bookmarkStart w:id="1806" w:name="_Toc2525"/>
      <w:bookmarkStart w:id="1807" w:name="_Toc2047"/>
      <w:bookmarkStart w:id="1808" w:name="_Toc7548"/>
      <w:bookmarkStart w:id="1809" w:name="_Toc1100984713"/>
    </w:p>
    <w:p w14:paraId="2576045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四、</w:t>
      </w:r>
      <w:bookmarkEnd w:id="1794"/>
      <w:bookmarkEnd w:id="1795"/>
      <w:r>
        <w:rPr>
          <w:rFonts w:hint="eastAsia" w:ascii="仿宋_GB2312" w:hAnsi="仿宋_GB2312" w:eastAsia="仿宋_GB2312" w:cs="仿宋_GB2312"/>
          <w:b w:val="0"/>
          <w:bCs w:val="0"/>
        </w:rPr>
        <w:t>促进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三医</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协同发展</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14:paraId="03ED642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立足发展实际，</w:t>
      </w:r>
      <w:r>
        <w:rPr>
          <w:rFonts w:hint="eastAsia" w:ascii="仿宋_GB2312" w:hAnsi="仿宋_GB2312" w:eastAsia="仿宋_GB2312" w:cs="仿宋_GB2312"/>
          <w:b w:val="0"/>
          <w:bCs w:val="0"/>
          <w:lang w:val="en-US" w:eastAsia="zh-CN"/>
        </w:rPr>
        <w:t>借鉴</w:t>
      </w:r>
      <w:r>
        <w:rPr>
          <w:rFonts w:hint="eastAsia" w:ascii="仿宋_GB2312" w:hAnsi="仿宋_GB2312" w:eastAsia="仿宋_GB2312" w:cs="仿宋_GB2312"/>
          <w:b w:val="0"/>
          <w:bCs w:val="0"/>
        </w:rPr>
        <w:t>医改</w:t>
      </w:r>
      <w:r>
        <w:rPr>
          <w:rFonts w:hint="eastAsia" w:ascii="仿宋_GB2312" w:hAnsi="仿宋_GB2312" w:eastAsia="仿宋_GB2312" w:cs="仿宋_GB2312"/>
          <w:b w:val="0"/>
          <w:bCs w:val="0"/>
          <w:lang w:val="en-US" w:eastAsia="zh-CN"/>
        </w:rPr>
        <w:t>成功</w:t>
      </w:r>
      <w:r>
        <w:rPr>
          <w:rFonts w:hint="eastAsia" w:ascii="仿宋_GB2312" w:hAnsi="仿宋_GB2312" w:eastAsia="仿宋_GB2312" w:cs="仿宋_GB2312"/>
          <w:b w:val="0"/>
          <w:bCs w:val="0"/>
        </w:rPr>
        <w:t>经验，强化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六医统筹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，持续深化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双下沉、两提升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机制，推进医</w:t>
      </w:r>
      <w:r>
        <w:rPr>
          <w:rFonts w:hint="eastAsia" w:ascii="仿宋_GB2312" w:hAnsi="仿宋_GB2312" w:eastAsia="仿宋_GB2312" w:cs="仿宋_GB2312"/>
          <w:b w:val="0"/>
          <w:bCs w:val="0"/>
          <w:lang w:val="en-US" w:eastAsia="zh-CN"/>
        </w:rPr>
        <w:t>疗改革</w:t>
      </w:r>
      <w:r>
        <w:rPr>
          <w:rFonts w:hint="eastAsia" w:ascii="仿宋_GB2312" w:hAnsi="仿宋_GB2312" w:eastAsia="仿宋_GB2312" w:cs="仿宋_GB2312"/>
          <w:b w:val="0"/>
          <w:bCs w:val="0"/>
        </w:rPr>
        <w:t>，推动区内医疗机构与省内外优质医疗资源深度合作。完善社区首诊、双向转诊、急慢分治、上下联动的就医格局。持续深化</w:t>
      </w:r>
      <w:r>
        <w:rPr>
          <w:rFonts w:hint="eastAsia" w:ascii="仿宋_GB2312" w:hAnsi="仿宋_GB2312" w:eastAsia="仿宋_GB2312" w:cs="仿宋_GB2312"/>
          <w:b w:val="0"/>
          <w:bCs w:val="0"/>
          <w:lang w:val="en-US" w:eastAsia="zh-CN"/>
        </w:rPr>
        <w:t>医疗机构改革</w:t>
      </w:r>
      <w:r>
        <w:rPr>
          <w:rFonts w:hint="eastAsia" w:ascii="仿宋_GB2312" w:hAnsi="仿宋_GB2312" w:eastAsia="仿宋_GB2312" w:cs="仿宋_GB2312"/>
          <w:b w:val="0"/>
          <w:bCs w:val="0"/>
        </w:rPr>
        <w:t>，加大财政投入力度，全面提升</w:t>
      </w:r>
      <w:r>
        <w:rPr>
          <w:rFonts w:hint="eastAsia" w:ascii="仿宋_GB2312" w:hAnsi="仿宋_GB2312" w:eastAsia="仿宋_GB2312" w:cs="仿宋_GB2312"/>
          <w:b w:val="0"/>
          <w:bCs w:val="0"/>
          <w:lang w:val="en-US" w:eastAsia="zh-CN"/>
        </w:rPr>
        <w:t>医疗</w:t>
      </w:r>
      <w:r>
        <w:rPr>
          <w:rFonts w:hint="eastAsia" w:ascii="仿宋_GB2312" w:hAnsi="仿宋_GB2312" w:eastAsia="仿宋_GB2312" w:cs="仿宋_GB2312"/>
          <w:b w:val="0"/>
          <w:bCs w:val="0"/>
        </w:rPr>
        <w:t>信息化建设水平。优化民营医院管理，建立现代医院管理制度。通过改革，打造具有特色的医改实践范例，实现群众得实惠、医院得发展、医保可持续、医药保质量的良性循环。</w:t>
      </w:r>
      <w:bookmarkStart w:id="1810" w:name="_Toc29848"/>
      <w:bookmarkStart w:id="1811" w:name="_Toc2579"/>
    </w:p>
    <w:p w14:paraId="3ADFFE7B">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812" w:name="_Toc1525"/>
      <w:bookmarkStart w:id="1813" w:name="_Toc20816"/>
      <w:bookmarkStart w:id="1814" w:name="_Toc24498"/>
      <w:bookmarkStart w:id="1815" w:name="_Toc8708"/>
      <w:bookmarkStart w:id="1816" w:name="_Toc22905"/>
      <w:bookmarkStart w:id="1817" w:name="_Toc23581"/>
      <w:bookmarkStart w:id="1818" w:name="_Toc14054"/>
      <w:bookmarkStart w:id="1819" w:name="_Toc4209"/>
      <w:bookmarkStart w:id="1820" w:name="_Toc28712"/>
      <w:bookmarkStart w:id="1821" w:name="_Toc20537"/>
      <w:bookmarkStart w:id="1822" w:name="_Toc1684424135"/>
      <w:bookmarkStart w:id="1823" w:name="_Toc23227"/>
      <w:bookmarkStart w:id="1824" w:name="_Toc2369"/>
      <w:bookmarkStart w:id="1825" w:name="_Toc27364"/>
      <w:r>
        <w:rPr>
          <w:rFonts w:hint="eastAsia" w:ascii="仿宋_GB2312" w:hAnsi="仿宋_GB2312" w:eastAsia="仿宋_GB2312" w:cs="仿宋_GB2312"/>
          <w:b w:val="0"/>
          <w:bCs w:val="0"/>
          <w:lang w:val="en-US" w:eastAsia="zh-CN"/>
        </w:rPr>
        <w:t>五、</w:t>
      </w:r>
      <w:r>
        <w:rPr>
          <w:rFonts w:hint="eastAsia" w:ascii="仿宋_GB2312" w:hAnsi="仿宋_GB2312" w:eastAsia="仿宋_GB2312" w:cs="仿宋_GB2312"/>
          <w:b w:val="0"/>
          <w:bCs w:val="0"/>
        </w:rPr>
        <w:t>推动中医药创新传承</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14:paraId="7DE258CB">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依托北京中医药大学东直门医院洛阳医院，打造中医药特色专科。提升基层机构中医药服务能力，确保公立二级及以上综合医院和社区卫生服务中心100%设置中医科，全部社区卫生服务站提供中医药服务。促进中医药服务与家庭医生全面融合，推进中医药服务进社区、进家庭。通过继续实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名医工程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名医工作室</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，加强与国家级、省级名医的密切合作，创新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中医师承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培养模式。</w:t>
      </w:r>
    </w:p>
    <w:bookmarkEnd w:id="1572"/>
    <w:bookmarkEnd w:id="1573"/>
    <w:p w14:paraId="6C2A0FC9">
      <w:pPr>
        <w:pStyle w:val="7"/>
        <w:pageBreakBefore w:val="0"/>
        <w:widowControl w:val="0"/>
        <w:numPr>
          <w:ilvl w:val="0"/>
          <w:numId w:val="0"/>
        </w:numPr>
        <w:kinsoku/>
        <w:wordWrap/>
        <w:topLinePunct w:val="0"/>
        <w:bidi w:val="0"/>
        <w:spacing w:line="600" w:lineRule="exact"/>
        <w:jc w:val="center"/>
        <w:rPr>
          <w:rFonts w:hint="eastAsia" w:ascii="仿宋_GB2312" w:hAnsi="仿宋_GB2312" w:eastAsia="仿宋_GB2312" w:cs="仿宋_GB2312"/>
          <w:b w:val="0"/>
          <w:bCs w:val="0"/>
          <w:sz w:val="32"/>
          <w:szCs w:val="40"/>
          <w:lang w:val="en-US" w:eastAsia="zh-CN" w:bidi="ar-SA"/>
        </w:rPr>
      </w:pPr>
      <w:bookmarkStart w:id="1826" w:name="_Toc20107"/>
      <w:bookmarkStart w:id="1827" w:name="_Toc24549"/>
      <w:bookmarkStart w:id="1828" w:name="_Toc4294"/>
      <w:bookmarkStart w:id="1829" w:name="_Toc17893"/>
      <w:bookmarkStart w:id="1830" w:name="_Toc23296"/>
      <w:bookmarkStart w:id="1831" w:name="_Toc7157"/>
      <w:bookmarkStart w:id="1832" w:name="_Toc953412804"/>
      <w:bookmarkStart w:id="1833" w:name="_Toc23775"/>
    </w:p>
    <w:p w14:paraId="2DE63276">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第四节  健全社会保障体系</w:t>
      </w:r>
      <w:bookmarkEnd w:id="1826"/>
      <w:bookmarkEnd w:id="1827"/>
      <w:bookmarkEnd w:id="1828"/>
      <w:bookmarkEnd w:id="1829"/>
      <w:bookmarkEnd w:id="1830"/>
      <w:bookmarkEnd w:id="1831"/>
      <w:bookmarkEnd w:id="1832"/>
      <w:bookmarkEnd w:id="1833"/>
    </w:p>
    <w:p w14:paraId="55B2A044">
      <w:pPr>
        <w:pageBreakBefore w:val="0"/>
        <w:widowControl w:val="0"/>
        <w:numPr>
          <w:ilvl w:val="0"/>
          <w:numId w:val="0"/>
        </w:numPr>
        <w:kinsoku/>
        <w:wordWrap/>
        <w:topLinePunct w:val="0"/>
        <w:bidi w:val="0"/>
        <w:spacing w:line="600" w:lineRule="exact"/>
        <w:ind w:firstLine="640" w:firstLineChars="200"/>
        <w:jc w:val="both"/>
        <w:rPr>
          <w:rFonts w:hint="eastAsia" w:ascii="仿宋_GB2312" w:hAnsi="仿宋_GB2312" w:eastAsia="仿宋_GB2312" w:cs="仿宋_GB2312"/>
          <w:b w:val="0"/>
          <w:bCs w:val="0"/>
        </w:rPr>
      </w:pPr>
    </w:p>
    <w:p w14:paraId="6F705889">
      <w:pPr>
        <w:pageBreakBefore w:val="0"/>
        <w:widowControl w:val="0"/>
        <w:numPr>
          <w:ilvl w:val="0"/>
          <w:numId w:val="0"/>
        </w:numPr>
        <w:kinsoku/>
        <w:wordWrap/>
        <w:topLinePunct w:val="0"/>
        <w:bidi w:val="0"/>
        <w:spacing w:line="600" w:lineRule="exact"/>
        <w:ind w:firstLine="640" w:firstLineChars="200"/>
        <w:jc w:val="both"/>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rPr>
        <w:t>完善覆盖全民、统筹城乡、公平统一、安全规范、可持续的多层次社会保障体系，</w:t>
      </w:r>
      <w:r>
        <w:rPr>
          <w:rFonts w:hint="eastAsia" w:ascii="仿宋_GB2312" w:hAnsi="仿宋_GB2312" w:eastAsia="仿宋_GB2312" w:cs="仿宋_GB2312"/>
          <w:b w:val="0"/>
          <w:bCs w:val="0"/>
          <w:color w:val="auto"/>
          <w:sz w:val="32"/>
          <w:szCs w:val="32"/>
          <w:highlight w:val="none"/>
          <w:lang w:val="en-US" w:eastAsia="zh-CN"/>
        </w:rPr>
        <w:t>筑牢民生</w:t>
      </w:r>
      <w:r>
        <w:rPr>
          <w:rFonts w:hint="eastAsia" w:ascii="仿宋_GB2312" w:hAnsi="仿宋_GB2312" w:eastAsia="仿宋_GB2312" w:cs="仿宋_GB2312"/>
          <w:b w:val="0"/>
          <w:bCs w:val="0"/>
          <w:color w:val="auto"/>
          <w:sz w:val="32"/>
          <w:szCs w:val="32"/>
          <w:highlight w:val="none"/>
          <w:lang w:eastAsia="zh-CN"/>
        </w:rPr>
        <w:t>保障</w:t>
      </w:r>
      <w:r>
        <w:rPr>
          <w:rFonts w:hint="eastAsia" w:ascii="仿宋_GB2312" w:hAnsi="仿宋_GB2312" w:eastAsia="仿宋_GB2312" w:cs="仿宋_GB2312"/>
          <w:b w:val="0"/>
          <w:bCs w:val="0"/>
          <w:color w:val="auto"/>
          <w:sz w:val="32"/>
          <w:szCs w:val="32"/>
          <w:highlight w:val="none"/>
          <w:lang w:val="en-US" w:eastAsia="zh-CN"/>
        </w:rPr>
        <w:t>底线</w:t>
      </w:r>
      <w:r>
        <w:rPr>
          <w:rFonts w:hint="eastAsia" w:ascii="仿宋_GB2312" w:hAnsi="仿宋_GB2312" w:eastAsia="仿宋_GB2312" w:cs="仿宋_GB2312"/>
          <w:b w:val="0"/>
          <w:bCs w:val="0"/>
          <w:color w:val="auto"/>
          <w:sz w:val="32"/>
          <w:szCs w:val="32"/>
          <w:highlight w:val="none"/>
          <w:lang w:eastAsia="zh-CN"/>
        </w:rPr>
        <w:t>。</w:t>
      </w:r>
      <w:bookmarkStart w:id="1834" w:name="_Toc17461"/>
      <w:bookmarkStart w:id="1835" w:name="_Toc2934"/>
      <w:bookmarkStart w:id="1836" w:name="_Toc23405"/>
      <w:bookmarkStart w:id="1837" w:name="_Toc2853"/>
      <w:bookmarkStart w:id="1838" w:name="_Toc2042"/>
      <w:bookmarkStart w:id="1839" w:name="_Toc1561097192"/>
      <w:bookmarkStart w:id="1840" w:name="_Toc27264"/>
      <w:bookmarkStart w:id="1841" w:name="_Toc20619"/>
      <w:bookmarkStart w:id="1842" w:name="_Toc1412"/>
      <w:bookmarkStart w:id="1843" w:name="_Toc11255"/>
      <w:bookmarkStart w:id="1844" w:name="_Toc30423"/>
      <w:bookmarkStart w:id="1845" w:name="_Toc12064"/>
      <w:bookmarkStart w:id="1846" w:name="_Toc12694"/>
      <w:bookmarkStart w:id="1847" w:name="_Toc17151"/>
      <w:bookmarkStart w:id="1848" w:name="_Toc215857959"/>
    </w:p>
    <w:p w14:paraId="3C058734">
      <w:pPr>
        <w:pageBreakBefore w:val="0"/>
        <w:widowControl w:val="0"/>
        <w:numPr>
          <w:ilvl w:val="0"/>
          <w:numId w:val="0"/>
        </w:numPr>
        <w:kinsoku/>
        <w:wordWrap/>
        <w:topLinePunct w:val="0"/>
        <w:bidi w:val="0"/>
        <w:spacing w:line="600" w:lineRule="exact"/>
        <w:ind w:firstLine="640" w:firstLineChars="200"/>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一、完善多层次保障救助制度</w:t>
      </w:r>
      <w:bookmarkEnd w:id="1834"/>
      <w:bookmarkEnd w:id="1835"/>
      <w:bookmarkEnd w:id="1836"/>
      <w:bookmarkEnd w:id="1837"/>
      <w:bookmarkEnd w:id="1838"/>
      <w:bookmarkEnd w:id="1839"/>
      <w:bookmarkEnd w:id="1840"/>
      <w:bookmarkEnd w:id="1841"/>
    </w:p>
    <w:p w14:paraId="284BA447">
      <w:pPr>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落实基本医疗保险统筹制度，深化医保支付方式改革，完善大病保险和医疗救助制度。落实失业保险和工伤保险省级统筹制度，落实职业伤害保障制度，扩大失业、工伤保险覆盖面。健全灵活就业人员、农民工、新就业形态人员社保制度，落实社保关系转移接续政策，推动社保扩面提质。落实社保基金长效筹集、统筹调剂、保值增值政策，加强社保基金安全监管。发挥各类商业保险补充保障作用。健全分层分类社会救助体系，促进政府救助与慈善帮扶有效衔接，加强低收入群体兜底帮扶。保障妇女儿童合法权益，完善空巢老人、困境儿童、残疾人等群体服务保障体系。加强退役军人服务。</w:t>
      </w:r>
      <w:bookmarkStart w:id="1849" w:name="_Toc10820"/>
      <w:bookmarkStart w:id="1850" w:name="_Toc1109042610"/>
      <w:bookmarkStart w:id="1851" w:name="_Toc26588"/>
      <w:bookmarkStart w:id="1852" w:name="_Toc576"/>
      <w:bookmarkStart w:id="1853" w:name="_Toc32266"/>
      <w:bookmarkStart w:id="1854" w:name="_Toc32138"/>
      <w:bookmarkStart w:id="1855" w:name="_Toc18710"/>
      <w:bookmarkStart w:id="1856" w:name="_Toc29214"/>
      <w:bookmarkStart w:id="1857" w:name="_Toc30191"/>
      <w:bookmarkStart w:id="1858" w:name="_Toc31051"/>
      <w:bookmarkStart w:id="1859" w:name="_Toc17611"/>
      <w:bookmarkStart w:id="1860" w:name="_Toc19171"/>
      <w:bookmarkStart w:id="1861" w:name="_Toc20681"/>
      <w:bookmarkStart w:id="1862" w:name="_Toc30145"/>
      <w:bookmarkStart w:id="1863" w:name="_Toc30804"/>
      <w:bookmarkStart w:id="1864" w:name="_Toc11120"/>
      <w:bookmarkStart w:id="1865" w:name="_Toc12400"/>
    </w:p>
    <w:p w14:paraId="19F90BAD">
      <w:pPr>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二、强化重点人群保障</w:t>
      </w:r>
      <w:bookmarkEnd w:id="1849"/>
      <w:bookmarkEnd w:id="1850"/>
      <w:bookmarkEnd w:id="1851"/>
      <w:bookmarkEnd w:id="1852"/>
      <w:bookmarkEnd w:id="1853"/>
      <w:bookmarkEnd w:id="1854"/>
      <w:bookmarkEnd w:id="1855"/>
      <w:bookmarkEnd w:id="1856"/>
    </w:p>
    <w:p w14:paraId="3C6D70C8">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lang w:val="en-US" w:eastAsia="zh-CN"/>
        </w:rPr>
        <w:t>完善妇女、儿童、残疾人等重点群体权益保障体系。健全儿童医疗救助制度，扩大救治病种范围，提高救助标准。深化妇女健康服务，扩大“两癌”筛查覆盖面，建立筛查、诊断、治疗闭环管理机制。健全关爱残疾人服务体系，推进无障碍设施建设，强化残疾人康复、教育、就业帮扶力度。健全退役军人工作体系和保障制度，全面落实双拥优抚安置政策。</w:t>
      </w:r>
    </w:p>
    <w:p w14:paraId="54291A8B">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866" w:name="_Toc13893"/>
      <w:bookmarkStart w:id="1867" w:name="_Toc29872"/>
      <w:bookmarkStart w:id="1868" w:name="_Toc13037"/>
      <w:bookmarkStart w:id="1869" w:name="_Toc1734088549"/>
      <w:bookmarkStart w:id="1870" w:name="_Toc20104"/>
      <w:bookmarkStart w:id="1871" w:name="_Toc9454"/>
      <w:bookmarkStart w:id="1872" w:name="_Toc31605"/>
      <w:bookmarkStart w:id="1873" w:name="_Toc28581"/>
      <w:r>
        <w:rPr>
          <w:rFonts w:hint="eastAsia" w:ascii="仿宋_GB2312" w:hAnsi="仿宋_GB2312" w:eastAsia="仿宋_GB2312" w:cs="仿宋_GB2312"/>
          <w:b w:val="0"/>
          <w:bCs w:val="0"/>
          <w:lang w:val="en-US" w:eastAsia="zh-CN"/>
        </w:rPr>
        <w:t>三</w:t>
      </w:r>
      <w:r>
        <w:rPr>
          <w:rFonts w:hint="eastAsia" w:ascii="仿宋_GB2312" w:hAnsi="仿宋_GB2312" w:eastAsia="仿宋_GB2312" w:cs="仿宋_GB2312"/>
          <w:b w:val="0"/>
          <w:bCs w:val="0"/>
        </w:rPr>
        <w:t>、完善基本养老服务体系</w:t>
      </w:r>
      <w:bookmarkEnd w:id="1857"/>
      <w:bookmarkEnd w:id="1858"/>
      <w:bookmarkEnd w:id="1859"/>
      <w:bookmarkEnd w:id="1860"/>
      <w:bookmarkEnd w:id="1861"/>
      <w:bookmarkEnd w:id="1862"/>
      <w:bookmarkEnd w:id="1866"/>
      <w:bookmarkEnd w:id="1867"/>
      <w:bookmarkEnd w:id="1868"/>
      <w:bookmarkEnd w:id="1869"/>
      <w:bookmarkEnd w:id="1870"/>
      <w:bookmarkEnd w:id="1871"/>
      <w:bookmarkEnd w:id="1872"/>
      <w:bookmarkEnd w:id="1873"/>
    </w:p>
    <w:p w14:paraId="30B15221">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color w:val="auto"/>
          <w:sz w:val="32"/>
          <w:szCs w:val="32"/>
          <w:highlight w:val="none"/>
          <w:lang w:eastAsia="zh-CN"/>
        </w:rPr>
        <w:t>严格落实基本养老保险政策，逐步提高城乡居民基础养老金，推动建立多层次多支柱养老保险体系。</w:t>
      </w:r>
      <w:r>
        <w:rPr>
          <w:rFonts w:hint="eastAsia" w:ascii="仿宋_GB2312" w:hAnsi="仿宋_GB2312" w:eastAsia="仿宋_GB2312" w:cs="仿宋_GB2312"/>
          <w:b w:val="0"/>
          <w:bCs w:val="0"/>
        </w:rPr>
        <w:t>高质量做好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一老一小</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服务工作</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积极主动应对人口老龄化，培育发展银发经济，着力构建以居家为基础、社区为依托、机构为专业支撑、医养相结合的养老服务格局。健全覆盖区、镇（办）、社区三级养老服务网络，完成区级综合养老服务中心建设，</w:t>
      </w:r>
      <w:r>
        <w:rPr>
          <w:rFonts w:hint="eastAsia" w:ascii="仿宋_GB2312" w:hAnsi="仿宋_GB2312" w:eastAsia="仿宋_GB2312" w:cs="仿宋_GB2312"/>
          <w:b w:val="0"/>
          <w:bCs w:val="0"/>
          <w:lang w:val="en-US" w:eastAsia="zh-CN"/>
        </w:rPr>
        <w:t>推动乡镇敬老院全部转型为区域养老服务中心。</w:t>
      </w:r>
      <w:r>
        <w:rPr>
          <w:rFonts w:hint="eastAsia" w:ascii="仿宋_GB2312" w:hAnsi="仿宋_GB2312" w:eastAsia="仿宋_GB2312" w:cs="仿宋_GB2312"/>
          <w:b w:val="0"/>
          <w:bCs w:val="0"/>
        </w:rPr>
        <w:t>完成</w:t>
      </w:r>
      <w:r>
        <w:rPr>
          <w:rFonts w:hint="eastAsia" w:ascii="仿宋_GB2312" w:hAnsi="仿宋_GB2312" w:eastAsia="仿宋_GB2312" w:cs="仿宋_GB2312"/>
          <w:b w:val="0"/>
          <w:bCs w:val="0"/>
          <w:lang w:val="en-US" w:eastAsia="zh-CN"/>
        </w:rPr>
        <w:t>4</w:t>
      </w:r>
      <w:r>
        <w:rPr>
          <w:rFonts w:hint="eastAsia" w:ascii="仿宋_GB2312" w:hAnsi="仿宋_GB2312" w:eastAsia="仿宋_GB2312" w:cs="仿宋_GB2312"/>
          <w:b w:val="0"/>
          <w:bCs w:val="0"/>
        </w:rPr>
        <w:t>个拆迁</w:t>
      </w:r>
      <w:r>
        <w:rPr>
          <w:rFonts w:hint="eastAsia" w:ascii="仿宋_GB2312" w:hAnsi="仿宋_GB2312" w:eastAsia="仿宋_GB2312" w:cs="仿宋_GB2312"/>
          <w:b w:val="0"/>
          <w:bCs w:val="0"/>
          <w:lang w:val="en-US" w:eastAsia="zh-CN"/>
        </w:rPr>
        <w:t>待安置</w:t>
      </w:r>
      <w:r>
        <w:rPr>
          <w:rFonts w:hint="eastAsia" w:ascii="仿宋_GB2312" w:hAnsi="仿宋_GB2312" w:eastAsia="仿宋_GB2312" w:cs="仿宋_GB2312"/>
          <w:b w:val="0"/>
          <w:bCs w:val="0"/>
        </w:rPr>
        <w:t>社区养老服务设施建设，打造农村社区标准化示范点3处，提升改造商住小区养老服务设施5处，补齐社区老年人活动场所短板。落实《洛阳市养老服务设施布局专项规划》，推动社区综合养老服务中心与社区卫生服务站、护理站及其他医疗设施临近设置，为老年人提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就近可及</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的医养结合服务支持。实施基本养老服务提升行动，</w:t>
      </w:r>
      <w:r>
        <w:rPr>
          <w:rFonts w:hint="eastAsia" w:ascii="仿宋_GB2312" w:hAnsi="仿宋_GB2312" w:eastAsia="仿宋_GB2312" w:cs="仿宋_GB2312"/>
          <w:b w:val="0"/>
          <w:bCs w:val="0"/>
          <w:lang w:val="en-US" w:eastAsia="zh-CN"/>
        </w:rPr>
        <w:t>发展普惠型养老服务和互助式养老，培育养老新业态，做好托老服务。</w:t>
      </w:r>
      <w:r>
        <w:rPr>
          <w:rFonts w:hint="eastAsia" w:ascii="仿宋_GB2312" w:hAnsi="仿宋_GB2312" w:eastAsia="仿宋_GB2312" w:cs="仿宋_GB2312"/>
          <w:b w:val="0"/>
          <w:bCs w:val="0"/>
        </w:rPr>
        <w:t>扩大社会养老服务有效供给，鼓励社会力量参与养老服务设施建设，培育专业化、连锁化、品牌化运营的社区养老服务机构。充分发挥养老机构技术创新示范、服务技能培训、设备推广应用等作用，推动专业化服务向居家和社区延伸。大力支持洛阳海纳养老服务有限公司扩容提质，推动思亲老年公寓提升改造，打造三星级普惠性民办养老机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积极推进农村社区养老服务设施建设，加快补齐农村社区养老服务短板，坚持政府引导、社会参与、集体互助、家庭尽责，强化农村社区基本养老服务供给。</w:t>
      </w:r>
      <w:r>
        <w:rPr>
          <w:rFonts w:hint="eastAsia" w:ascii="仿宋_GB2312" w:hAnsi="仿宋_GB2312" w:eastAsia="仿宋_GB2312" w:cs="仿宋_GB2312"/>
          <w:b w:val="0"/>
          <w:bCs w:val="0"/>
          <w:lang w:eastAsia="zh-CN"/>
        </w:rPr>
        <w:t>力</w:t>
      </w:r>
      <w:r>
        <w:rPr>
          <w:rFonts w:hint="eastAsia" w:ascii="仿宋_GB2312" w:hAnsi="仿宋_GB2312" w:eastAsia="仿宋_GB2312" w:cs="仿宋_GB2312"/>
          <w:b w:val="0"/>
          <w:bCs w:val="0"/>
        </w:rPr>
        <w:t>争</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末新增养老床位1000张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养老服务岗位持证人数达到80%，基本建成人人享有的普惠型基本养老服务体系，实现基本保障全覆盖、服务体系更优化、服务供给更优质、发展环境更和谐。</w:t>
      </w:r>
    </w:p>
    <w:p w14:paraId="3785D8F5">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874" w:name="_Toc1137668584"/>
      <w:bookmarkStart w:id="1875" w:name="_Toc27087"/>
      <w:bookmarkStart w:id="1876" w:name="_Toc10806"/>
      <w:bookmarkStart w:id="1877" w:name="_Toc20043"/>
      <w:bookmarkStart w:id="1878" w:name="_Toc15233"/>
      <w:bookmarkStart w:id="1879" w:name="_Toc4807"/>
      <w:bookmarkStart w:id="1880" w:name="_Toc26661"/>
      <w:bookmarkStart w:id="1881" w:name="_Toc23593"/>
      <w:r>
        <w:rPr>
          <w:rFonts w:hint="eastAsia" w:ascii="仿宋_GB2312" w:hAnsi="仿宋_GB2312" w:eastAsia="仿宋_GB2312" w:cs="仿宋_GB2312"/>
          <w:b w:val="0"/>
          <w:bCs w:val="0"/>
          <w:lang w:val="en-US" w:eastAsia="zh-CN"/>
        </w:rPr>
        <w:t>四</w:t>
      </w:r>
      <w:r>
        <w:rPr>
          <w:rFonts w:hint="eastAsia" w:ascii="仿宋_GB2312" w:hAnsi="仿宋_GB2312" w:eastAsia="仿宋_GB2312" w:cs="仿宋_GB2312"/>
          <w:b w:val="0"/>
          <w:bCs w:val="0"/>
        </w:rPr>
        <w:t>、建设生育友好型社会</w:t>
      </w:r>
      <w:bookmarkEnd w:id="1842"/>
      <w:bookmarkEnd w:id="1843"/>
      <w:bookmarkEnd w:id="1844"/>
      <w:bookmarkEnd w:id="1845"/>
      <w:bookmarkEnd w:id="1846"/>
      <w:bookmarkEnd w:id="1863"/>
      <w:bookmarkEnd w:id="1864"/>
      <w:bookmarkEnd w:id="1865"/>
      <w:bookmarkEnd w:id="1874"/>
      <w:bookmarkEnd w:id="1875"/>
      <w:bookmarkEnd w:id="1876"/>
      <w:bookmarkEnd w:id="1877"/>
      <w:bookmarkEnd w:id="1878"/>
      <w:bookmarkEnd w:id="1879"/>
      <w:bookmarkEnd w:id="1880"/>
      <w:bookmarkEnd w:id="1881"/>
    </w:p>
    <w:p w14:paraId="094D835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强化政策支持、加强服务保障、营造宽松环境，构建生育友好型社会。积极构建新型婚育文化，大力倡导积极的婚恋观、生育观、家庭观。完善生育支持政策体系，落实生育津贴、育儿补贴等福利，探索延长育儿假、弹性工作制，减轻家庭生育养育负担；对生育家庭在住房保障、医疗服务等方面给予倾斜。完成区托育综合服务中心建设，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1+N+X</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托育服务体系：以1个区托育综合服务中心为引领，以N个托幼一体园为主体，以X个邻里中心、乡里中心、用人单位、家庭托育点为补充，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末千人口托位数达到5.</w:t>
      </w:r>
      <w:r>
        <w:rPr>
          <w:rFonts w:hint="eastAsia" w:ascii="仿宋_GB2312" w:hAnsi="仿宋_GB2312" w:eastAsia="仿宋_GB2312" w:cs="仿宋_GB2312"/>
          <w:b w:val="0"/>
          <w:bCs w:val="0"/>
          <w:lang w:val="en-US" w:eastAsia="zh-CN"/>
        </w:rPr>
        <w:t>5</w:t>
      </w:r>
      <w:r>
        <w:rPr>
          <w:rFonts w:hint="eastAsia" w:ascii="仿宋_GB2312" w:hAnsi="仿宋_GB2312" w:eastAsia="仿宋_GB2312" w:cs="仿宋_GB2312"/>
          <w:b w:val="0"/>
          <w:bCs w:val="0"/>
        </w:rPr>
        <w:t>个，全面建成中原地区有影响力的托育服务高地。发展普惠托育服务体系，降低家庭养育成本，普惠托育服务达到70%，打造亲子友好公共空间，在公园、商场等场所增设母婴室、儿童游乐设施；开展生育友好主题宣传，营造尊重生育、关爱儿童的社会氛围；鼓励企业创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母婴友好型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工作环境，推动形成全社会共同支持生育的良好局面。</w:t>
      </w:r>
      <w:bookmarkEnd w:id="1847"/>
      <w:bookmarkEnd w:id="1848"/>
      <w:bookmarkStart w:id="1882" w:name="_Toc30688"/>
      <w:bookmarkStart w:id="1883" w:name="_Toc27169"/>
      <w:bookmarkStart w:id="1884" w:name="_Toc17963"/>
      <w:bookmarkStart w:id="1885" w:name="_Toc5461"/>
      <w:bookmarkStart w:id="1886" w:name="_Toc22503"/>
      <w:bookmarkStart w:id="1887" w:name="_Toc18548"/>
      <w:bookmarkStart w:id="1888" w:name="_Toc215857960"/>
      <w:bookmarkStart w:id="1889" w:name="_Toc445"/>
      <w:bookmarkStart w:id="1890" w:name="_Toc6784"/>
      <w:bookmarkStart w:id="1891" w:name="_Toc9907"/>
      <w:bookmarkStart w:id="1892" w:name="_Toc8522"/>
      <w:bookmarkStart w:id="1893" w:name="_Toc11172"/>
      <w:bookmarkStart w:id="1894" w:name="_Toc26079"/>
      <w:bookmarkStart w:id="1895" w:name="_Toc4372"/>
      <w:bookmarkStart w:id="1896" w:name="_Toc703"/>
      <w:bookmarkStart w:id="1897" w:name="_Toc346419179"/>
    </w:p>
    <w:p w14:paraId="6FAE620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五</w:t>
      </w:r>
      <w:r>
        <w:rPr>
          <w:rFonts w:hint="eastAsia" w:ascii="仿宋_GB2312" w:hAnsi="仿宋_GB2312" w:eastAsia="仿宋_GB2312" w:cs="仿宋_GB2312"/>
          <w:b w:val="0"/>
          <w:bCs w:val="0"/>
        </w:rPr>
        <w:t>、促进医养结合</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14:paraId="5F1BC13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促进医养结合高质量发展，加强医疗卫生机构与养老机构合作，推动医疗卫生资源与养老资源互补共享、融合发展，为老年人提供便捷的医疗服务。打造医养综合服务标杆项目，引导养老机构内设护理院、医务室，鼓励支持基层医疗卫生机构设置养老床位。整合养老和医疗、康复、护理资源，加大政策支持力度，鼓励建设医养、康养相结合的普惠型养老机构。</w:t>
      </w:r>
    </w:p>
    <w:p w14:paraId="3C1FA5C7">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rPr>
      </w:pPr>
    </w:p>
    <w:tbl>
      <w:tblPr>
        <w:tblStyle w:val="34"/>
        <w:tblW w:w="8831"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1"/>
      </w:tblGrid>
      <w:tr w14:paraId="45DC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1" w:type="dxa"/>
          </w:tcPr>
          <w:p w14:paraId="6FB04F7F">
            <w:pPr>
              <w:pStyle w:val="2"/>
              <w:keepNext w:val="0"/>
              <w:keepLines w:val="0"/>
              <w:pageBreakBefore w:val="0"/>
              <w:widowControl w:val="0"/>
              <w:suppressLineNumbers w:val="0"/>
              <w:kinsoku/>
              <w:wordWrap/>
              <w:topLinePunct w:val="0"/>
              <w:bidi w:val="0"/>
              <w:spacing w:before="0" w:beforeAutospacing="0" w:after="0" w:afterAutospacing="0" w:line="600" w:lineRule="exact"/>
              <w:ind w:left="0" w:right="0"/>
              <w:jc w:val="center"/>
              <w:rPr>
                <w:rFonts w:hint="eastAsia" w:ascii="仿宋_GB2312" w:hAnsi="仿宋_GB2312" w:eastAsia="仿宋_GB2312" w:cs="仿宋_GB2312"/>
                <w:b w:val="0"/>
                <w:bCs w:val="0"/>
                <w:color w:val="auto"/>
                <w:kern w:val="2"/>
                <w:lang w:val="en-US" w:eastAsia="zh-CN"/>
              </w:rPr>
            </w:pPr>
            <w:r>
              <w:rPr>
                <w:rFonts w:hint="eastAsia" w:ascii="黑体" w:hAnsi="黑体" w:eastAsia="黑体" w:cs="黑体"/>
                <w:b w:val="0"/>
                <w:bCs w:val="0"/>
                <w:color w:val="auto"/>
                <w:kern w:val="2"/>
                <w:sz w:val="28"/>
                <w:szCs w:val="28"/>
              </w:rPr>
              <w:t>专栏</w:t>
            </w:r>
            <w:r>
              <w:rPr>
                <w:rFonts w:hint="eastAsia" w:ascii="黑体" w:hAnsi="黑体" w:eastAsia="黑体" w:cs="黑体"/>
                <w:b w:val="0"/>
                <w:bCs w:val="0"/>
                <w:color w:val="auto"/>
                <w:kern w:val="2"/>
                <w:sz w:val="28"/>
                <w:szCs w:val="28"/>
                <w:lang w:val="en-US" w:eastAsia="zh-CN"/>
              </w:rPr>
              <w:t>9-</w:t>
            </w:r>
            <w:r>
              <w:rPr>
                <w:rFonts w:hint="eastAsia" w:ascii="黑体" w:hAnsi="黑体" w:eastAsia="黑体" w:cs="黑体"/>
                <w:b w:val="0"/>
                <w:bCs w:val="0"/>
                <w:color w:val="auto"/>
                <w:kern w:val="0"/>
                <w:sz w:val="28"/>
                <w:szCs w:val="28"/>
                <w:lang w:val="en-US" w:eastAsia="zh-CN"/>
              </w:rPr>
              <w:t xml:space="preserve">1    </w:t>
            </w:r>
            <w:r>
              <w:rPr>
                <w:rFonts w:hint="eastAsia" w:ascii="黑体" w:hAnsi="黑体" w:eastAsia="黑体" w:cs="黑体"/>
                <w:b w:val="0"/>
                <w:bCs w:val="0"/>
                <w:color w:val="auto"/>
                <w:kern w:val="2"/>
                <w:sz w:val="28"/>
                <w:szCs w:val="28"/>
                <w:lang w:val="en-US" w:eastAsia="zh-CN"/>
              </w:rPr>
              <w:t>保障和改善</w:t>
            </w:r>
            <w:r>
              <w:rPr>
                <w:rFonts w:hint="eastAsia" w:ascii="黑体" w:hAnsi="黑体" w:eastAsia="黑体" w:cs="黑体"/>
                <w:b w:val="0"/>
                <w:bCs w:val="0"/>
                <w:color w:val="auto"/>
                <w:kern w:val="2"/>
                <w:sz w:val="28"/>
                <w:szCs w:val="28"/>
              </w:rPr>
              <w:t>民生</w:t>
            </w:r>
            <w:r>
              <w:rPr>
                <w:rFonts w:hint="eastAsia" w:ascii="黑体" w:hAnsi="黑体" w:eastAsia="黑体" w:cs="黑体"/>
                <w:b w:val="0"/>
                <w:bCs w:val="0"/>
                <w:color w:val="auto"/>
                <w:kern w:val="2"/>
                <w:sz w:val="28"/>
                <w:szCs w:val="28"/>
                <w:lang w:val="en-US" w:eastAsia="zh-CN"/>
              </w:rPr>
              <w:t>项目</w:t>
            </w:r>
          </w:p>
        </w:tc>
      </w:tr>
      <w:tr w14:paraId="1F65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1" w:type="dxa"/>
          </w:tcPr>
          <w:p w14:paraId="0626133F">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lang w:val="en-US" w:eastAsia="zh-CN"/>
              </w:rPr>
              <w:t>公共教育项目。新建</w:t>
            </w:r>
            <w:r>
              <w:rPr>
                <w:rFonts w:hint="eastAsia" w:ascii="仿宋_GB2312" w:hAnsi="仿宋_GB2312" w:eastAsia="仿宋_GB2312" w:cs="仿宋_GB2312"/>
                <w:b w:val="0"/>
                <w:bCs w:val="0"/>
                <w:color w:val="auto"/>
                <w:kern w:val="2"/>
                <w:sz w:val="28"/>
                <w:szCs w:val="28"/>
              </w:rPr>
              <w:t>洛阳市实验幼儿园</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3号小区小学</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6号小区小学</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7号小区小学</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实施</w:t>
            </w:r>
            <w:r>
              <w:rPr>
                <w:rFonts w:hint="eastAsia" w:ascii="仿宋_GB2312" w:hAnsi="仿宋_GB2312" w:eastAsia="仿宋_GB2312" w:cs="仿宋_GB2312"/>
                <w:b w:val="0"/>
                <w:bCs w:val="0"/>
                <w:color w:val="auto"/>
                <w:kern w:val="2"/>
                <w:sz w:val="28"/>
                <w:szCs w:val="28"/>
              </w:rPr>
              <w:t>庞村中学</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rPr>
              <w:t>寇店小学</w:t>
            </w:r>
            <w:r>
              <w:rPr>
                <w:rFonts w:hint="eastAsia" w:ascii="仿宋_GB2312" w:hAnsi="仿宋_GB2312" w:eastAsia="仿宋_GB2312" w:cs="仿宋_GB2312"/>
                <w:b w:val="0"/>
                <w:bCs w:val="0"/>
                <w:color w:val="auto"/>
                <w:kern w:val="2"/>
                <w:sz w:val="28"/>
                <w:szCs w:val="28"/>
                <w:lang w:val="en-US" w:eastAsia="zh-CN"/>
              </w:rPr>
              <w:t>等提升改造项目9个。</w:t>
            </w:r>
          </w:p>
          <w:p w14:paraId="427C19D8">
            <w:pPr>
              <w:keepNext w:val="0"/>
              <w:keepLines w:val="0"/>
              <w:pageBreakBefore w:val="0"/>
              <w:widowControl w:val="0"/>
              <w:suppressLineNumbers w:val="0"/>
              <w:kinsoku/>
              <w:wordWrap/>
              <w:topLinePunct w:val="0"/>
              <w:bidi w:val="0"/>
              <w:spacing w:before="0" w:beforeAutospacing="0" w:after="0" w:afterAutospacing="0" w:line="600" w:lineRule="exact"/>
              <w:ind w:left="0" w:right="0" w:firstLine="560"/>
              <w:jc w:val="left"/>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val="en-US" w:eastAsia="zh-CN"/>
              </w:rPr>
              <w:t>健康伊滨建设项目。推动建设</w:t>
            </w:r>
            <w:r>
              <w:rPr>
                <w:rFonts w:hint="eastAsia" w:ascii="仿宋_GB2312" w:hAnsi="仿宋_GB2312" w:eastAsia="仿宋_GB2312" w:cs="仿宋_GB2312"/>
                <w:b w:val="0"/>
                <w:bCs w:val="0"/>
                <w:color w:val="auto"/>
                <w:kern w:val="2"/>
                <w:sz w:val="28"/>
                <w:szCs w:val="28"/>
              </w:rPr>
              <w:t>西交大二附院洛阳医院二期</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谋划</w:t>
            </w:r>
            <w:r>
              <w:rPr>
                <w:rFonts w:hint="eastAsia" w:ascii="仿宋_GB2312" w:hAnsi="仿宋_GB2312" w:eastAsia="仿宋_GB2312" w:cs="仿宋_GB2312"/>
                <w:b w:val="0"/>
                <w:bCs w:val="0"/>
                <w:color w:val="auto"/>
                <w:kern w:val="2"/>
                <w:sz w:val="28"/>
                <w:szCs w:val="28"/>
              </w:rPr>
              <w:t>妇幼保健院</w:t>
            </w:r>
            <w:r>
              <w:rPr>
                <w:rFonts w:hint="eastAsia" w:ascii="仿宋_GB2312" w:hAnsi="仿宋_GB2312" w:eastAsia="仿宋_GB2312" w:cs="仿宋_GB2312"/>
                <w:b w:val="0"/>
                <w:bCs w:val="0"/>
                <w:color w:val="auto"/>
                <w:kern w:val="2"/>
                <w:sz w:val="28"/>
                <w:szCs w:val="28"/>
                <w:lang w:val="en-US" w:eastAsia="zh-CN"/>
              </w:rPr>
              <w:t>等卫生健康类项目8个，</w:t>
            </w:r>
            <w:r>
              <w:rPr>
                <w:rFonts w:hint="eastAsia" w:ascii="仿宋_GB2312" w:hAnsi="仿宋_GB2312" w:eastAsia="仿宋_GB2312" w:cs="仿宋_GB2312"/>
                <w:b w:val="0"/>
                <w:bCs w:val="0"/>
                <w:color w:val="auto"/>
                <w:kern w:val="2"/>
                <w:sz w:val="28"/>
                <w:szCs w:val="28"/>
              </w:rPr>
              <w:t>普惠养老三级服务体系</w:t>
            </w:r>
            <w:r>
              <w:rPr>
                <w:rFonts w:hint="eastAsia" w:ascii="仿宋_GB2312" w:hAnsi="仿宋_GB2312" w:eastAsia="仿宋_GB2312" w:cs="仿宋_GB2312"/>
                <w:b w:val="0"/>
                <w:bCs w:val="0"/>
                <w:color w:val="auto"/>
                <w:kern w:val="2"/>
                <w:sz w:val="28"/>
                <w:szCs w:val="28"/>
                <w:lang w:val="en-US" w:eastAsia="zh-CN"/>
              </w:rPr>
              <w:t>等养老类项目2个。</w:t>
            </w:r>
          </w:p>
        </w:tc>
      </w:tr>
    </w:tbl>
    <w:p w14:paraId="1F3D4F87">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仿宋_GB2312" w:hAnsi="仿宋_GB2312" w:eastAsia="仿宋_GB2312" w:cs="仿宋_GB2312"/>
          <w:b w:val="0"/>
          <w:bCs w:val="0"/>
          <w:color w:val="auto"/>
          <w:lang w:val="en-US" w:eastAsia="zh-CN"/>
        </w:rPr>
      </w:pPr>
    </w:p>
    <w:p w14:paraId="44314BD5">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bookmarkStart w:id="1898" w:name="_Toc29392"/>
      <w:bookmarkStart w:id="1899" w:name="_Toc16464"/>
      <w:bookmarkStart w:id="1900" w:name="_Toc13025"/>
      <w:bookmarkStart w:id="1901" w:name="_Toc25731"/>
      <w:bookmarkStart w:id="1902" w:name="_Toc13250"/>
      <w:bookmarkStart w:id="1903" w:name="_Toc32654"/>
      <w:bookmarkStart w:id="1904" w:name="_Toc27438"/>
      <w:bookmarkStart w:id="1905" w:name="_Toc145113022"/>
      <w:bookmarkStart w:id="1906" w:name="_Toc21816"/>
      <w:bookmarkStart w:id="1907" w:name="_Toc21435"/>
      <w:bookmarkStart w:id="1908" w:name="_Toc13263"/>
      <w:r>
        <w:rPr>
          <w:rFonts w:hint="eastAsia" w:ascii="黑体" w:hAnsi="黑体" w:eastAsia="黑体" w:cs="黑体"/>
          <w:b w:val="0"/>
          <w:bCs w:val="0"/>
          <w:lang w:val="en-US" w:eastAsia="zh-CN"/>
        </w:rPr>
        <w:t>第五节  推动</w:t>
      </w:r>
      <w:r>
        <w:rPr>
          <w:rFonts w:hint="eastAsia" w:ascii="黑体" w:hAnsi="黑体" w:eastAsia="黑体" w:cs="黑体"/>
          <w:b w:val="0"/>
          <w:bCs w:val="0"/>
        </w:rPr>
        <w:t>房地产</w:t>
      </w:r>
      <w:bookmarkEnd w:id="1898"/>
      <w:bookmarkEnd w:id="1899"/>
      <w:bookmarkEnd w:id="1900"/>
      <w:r>
        <w:rPr>
          <w:rFonts w:hint="eastAsia" w:ascii="黑体" w:hAnsi="黑体" w:eastAsia="黑体" w:cs="黑体"/>
          <w:b w:val="0"/>
          <w:bCs w:val="0"/>
          <w:lang w:val="en-US" w:eastAsia="zh-CN"/>
        </w:rPr>
        <w:t>市场</w:t>
      </w:r>
      <w:r>
        <w:rPr>
          <w:rFonts w:hint="eastAsia" w:ascii="黑体" w:hAnsi="黑体" w:eastAsia="黑体" w:cs="黑体"/>
          <w:b w:val="0"/>
          <w:bCs w:val="0"/>
        </w:rPr>
        <w:t>高质量发展</w:t>
      </w:r>
      <w:bookmarkEnd w:id="1901"/>
      <w:bookmarkEnd w:id="1902"/>
      <w:bookmarkEnd w:id="1903"/>
      <w:bookmarkEnd w:id="1904"/>
      <w:bookmarkEnd w:id="1905"/>
      <w:bookmarkEnd w:id="1906"/>
      <w:bookmarkEnd w:id="1907"/>
      <w:bookmarkEnd w:id="1908"/>
    </w:p>
    <w:p w14:paraId="163F61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p>
    <w:p w14:paraId="551637F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sz w:val="32"/>
          <w:szCs w:val="32"/>
        </w:rPr>
        <w:t>落实促进房地产市场平稳健康发展有关政策，</w:t>
      </w:r>
      <w:r>
        <w:rPr>
          <w:rFonts w:hint="eastAsia" w:ascii="仿宋_GB2312" w:hAnsi="仿宋_GB2312" w:eastAsia="仿宋_GB2312" w:cs="仿宋_GB2312"/>
          <w:b w:val="0"/>
          <w:bCs w:val="0"/>
          <w:sz w:val="32"/>
          <w:szCs w:val="32"/>
          <w:lang w:val="en-US" w:eastAsia="zh-CN"/>
        </w:rPr>
        <w:t>优化住房供给结构，</w:t>
      </w:r>
      <w:r>
        <w:rPr>
          <w:rFonts w:hint="eastAsia" w:ascii="仿宋_GB2312" w:hAnsi="仿宋_GB2312" w:eastAsia="仿宋_GB2312" w:cs="仿宋_GB2312"/>
          <w:b w:val="0"/>
          <w:bCs w:val="0"/>
          <w:sz w:val="32"/>
          <w:szCs w:val="32"/>
        </w:rPr>
        <w:t>完善</w:t>
      </w:r>
      <w:r>
        <w:rPr>
          <w:rFonts w:hint="eastAsia" w:ascii="仿宋_GB2312" w:hAnsi="仿宋_GB2312" w:eastAsia="仿宋_GB2312" w:cs="仿宋_GB2312"/>
          <w:b w:val="0"/>
          <w:bCs w:val="0"/>
          <w:sz w:val="32"/>
          <w:szCs w:val="32"/>
          <w:lang w:val="en-US" w:eastAsia="zh-CN"/>
        </w:rPr>
        <w:t>住房保障体系，加强房地产市场监管，推动房地产与实体经济协调发展，满足群众多样化住房需求。</w:t>
      </w:r>
    </w:p>
    <w:p w14:paraId="7E6AC3A8">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909" w:name="_Toc15713"/>
      <w:bookmarkStart w:id="1910" w:name="_Toc32223"/>
      <w:bookmarkStart w:id="1911" w:name="_Toc21394"/>
      <w:bookmarkStart w:id="1912" w:name="_Toc31177"/>
      <w:bookmarkStart w:id="1913" w:name="_Toc9643"/>
      <w:bookmarkStart w:id="1914" w:name="_Toc16974"/>
      <w:bookmarkStart w:id="1915" w:name="_Toc1300129874"/>
      <w:bookmarkStart w:id="1916" w:name="_Toc16694"/>
      <w:bookmarkStart w:id="1917" w:name="_Toc24900"/>
      <w:bookmarkStart w:id="1918" w:name="_Toc11170"/>
      <w:bookmarkStart w:id="1919" w:name="_Toc18392"/>
      <w:r>
        <w:rPr>
          <w:rFonts w:hint="eastAsia" w:ascii="仿宋_GB2312" w:hAnsi="仿宋_GB2312" w:eastAsia="仿宋_GB2312" w:cs="仿宋_GB2312"/>
          <w:b w:val="0"/>
          <w:bCs w:val="0"/>
          <w:lang w:val="en-US" w:eastAsia="zh-CN"/>
        </w:rPr>
        <w:t>一</w:t>
      </w:r>
      <w:r>
        <w:rPr>
          <w:rFonts w:hint="eastAsia" w:ascii="仿宋_GB2312" w:hAnsi="仿宋_GB2312" w:eastAsia="仿宋_GB2312" w:cs="仿宋_GB2312"/>
          <w:b w:val="0"/>
          <w:bCs w:val="0"/>
        </w:rPr>
        <w:t>、加快构建房地产发展新模式</w:t>
      </w:r>
      <w:bookmarkEnd w:id="1909"/>
      <w:bookmarkEnd w:id="1910"/>
      <w:bookmarkEnd w:id="1911"/>
      <w:bookmarkEnd w:id="1912"/>
      <w:bookmarkEnd w:id="1913"/>
      <w:bookmarkEnd w:id="1914"/>
      <w:bookmarkEnd w:id="1915"/>
      <w:bookmarkEnd w:id="1916"/>
    </w:p>
    <w:p w14:paraId="3EB089B7">
      <w:pPr>
        <w:pageBreakBefore w:val="0"/>
        <w:widowControl w:val="0"/>
        <w:kinsoku/>
        <w:wordWrap/>
        <w:topLinePunct w:val="0"/>
        <w:bidi w:val="0"/>
        <w:spacing w:line="600" w:lineRule="exact"/>
        <w:rPr>
          <w:rFonts w:hint="eastAsia" w:ascii="仿宋_GB2312" w:hAnsi="仿宋_GB2312" w:eastAsia="仿宋_GB2312" w:cs="仿宋_GB2312"/>
          <w:b w:val="0"/>
          <w:bCs w:val="0"/>
          <w:highlight w:val="none"/>
        </w:rPr>
      </w:pPr>
      <w:r>
        <w:rPr>
          <w:rFonts w:hint="eastAsia" w:ascii="仿宋_GB2312" w:hAnsi="仿宋_GB2312" w:eastAsia="仿宋_GB2312" w:cs="仿宋_GB2312"/>
          <w:b w:val="0"/>
          <w:bCs w:val="0"/>
        </w:rPr>
        <w:t>完善商品房开发、融资、销售等基础制度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优化保障性住房供给，满足城镇工薪群体和各类困难家庭基本住房需求。实施房屋品质提升工程和物业服务质量提升行动。推动房地产市场止跌回稳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推动房企转型，盘活存量，优化增量住房。</w:t>
      </w:r>
      <w:r>
        <w:rPr>
          <w:rFonts w:hint="eastAsia" w:ascii="仿宋_GB2312" w:hAnsi="仿宋_GB2312" w:eastAsia="仿宋_GB2312" w:cs="仿宋_GB2312"/>
          <w:b w:val="0"/>
          <w:bCs w:val="0"/>
          <w:highlight w:val="none"/>
        </w:rPr>
        <w:t>高效运转房地产融资协调机制，常态化实施房地产开发贷款项目，推动符合标准条件项目应进尽进，</w:t>
      </w:r>
      <w:r>
        <w:rPr>
          <w:rFonts w:hint="eastAsia" w:ascii="仿宋_GB2312" w:hAnsi="仿宋_GB2312" w:eastAsia="仿宋_GB2312" w:cs="仿宋_GB2312"/>
          <w:b w:val="0"/>
          <w:bCs w:val="0"/>
          <w:highlight w:val="none"/>
          <w:lang w:eastAsia="zh-CN"/>
        </w:rPr>
        <w:t>“</w:t>
      </w:r>
      <w:r>
        <w:rPr>
          <w:rFonts w:hint="eastAsia" w:ascii="仿宋_GB2312" w:hAnsi="仿宋_GB2312" w:eastAsia="仿宋_GB2312" w:cs="仿宋_GB2312"/>
          <w:b w:val="0"/>
          <w:bCs w:val="0"/>
          <w:highlight w:val="none"/>
        </w:rPr>
        <w:t>白名单</w:t>
      </w:r>
      <w:r>
        <w:rPr>
          <w:rFonts w:hint="eastAsia" w:ascii="仿宋_GB2312" w:hAnsi="仿宋_GB2312" w:eastAsia="仿宋_GB2312" w:cs="仿宋_GB2312"/>
          <w:b w:val="0"/>
          <w:bCs w:val="0"/>
          <w:highlight w:val="none"/>
          <w:lang w:eastAsia="zh-CN"/>
        </w:rPr>
        <w:t>”</w:t>
      </w:r>
      <w:r>
        <w:rPr>
          <w:rFonts w:hint="eastAsia" w:ascii="仿宋_GB2312" w:hAnsi="仿宋_GB2312" w:eastAsia="仿宋_GB2312" w:cs="仿宋_GB2312"/>
          <w:b w:val="0"/>
          <w:bCs w:val="0"/>
          <w:highlight w:val="none"/>
        </w:rPr>
        <w:t>项目扩围增效，加快推进重点房企项目风险出清。</w:t>
      </w:r>
    </w:p>
    <w:p w14:paraId="2733511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920" w:name="_Toc21004"/>
      <w:bookmarkStart w:id="1921" w:name="_Toc9786"/>
      <w:bookmarkStart w:id="1922" w:name="_Toc23685"/>
      <w:bookmarkStart w:id="1923" w:name="_Toc102699195"/>
      <w:bookmarkStart w:id="1924" w:name="_Toc10485"/>
      <w:bookmarkStart w:id="1925" w:name="_Toc29576"/>
      <w:bookmarkStart w:id="1926" w:name="_Toc25321"/>
      <w:bookmarkStart w:id="1927" w:name="_Toc30206"/>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构建多层次安居保障体系</w:t>
      </w:r>
      <w:bookmarkEnd w:id="1920"/>
      <w:bookmarkEnd w:id="1921"/>
      <w:bookmarkEnd w:id="1922"/>
      <w:bookmarkEnd w:id="1923"/>
      <w:bookmarkEnd w:id="1924"/>
      <w:bookmarkEnd w:id="1925"/>
      <w:bookmarkEnd w:id="1926"/>
      <w:bookmarkEnd w:id="1927"/>
    </w:p>
    <w:p w14:paraId="794209CE">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提升住房标准、设计、材料、建造、运维水平，打造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好房子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标杆项目。建成</w:t>
      </w:r>
      <w:r>
        <w:rPr>
          <w:rFonts w:hint="eastAsia" w:ascii="仿宋_GB2312" w:hAnsi="仿宋_GB2312" w:eastAsia="仿宋_GB2312" w:cs="仿宋_GB2312"/>
          <w:b w:val="0"/>
          <w:bCs w:val="0"/>
          <w:color w:val="auto"/>
        </w:rPr>
        <w:t>万安新苑、</w:t>
      </w:r>
      <w:r>
        <w:rPr>
          <w:rFonts w:hint="eastAsia" w:ascii="仿宋_GB2312" w:hAnsi="仿宋_GB2312" w:eastAsia="仿宋_GB2312" w:cs="仿宋_GB2312"/>
          <w:b w:val="0"/>
          <w:bCs w:val="0"/>
          <w:color w:val="auto"/>
          <w:lang w:val="en-US" w:eastAsia="zh-CN"/>
        </w:rPr>
        <w:t>国晟未来花园</w:t>
      </w:r>
      <w:r>
        <w:rPr>
          <w:rFonts w:hint="eastAsia" w:ascii="仿宋_GB2312" w:hAnsi="仿宋_GB2312" w:eastAsia="仿宋_GB2312" w:cs="仿宋_GB2312"/>
          <w:b w:val="0"/>
          <w:bCs w:val="0"/>
          <w:color w:val="auto"/>
        </w:rPr>
        <w:t>、国展四代住</w:t>
      </w:r>
      <w:r>
        <w:rPr>
          <w:rFonts w:hint="eastAsia" w:ascii="仿宋_GB2312" w:hAnsi="仿宋_GB2312" w:eastAsia="仿宋_GB2312" w:cs="仿宋_GB2312"/>
          <w:b w:val="0"/>
          <w:bCs w:val="0"/>
        </w:rPr>
        <w:t>宅等10个高品质住宅小区，满足高端群体居住需求。针对青年人才，提供短期免费过渡住宿，配套人才公寓分层供应体系，通过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一张床、一间房、一套房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的弹性供给满足不同阶段需求。建设青年社区，配套共享厨房、健身房等设施，打造社交型居住空间。</w:t>
      </w:r>
      <w:r>
        <w:rPr>
          <w:rFonts w:hint="eastAsia" w:ascii="仿宋_GB2312" w:hAnsi="仿宋_GB2312" w:eastAsia="仿宋_GB2312" w:cs="仿宋_GB2312"/>
          <w:b w:val="0"/>
          <w:bCs w:val="0"/>
          <w:lang w:val="en-US" w:eastAsia="zh-CN"/>
        </w:rPr>
        <w:t>优化人才保障政策，</w:t>
      </w:r>
      <w:r>
        <w:rPr>
          <w:rFonts w:hint="eastAsia" w:ascii="仿宋_GB2312" w:hAnsi="仿宋_GB2312" w:eastAsia="仿宋_GB2312" w:cs="仿宋_GB2312"/>
          <w:b w:val="0"/>
          <w:bCs w:val="0"/>
        </w:rPr>
        <w:t>将薪酬补贴等权益与住房保障绑定，形成引才留才的闭环生态。对产业工人群体，重点推进产城融合型社区建设，在产业园区周边布局保障性租赁住房。全区新增保障性租赁住房3000套，推行租购同权政策，保障租房者享受同等公共服务。针对中低收入群体扩大安居房保障范围，将申购条件从户籍人口扩展至常住人口，允许以劳动合同或服务承诺书作为申请凭证。全面完成在建安置小区建设任务，努力实现征迁群众全部安置目标，结合我区城市建设及</w:t>
      </w:r>
      <w:r>
        <w:rPr>
          <w:rFonts w:hint="eastAsia" w:ascii="仿宋_GB2312" w:hAnsi="仿宋_GB2312" w:eastAsia="仿宋_GB2312" w:cs="仿宋_GB2312"/>
          <w:b w:val="0"/>
          <w:bCs w:val="0"/>
          <w:lang w:val="en-US" w:eastAsia="zh-CN"/>
        </w:rPr>
        <w:t>群众</w:t>
      </w:r>
      <w:r>
        <w:rPr>
          <w:rFonts w:hint="eastAsia" w:ascii="仿宋_GB2312" w:hAnsi="仿宋_GB2312" w:eastAsia="仿宋_GB2312" w:cs="仿宋_GB2312"/>
          <w:b w:val="0"/>
          <w:bCs w:val="0"/>
        </w:rPr>
        <w:t>需要，新增1个城中村改造项目。同时积极发展高星级绿色建筑、装配式建筑，探索发展超低能耗建筑，提升建筑能效水平。</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十五五”期间，规划建成安置房1.3万套，安置人口2.7万人。</w:t>
      </w:r>
      <w:bookmarkEnd w:id="1917"/>
      <w:bookmarkEnd w:id="1918"/>
      <w:bookmarkEnd w:id="1919"/>
      <w:bookmarkStart w:id="1928" w:name="_Toc4262"/>
      <w:bookmarkStart w:id="1929" w:name="_Toc3527"/>
      <w:bookmarkStart w:id="1930" w:name="_Toc5142"/>
      <w:bookmarkStart w:id="1931" w:name="_Toc1824"/>
      <w:bookmarkStart w:id="1932" w:name="_Toc8183"/>
      <w:bookmarkStart w:id="1933" w:name="_Toc29439"/>
      <w:bookmarkStart w:id="1934" w:name="_Toc15625"/>
      <w:bookmarkStart w:id="1935" w:name="_Toc14484"/>
      <w:bookmarkStart w:id="1936" w:name="_Toc12642"/>
      <w:bookmarkStart w:id="1937" w:name="_Toc874836890"/>
      <w:bookmarkStart w:id="1938" w:name="_Toc4969"/>
    </w:p>
    <w:p w14:paraId="258BDA6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三、</w:t>
      </w:r>
      <w:r>
        <w:rPr>
          <w:rFonts w:hint="eastAsia" w:ascii="仿宋_GB2312" w:hAnsi="仿宋_GB2312" w:eastAsia="仿宋_GB2312" w:cs="仿宋_GB2312"/>
          <w:b w:val="0"/>
          <w:bCs w:val="0"/>
        </w:rPr>
        <w:t>完善住房供应体系</w:t>
      </w:r>
      <w:bookmarkEnd w:id="1928"/>
      <w:bookmarkEnd w:id="1929"/>
      <w:bookmarkEnd w:id="1930"/>
      <w:bookmarkEnd w:id="1931"/>
      <w:bookmarkEnd w:id="1932"/>
      <w:bookmarkEnd w:id="1933"/>
      <w:bookmarkEnd w:id="1934"/>
      <w:bookmarkEnd w:id="1935"/>
      <w:bookmarkEnd w:id="1936"/>
      <w:bookmarkEnd w:id="1937"/>
      <w:bookmarkEnd w:id="1938"/>
    </w:p>
    <w:p w14:paraId="6F64B137">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完善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市场+保障</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住房体系，推动房企转型，盘活存量，优化增量。完善住房供应体系。加快保障性住房、特别是保障性租赁住房项目开工建设。积极争取专项债资金，推进收购存量商品房用于保障性住房，改善住房条件，满足困难群体基本居住需求。实施房屋品质提升工程和物业服务质量提升行动，建立房屋全生命周期安全管理制度，建设安全舒适绿色智慧的</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好房子</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w:t>
      </w:r>
    </w:p>
    <w:p w14:paraId="5849B102">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tbl>
      <w:tblPr>
        <w:tblStyle w:val="34"/>
        <w:tblW w:w="8855"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5"/>
      </w:tblGrid>
      <w:tr w14:paraId="632F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5" w:type="dxa"/>
          </w:tcPr>
          <w:p w14:paraId="145BD8A0">
            <w:pPr>
              <w:pStyle w:val="2"/>
              <w:keepNext w:val="0"/>
              <w:keepLines w:val="0"/>
              <w:pageBreakBefore w:val="0"/>
              <w:widowControl w:val="0"/>
              <w:suppressLineNumbers w:val="0"/>
              <w:kinsoku/>
              <w:wordWrap/>
              <w:topLinePunct w:val="0"/>
              <w:bidi w:val="0"/>
              <w:spacing w:before="0" w:beforeAutospacing="0" w:after="0" w:afterAutospacing="0" w:line="600" w:lineRule="exact"/>
              <w:ind w:left="0" w:right="0"/>
              <w:jc w:val="center"/>
              <w:rPr>
                <w:rFonts w:hint="eastAsia" w:ascii="仿宋_GB2312" w:hAnsi="仿宋_GB2312" w:eastAsia="仿宋_GB2312" w:cs="仿宋_GB2312"/>
                <w:b w:val="0"/>
                <w:bCs w:val="0"/>
                <w:color w:val="auto"/>
                <w:kern w:val="2"/>
                <w:vertAlign w:val="baseline"/>
                <w:lang w:val="en-US" w:eastAsia="zh-CN"/>
              </w:rPr>
            </w:pPr>
            <w:r>
              <w:rPr>
                <w:rFonts w:hint="eastAsia" w:ascii="黑体" w:hAnsi="黑体" w:eastAsia="黑体" w:cs="黑体"/>
                <w:b w:val="0"/>
                <w:bCs w:val="0"/>
                <w:color w:val="auto"/>
                <w:kern w:val="2"/>
                <w:sz w:val="28"/>
                <w:szCs w:val="28"/>
                <w:lang w:val="en-US" w:eastAsia="zh-CN"/>
              </w:rPr>
              <w:t>专栏9-2    房地产业高质量发展项目</w:t>
            </w:r>
          </w:p>
        </w:tc>
      </w:tr>
      <w:tr w14:paraId="606D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5" w:type="dxa"/>
          </w:tcPr>
          <w:p w14:paraId="03777C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0" w:right="0" w:rightChars="0" w:firstLine="560" w:firstLineChars="200"/>
              <w:jc w:val="both"/>
              <w:textAlignment w:val="auto"/>
              <w:rPr>
                <w:rFonts w:hint="eastAsia" w:ascii="仿宋_GB2312" w:hAnsi="仿宋_GB2312" w:eastAsia="仿宋_GB2312" w:cs="仿宋_GB2312"/>
                <w:b w:val="0"/>
                <w:bCs w:val="0"/>
                <w:color w:val="auto"/>
                <w:kern w:val="2"/>
                <w:vertAlign w:val="baseline"/>
                <w:lang w:val="en-US" w:eastAsia="zh-CN"/>
              </w:rPr>
            </w:pPr>
            <w:r>
              <w:rPr>
                <w:rFonts w:hint="eastAsia" w:ascii="仿宋_GB2312" w:hAnsi="仿宋_GB2312" w:eastAsia="仿宋_GB2312" w:cs="仿宋_GB2312"/>
                <w:b w:val="0"/>
                <w:bCs w:val="0"/>
                <w:color w:val="auto"/>
                <w:kern w:val="2"/>
                <w:sz w:val="28"/>
                <w:szCs w:val="28"/>
                <w:lang w:val="en-US" w:eastAsia="zh-CN"/>
              </w:rPr>
              <w:t>安居工程项目。</w:t>
            </w:r>
            <w:r>
              <w:rPr>
                <w:rFonts w:hint="eastAsia" w:ascii="仿宋_GB2312" w:hAnsi="仿宋_GB2312" w:eastAsia="仿宋_GB2312" w:cs="仿宋_GB2312"/>
                <w:b w:val="0"/>
                <w:bCs w:val="0"/>
                <w:color w:val="auto"/>
                <w:kern w:val="2"/>
                <w:sz w:val="28"/>
                <w:szCs w:val="28"/>
              </w:rPr>
              <w:t>建设安置小区</w:t>
            </w:r>
            <w:r>
              <w:rPr>
                <w:rFonts w:hint="eastAsia" w:ascii="仿宋_GB2312" w:hAnsi="仿宋_GB2312" w:eastAsia="仿宋_GB2312" w:cs="仿宋_GB2312"/>
                <w:b w:val="0"/>
                <w:bCs w:val="0"/>
                <w:color w:val="auto"/>
                <w:kern w:val="2"/>
                <w:sz w:val="28"/>
                <w:szCs w:val="28"/>
                <w:lang w:val="en-US" w:eastAsia="zh-CN"/>
              </w:rPr>
              <w:t>6</w:t>
            </w:r>
            <w:r>
              <w:rPr>
                <w:rFonts w:hint="eastAsia" w:ascii="仿宋_GB2312" w:hAnsi="仿宋_GB2312" w:eastAsia="仿宋_GB2312" w:cs="仿宋_GB2312"/>
                <w:b w:val="0"/>
                <w:bCs w:val="0"/>
                <w:color w:val="auto"/>
                <w:kern w:val="2"/>
                <w:sz w:val="28"/>
                <w:szCs w:val="28"/>
              </w:rPr>
              <w:t>个</w:t>
            </w:r>
            <w:r>
              <w:rPr>
                <w:rFonts w:hint="eastAsia" w:ascii="仿宋_GB2312" w:hAnsi="仿宋_GB2312" w:eastAsia="仿宋_GB2312" w:cs="仿宋_GB2312"/>
                <w:b w:val="0"/>
                <w:bCs w:val="0"/>
                <w:color w:val="auto"/>
                <w:kern w:val="2"/>
                <w:sz w:val="28"/>
                <w:szCs w:val="28"/>
                <w:lang w:eastAsia="zh-CN"/>
              </w:rPr>
              <w:t>，</w:t>
            </w:r>
            <w:r>
              <w:rPr>
                <w:rFonts w:hint="eastAsia" w:ascii="仿宋_GB2312" w:hAnsi="仿宋_GB2312" w:eastAsia="仿宋_GB2312" w:cs="仿宋_GB2312"/>
                <w:b w:val="0"/>
                <w:bCs w:val="0"/>
                <w:color w:val="auto"/>
                <w:kern w:val="2"/>
                <w:sz w:val="28"/>
                <w:szCs w:val="28"/>
                <w:lang w:val="en-US" w:eastAsia="zh-CN"/>
              </w:rPr>
              <w:t>青年人才公寓等保障性住房项目3个；谋划</w:t>
            </w:r>
            <w:r>
              <w:rPr>
                <w:rFonts w:hint="eastAsia" w:ascii="仿宋_GB2312" w:hAnsi="仿宋_GB2312" w:eastAsia="仿宋_GB2312" w:cs="仿宋_GB2312"/>
                <w:b w:val="0"/>
                <w:bCs w:val="0"/>
                <w:color w:val="auto"/>
                <w:kern w:val="2"/>
                <w:sz w:val="28"/>
                <w:szCs w:val="28"/>
                <w:highlight w:val="none"/>
                <w:lang w:val="en-US" w:eastAsia="zh-CN"/>
              </w:rPr>
              <w:t>国晟未来花园、万安新苑等</w:t>
            </w:r>
            <w:r>
              <w:rPr>
                <w:rFonts w:hint="eastAsia" w:ascii="仿宋_GB2312" w:hAnsi="仿宋_GB2312" w:eastAsia="仿宋_GB2312" w:cs="仿宋_GB2312"/>
                <w:b w:val="0"/>
                <w:bCs w:val="0"/>
                <w:color w:val="auto"/>
                <w:kern w:val="2"/>
                <w:sz w:val="28"/>
                <w:szCs w:val="28"/>
                <w:lang w:val="en-US" w:eastAsia="zh-CN"/>
              </w:rPr>
              <w:t>新一代高品质住宅项目8个</w:t>
            </w:r>
            <w:r>
              <w:rPr>
                <w:rFonts w:hint="eastAsia" w:ascii="仿宋_GB2312" w:hAnsi="仿宋_GB2312" w:eastAsia="仿宋_GB2312" w:cs="仿宋_GB2312"/>
                <w:b w:val="0"/>
                <w:bCs w:val="0"/>
                <w:color w:val="auto"/>
                <w:kern w:val="2"/>
                <w:sz w:val="28"/>
                <w:szCs w:val="28"/>
                <w:highlight w:val="none"/>
                <w:lang w:val="en-US" w:eastAsia="zh-CN"/>
              </w:rPr>
              <w:t>。</w:t>
            </w:r>
          </w:p>
        </w:tc>
      </w:tr>
      <w:bookmarkEnd w:id="1574"/>
    </w:tbl>
    <w:p w14:paraId="5E1A0C3A">
      <w:pPr>
        <w:pageBreakBefore w:val="0"/>
        <w:widowControl w:val="0"/>
        <w:kinsoku/>
        <w:wordWrap/>
        <w:topLinePunct w:val="0"/>
        <w:bidi w:val="0"/>
        <w:spacing w:line="600" w:lineRule="exact"/>
        <w:ind w:left="0" w:leftChars="0" w:firstLine="0" w:firstLineChars="0"/>
        <w:rPr>
          <w:rFonts w:hint="eastAsia" w:ascii="仿宋_GB2312" w:hAnsi="仿宋_GB2312" w:eastAsia="仿宋_GB2312" w:cs="仿宋_GB2312"/>
          <w:b w:val="0"/>
          <w:bCs w:val="0"/>
        </w:rPr>
      </w:pPr>
      <w:bookmarkStart w:id="1939" w:name="_Toc278"/>
      <w:bookmarkStart w:id="1940" w:name="_Toc17605"/>
      <w:bookmarkStart w:id="1941" w:name="_Toc215857966"/>
      <w:bookmarkStart w:id="1942" w:name="_Toc29593"/>
      <w:bookmarkStart w:id="1943" w:name="_Toc28164"/>
      <w:bookmarkStart w:id="1944" w:name="_Toc19266"/>
      <w:bookmarkStart w:id="1945" w:name="_Toc2977"/>
      <w:bookmarkStart w:id="1946" w:name="_Toc5060"/>
      <w:bookmarkStart w:id="1947" w:name="_Toc6506"/>
      <w:bookmarkStart w:id="1948" w:name="_Toc222868629"/>
      <w:bookmarkStart w:id="1949" w:name="_Toc24537"/>
      <w:bookmarkStart w:id="1950" w:name="_Toc24297"/>
      <w:bookmarkStart w:id="1951" w:name="_Toc25798"/>
      <w:bookmarkStart w:id="1952" w:name="_Toc2513"/>
      <w:bookmarkStart w:id="1953" w:name="_Toc8315"/>
      <w:bookmarkStart w:id="1954" w:name="_Toc25917"/>
    </w:p>
    <w:p w14:paraId="5465C70D">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十</w:t>
      </w:r>
      <w:r>
        <w:rPr>
          <w:rFonts w:hint="eastAsia" w:ascii="黑体" w:hAnsi="黑体" w:eastAsia="黑体" w:cs="黑体"/>
          <w:b w:val="0"/>
          <w:bCs w:val="0"/>
        </w:rPr>
        <w:t xml:space="preserve">章 </w:t>
      </w:r>
      <w:r>
        <w:rPr>
          <w:rFonts w:hint="eastAsia" w:ascii="黑体" w:hAnsi="黑体" w:eastAsia="黑体" w:cs="黑体"/>
          <w:b w:val="0"/>
          <w:bCs w:val="0"/>
          <w:lang w:val="en-US" w:eastAsia="zh-CN"/>
        </w:rPr>
        <w:t xml:space="preserve"> 推进绿色低碳发展</w:t>
      </w:r>
      <w:r>
        <w:rPr>
          <w:rFonts w:hint="eastAsia" w:ascii="黑体" w:hAnsi="黑体" w:eastAsia="黑体" w:cs="黑体"/>
          <w:b w:val="0"/>
          <w:bCs w:val="0"/>
        </w:rPr>
        <w:t>，建设美丽宜居伊滨</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14:paraId="1A9328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rPr>
      </w:pPr>
    </w:p>
    <w:p w14:paraId="5E7E5466">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绿水青山就是金山银山</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理念，协同推进降碳、减污、扩绿、增长，筑牢生态安全屏障，增强绿色发展动能。持续打好蓝天、碧水、净土保卫战，推动产业绿色低碳发展，建设现代化生态城区，促进经济社会发展实现全面绿色转型，建设天蓝地绿、山</w:t>
      </w:r>
      <w:r>
        <w:rPr>
          <w:rFonts w:hint="eastAsia" w:ascii="仿宋_GB2312" w:hAnsi="仿宋_GB2312" w:eastAsia="仿宋_GB2312" w:cs="仿宋_GB2312"/>
          <w:b w:val="0"/>
          <w:bCs w:val="0"/>
          <w:lang w:val="en-US" w:eastAsia="zh-CN"/>
        </w:rPr>
        <w:t>清</w:t>
      </w:r>
      <w:r>
        <w:rPr>
          <w:rFonts w:hint="eastAsia" w:ascii="仿宋_GB2312" w:hAnsi="仿宋_GB2312" w:eastAsia="仿宋_GB2312" w:cs="仿宋_GB2312"/>
          <w:b w:val="0"/>
          <w:bCs w:val="0"/>
        </w:rPr>
        <w:t>水</w:t>
      </w:r>
      <w:r>
        <w:rPr>
          <w:rFonts w:hint="eastAsia" w:ascii="仿宋_GB2312" w:hAnsi="仿宋_GB2312" w:eastAsia="仿宋_GB2312" w:cs="仿宋_GB2312"/>
          <w:b w:val="0"/>
          <w:bCs w:val="0"/>
          <w:lang w:val="en-US" w:eastAsia="zh-CN"/>
        </w:rPr>
        <w:t>秀</w:t>
      </w:r>
      <w:r>
        <w:rPr>
          <w:rFonts w:hint="eastAsia" w:ascii="仿宋_GB2312" w:hAnsi="仿宋_GB2312" w:eastAsia="仿宋_GB2312" w:cs="仿宋_GB2312"/>
          <w:b w:val="0"/>
          <w:bCs w:val="0"/>
        </w:rPr>
        <w:t>的美丽伊滨。</w:t>
      </w:r>
      <w:bookmarkStart w:id="1955" w:name="_Toc13898"/>
      <w:bookmarkStart w:id="1956" w:name="_Toc13130"/>
      <w:bookmarkStart w:id="1957" w:name="_Toc1693"/>
      <w:bookmarkStart w:id="1958" w:name="_Toc4631"/>
      <w:bookmarkStart w:id="1959" w:name="_Toc4435"/>
      <w:bookmarkStart w:id="1960" w:name="_Toc215857967"/>
      <w:bookmarkStart w:id="1961" w:name="_Toc6033"/>
      <w:bookmarkStart w:id="1962" w:name="_Toc745193027"/>
      <w:bookmarkStart w:id="1963" w:name="_Toc2021"/>
      <w:bookmarkStart w:id="1964" w:name="_Toc20112"/>
      <w:bookmarkStart w:id="1965" w:name="_Toc19218"/>
      <w:bookmarkStart w:id="1966" w:name="_Toc950"/>
      <w:bookmarkStart w:id="1967" w:name="_Toc11907"/>
      <w:bookmarkStart w:id="1968" w:name="_Toc8316"/>
      <w:bookmarkStart w:id="1969" w:name="_Toc29361"/>
    </w:p>
    <w:p w14:paraId="2E40CA8E">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02683A73">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 xml:space="preserve">第一节 </w:t>
      </w:r>
      <w:bookmarkEnd w:id="1955"/>
      <w:bookmarkEnd w:id="1956"/>
      <w:bookmarkEnd w:id="1957"/>
      <w:bookmarkEnd w:id="1958"/>
      <w:bookmarkEnd w:id="1959"/>
      <w:bookmarkEnd w:id="1960"/>
      <w:bookmarkEnd w:id="1961"/>
      <w:r>
        <w:rPr>
          <w:rFonts w:hint="eastAsia" w:ascii="黑体" w:hAnsi="黑体" w:eastAsia="黑体" w:cs="黑体"/>
          <w:b w:val="0"/>
          <w:bCs w:val="0"/>
          <w:lang w:val="en-US" w:eastAsia="zh-CN"/>
        </w:rPr>
        <w:t xml:space="preserve"> 深化污染防治攻坚</w:t>
      </w:r>
      <w:bookmarkEnd w:id="1962"/>
      <w:bookmarkEnd w:id="1963"/>
      <w:bookmarkEnd w:id="1964"/>
      <w:bookmarkEnd w:id="1965"/>
      <w:bookmarkEnd w:id="1966"/>
      <w:bookmarkEnd w:id="1967"/>
      <w:bookmarkEnd w:id="1968"/>
      <w:bookmarkEnd w:id="1969"/>
    </w:p>
    <w:p w14:paraId="114BE1C1">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7396F94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以改善生态环境质量为目标，统筹污染治理、生态保护、促进生态环境质量持续改善和生态系统服务功能不断提升。</w:t>
      </w:r>
    </w:p>
    <w:p w14:paraId="01E73A00">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970" w:name="_Toc215857968"/>
      <w:bookmarkStart w:id="1971" w:name="_Toc346"/>
      <w:bookmarkStart w:id="1972" w:name="_Toc18214"/>
      <w:bookmarkStart w:id="1973" w:name="_Toc20593"/>
      <w:bookmarkStart w:id="1974" w:name="_Toc25755"/>
      <w:bookmarkStart w:id="1975" w:name="_Toc11460"/>
      <w:bookmarkStart w:id="1976" w:name="_Toc21365"/>
      <w:bookmarkStart w:id="1977" w:name="_Toc4451"/>
      <w:bookmarkStart w:id="1978" w:name="_Toc20804"/>
      <w:bookmarkStart w:id="1979" w:name="_Toc8451"/>
      <w:bookmarkStart w:id="1980" w:name="_Toc31900"/>
      <w:bookmarkStart w:id="1981" w:name="_Toc7790"/>
      <w:bookmarkStart w:id="1982" w:name="_Toc59656132"/>
      <w:bookmarkStart w:id="1983" w:name="_Toc10368"/>
      <w:bookmarkStart w:id="1984" w:name="_Toc28844"/>
      <w:r>
        <w:rPr>
          <w:rFonts w:hint="eastAsia" w:ascii="仿宋_GB2312" w:hAnsi="仿宋_GB2312" w:eastAsia="仿宋_GB2312" w:cs="仿宋_GB2312"/>
          <w:b w:val="0"/>
          <w:bCs w:val="0"/>
        </w:rPr>
        <w:t>一、全面提升生态环境质量</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14:paraId="1EA8C494">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优化生态环境分区管控措施。严守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三线一单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管控规定，全面推进以目标责任落实为目的的生态环境损害责任追究制度，落实领导干部自然资源资产离任审计制度。加强生物多样性保护，开展生态质量提升工程。科学确定城市和乡村的开发边界，开展大规模国土绿化行动，确保林草覆盖率稳中有升，无裸露无植被覆盖土地。加强生态质量指数提升，无突破国土空间规划约束指标侵犯生态保护红线问题发生，无侵占自然保护地和生态保护红线生态环境重点问题发生。完善多元化生态补偿机制，因地制宜拓展生态产品价值实现渠道。加强伊滨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一渠两河三库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系统治理和生态保护。实施好万安山生态屏障建设工程。</w:t>
      </w:r>
    </w:p>
    <w:p w14:paraId="4B8A2C8C">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1985" w:name="_Toc4786"/>
      <w:bookmarkStart w:id="1986" w:name="_Toc29771"/>
      <w:bookmarkStart w:id="1987" w:name="_Toc13716"/>
      <w:bookmarkStart w:id="1988" w:name="_Toc7015"/>
      <w:bookmarkStart w:id="1989" w:name="_Toc10061"/>
      <w:bookmarkStart w:id="1990" w:name="_Toc8245"/>
      <w:bookmarkStart w:id="1991" w:name="_Toc343716601"/>
      <w:bookmarkStart w:id="1992" w:name="_Toc31306"/>
      <w:bookmarkStart w:id="1993" w:name="_Toc10052"/>
      <w:bookmarkStart w:id="1994" w:name="_Toc15721"/>
      <w:bookmarkStart w:id="1995" w:name="_Toc215857969"/>
      <w:bookmarkStart w:id="1996" w:name="_Toc22365"/>
      <w:bookmarkStart w:id="1997" w:name="_Toc31989"/>
      <w:bookmarkStart w:id="1998" w:name="_Toc8676"/>
      <w:bookmarkStart w:id="1999" w:name="_Toc17208"/>
      <w:r>
        <w:rPr>
          <w:rFonts w:hint="eastAsia" w:ascii="仿宋_GB2312" w:hAnsi="仿宋_GB2312" w:eastAsia="仿宋_GB2312" w:cs="仿宋_GB2312"/>
          <w:b w:val="0"/>
          <w:bCs w:val="0"/>
        </w:rPr>
        <w:t>二、</w:t>
      </w:r>
      <w:r>
        <w:rPr>
          <w:rFonts w:hint="eastAsia" w:ascii="仿宋_GB2312" w:hAnsi="仿宋_GB2312" w:eastAsia="仿宋_GB2312" w:cs="仿宋_GB2312"/>
          <w:b w:val="0"/>
          <w:bCs w:val="0"/>
          <w:lang w:val="en-US" w:eastAsia="zh-CN"/>
        </w:rPr>
        <w:t>着力扩大</w:t>
      </w:r>
      <w:r>
        <w:rPr>
          <w:rFonts w:hint="eastAsia" w:ascii="仿宋_GB2312" w:hAnsi="仿宋_GB2312" w:eastAsia="仿宋_GB2312" w:cs="仿宋_GB2312"/>
          <w:b w:val="0"/>
          <w:bCs w:val="0"/>
        </w:rPr>
        <w:t>生态环境容量</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14:paraId="0EDBCBFB">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推进污染防治攻坚和生态系统优化。坚持环保为民，全面落实精准科学依法治污，注重源头治理，强化减污降碳协同、多污染物控制协同、区域治理协同。逐步推进农村污水处理设施</w:t>
      </w:r>
      <w:r>
        <w:rPr>
          <w:rFonts w:hint="eastAsia" w:ascii="仿宋_GB2312" w:hAnsi="仿宋_GB2312" w:eastAsia="仿宋_GB2312" w:cs="仿宋_GB2312"/>
          <w:b w:val="0"/>
          <w:bCs w:val="0"/>
          <w:lang w:eastAsia="zh-CN"/>
        </w:rPr>
        <w:t>因地制宜</w:t>
      </w:r>
      <w:r>
        <w:rPr>
          <w:rFonts w:hint="eastAsia" w:ascii="仿宋_GB2312" w:hAnsi="仿宋_GB2312" w:eastAsia="仿宋_GB2312" w:cs="仿宋_GB2312"/>
          <w:b w:val="0"/>
          <w:bCs w:val="0"/>
        </w:rPr>
        <w:t>改造，实现经济和效果双统一。实施固体废物综合治理行动，落实以排污许可制为核心的固定污染源监管制度，加强环境风险防控，深入推进新污染物治理。危险废物填埋处置量占比压缩在10%以下，建立突发环境事件应急管理机制，建立外来入侵物种防控工作机制，确保重点建设用地安全利用率100%，</w:t>
      </w:r>
      <w:r>
        <w:rPr>
          <w:rFonts w:hint="eastAsia" w:ascii="仿宋_GB2312" w:hAnsi="仿宋_GB2312" w:eastAsia="仿宋_GB2312" w:cs="仿宋_GB2312"/>
          <w:b w:val="0"/>
          <w:bCs w:val="0"/>
          <w:lang w:val="en-US" w:eastAsia="zh-CN"/>
        </w:rPr>
        <w:t>防止</w:t>
      </w:r>
      <w:r>
        <w:rPr>
          <w:rFonts w:hint="eastAsia" w:ascii="仿宋_GB2312" w:hAnsi="仿宋_GB2312" w:eastAsia="仿宋_GB2312" w:cs="仿宋_GB2312"/>
          <w:b w:val="0"/>
          <w:bCs w:val="0"/>
        </w:rPr>
        <w:t>污染耕地问题发生。</w:t>
      </w:r>
    </w:p>
    <w:p w14:paraId="212D1CD9">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000" w:name="_Toc17581"/>
      <w:bookmarkStart w:id="2001" w:name="_Toc19329"/>
      <w:bookmarkStart w:id="2002" w:name="_Toc29080"/>
      <w:bookmarkStart w:id="2003" w:name="_Toc7073"/>
      <w:bookmarkStart w:id="2004" w:name="_Toc26933"/>
      <w:bookmarkStart w:id="2005" w:name="_Toc964"/>
      <w:bookmarkStart w:id="2006" w:name="_Toc19062"/>
      <w:bookmarkStart w:id="2007" w:name="_Toc13753"/>
      <w:bookmarkStart w:id="2008" w:name="_Toc215857970"/>
      <w:bookmarkStart w:id="2009" w:name="_Toc1641326875"/>
      <w:bookmarkStart w:id="2010" w:name="_Toc24370"/>
      <w:bookmarkStart w:id="2011" w:name="_Toc14411"/>
      <w:bookmarkStart w:id="2012" w:name="_Toc23301"/>
      <w:bookmarkStart w:id="2013" w:name="_Toc27906"/>
      <w:bookmarkStart w:id="2014" w:name="_Toc24821"/>
      <w:r>
        <w:rPr>
          <w:rFonts w:hint="eastAsia" w:ascii="仿宋_GB2312" w:hAnsi="仿宋_GB2312" w:eastAsia="仿宋_GB2312" w:cs="仿宋_GB2312"/>
          <w:b w:val="0"/>
          <w:bCs w:val="0"/>
        </w:rPr>
        <w:t>三、全面推进生态环境</w:t>
      </w:r>
      <w:r>
        <w:rPr>
          <w:rFonts w:hint="eastAsia" w:ascii="仿宋_GB2312" w:hAnsi="仿宋_GB2312" w:eastAsia="仿宋_GB2312" w:cs="仿宋_GB2312"/>
          <w:b w:val="0"/>
          <w:bCs w:val="0"/>
          <w:lang w:val="en-US" w:eastAsia="zh-CN"/>
        </w:rPr>
        <w:t>基础</w:t>
      </w:r>
      <w:r>
        <w:rPr>
          <w:rFonts w:hint="eastAsia" w:ascii="仿宋_GB2312" w:hAnsi="仿宋_GB2312" w:eastAsia="仿宋_GB2312" w:cs="仿宋_GB2312"/>
          <w:b w:val="0"/>
          <w:bCs w:val="0"/>
        </w:rPr>
        <w:t>设施建设</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14:paraId="5AB8814E">
      <w:pPr>
        <w:pageBreakBefore w:val="0"/>
        <w:widowControl w:val="0"/>
        <w:kinsoku/>
        <w:wordWrap/>
        <w:topLinePunct w:val="0"/>
        <w:bidi w:val="0"/>
        <w:spacing w:line="600" w:lineRule="exact"/>
        <w:rPr>
          <w:rFonts w:hint="eastAsia" w:ascii="仿宋_GB2312" w:hAnsi="仿宋_GB2312" w:eastAsia="仿宋_GB2312" w:cs="仿宋_GB2312"/>
          <w:b w:val="0"/>
          <w:bCs w:val="0"/>
          <w:spacing w:val="2"/>
          <w:sz w:val="32"/>
        </w:rPr>
      </w:pPr>
      <w:r>
        <w:rPr>
          <w:rFonts w:hint="eastAsia" w:ascii="仿宋_GB2312" w:hAnsi="仿宋_GB2312" w:eastAsia="仿宋_GB2312" w:cs="仿宋_GB2312"/>
          <w:b w:val="0"/>
          <w:bCs w:val="0"/>
          <w:spacing w:val="2"/>
          <w:sz w:val="32"/>
        </w:rPr>
        <w:t>持续完善生态环境保护基础设施建设。加强饮用水源地保护的规范化设置和管理，切实维护好饮用水安全。充分考虑环境卫生管理的需要，预留好空气监测站、噪声监测站、垃圾集中收纳处置场所、污水处理站、污水管网等环境保护基础设施空间，城市地下管网工程预留高压输变电线路廊道。健全餐厨垃圾、秸秆、畜禽养殖粪污、建筑垃圾、塑料、废家电、家具等固体废物循环利用经济体系，消除城市建成区黑臭水体。加强污水处置工程能力提升工作，杜绝雨污不分、污水溢流、工业污水直排问题发生。</w:t>
      </w:r>
    </w:p>
    <w:p w14:paraId="3BE6EDCA">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015" w:name="_Toc2086"/>
      <w:bookmarkStart w:id="2016" w:name="_Toc6187"/>
      <w:bookmarkStart w:id="2017" w:name="_Toc215857974"/>
      <w:bookmarkStart w:id="2018" w:name="_Toc4532"/>
      <w:bookmarkStart w:id="2019" w:name="_Toc32427"/>
      <w:bookmarkStart w:id="2020" w:name="_Toc29180"/>
      <w:bookmarkStart w:id="2021" w:name="_Toc31274"/>
      <w:bookmarkStart w:id="2022" w:name="_Toc1049203716"/>
      <w:bookmarkStart w:id="2023" w:name="_Toc9229"/>
      <w:bookmarkStart w:id="2024" w:name="_Toc24822"/>
      <w:bookmarkStart w:id="2025" w:name="_Toc3699"/>
      <w:bookmarkStart w:id="2026" w:name="_Toc15505"/>
      <w:bookmarkStart w:id="2027" w:name="_Toc6343"/>
      <w:bookmarkStart w:id="2028" w:name="_Toc31784"/>
      <w:bookmarkStart w:id="2029" w:name="_Toc7809"/>
      <w:bookmarkStart w:id="2030" w:name="_Toc27502"/>
      <w:bookmarkStart w:id="2031" w:name="_Toc3214"/>
      <w:bookmarkStart w:id="2032" w:name="_Toc215857971"/>
      <w:bookmarkStart w:id="2033" w:name="_Toc24023"/>
      <w:bookmarkStart w:id="2034" w:name="_Toc13954"/>
      <w:bookmarkStart w:id="2035" w:name="_Toc25893"/>
      <w:bookmarkStart w:id="2036" w:name="_Toc3326"/>
    </w:p>
    <w:p w14:paraId="03444B0A">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二</w:t>
      </w:r>
      <w:r>
        <w:rPr>
          <w:rFonts w:hint="eastAsia" w:ascii="黑体" w:hAnsi="黑体" w:eastAsia="黑体" w:cs="黑体"/>
          <w:b w:val="0"/>
          <w:bCs w:val="0"/>
        </w:rPr>
        <w:t xml:space="preserve">节 </w:t>
      </w:r>
      <w:bookmarkEnd w:id="2015"/>
      <w:bookmarkEnd w:id="2016"/>
      <w:bookmarkEnd w:id="2017"/>
      <w:bookmarkEnd w:id="2018"/>
      <w:bookmarkEnd w:id="2019"/>
      <w:bookmarkEnd w:id="2020"/>
      <w:bookmarkEnd w:id="2021"/>
      <w:r>
        <w:rPr>
          <w:rFonts w:hint="eastAsia" w:ascii="黑体" w:hAnsi="黑体" w:eastAsia="黑体" w:cs="黑体"/>
          <w:b w:val="0"/>
          <w:bCs w:val="0"/>
          <w:lang w:val="en-US" w:eastAsia="zh-CN"/>
        </w:rPr>
        <w:t xml:space="preserve"> 加强生态系统保护和修复</w:t>
      </w:r>
      <w:bookmarkEnd w:id="2022"/>
      <w:bookmarkEnd w:id="2023"/>
      <w:bookmarkEnd w:id="2024"/>
      <w:bookmarkEnd w:id="2025"/>
      <w:bookmarkEnd w:id="2026"/>
      <w:bookmarkEnd w:id="2027"/>
      <w:bookmarkEnd w:id="2028"/>
      <w:bookmarkEnd w:id="2029"/>
    </w:p>
    <w:p w14:paraId="721989C5">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1A20226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生态优先、以人为本、山水共生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为理念，系统推进美丽伊滨建设。</w:t>
      </w:r>
    </w:p>
    <w:p w14:paraId="5705AE1D">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037" w:name="_Toc6471"/>
      <w:bookmarkStart w:id="2038" w:name="_Toc1998822841"/>
      <w:bookmarkStart w:id="2039" w:name="_Toc15558"/>
      <w:bookmarkStart w:id="2040" w:name="_Toc215857975"/>
      <w:bookmarkStart w:id="2041" w:name="_Toc23680"/>
      <w:bookmarkStart w:id="2042" w:name="_Toc10981"/>
      <w:bookmarkStart w:id="2043" w:name="_Toc2877"/>
      <w:bookmarkStart w:id="2044" w:name="_Toc10531"/>
      <w:bookmarkStart w:id="2045" w:name="_Toc103"/>
      <w:bookmarkStart w:id="2046" w:name="_Toc22119"/>
      <w:bookmarkStart w:id="2047" w:name="_Toc5009"/>
      <w:bookmarkStart w:id="2048" w:name="_Toc32230"/>
      <w:bookmarkStart w:id="2049" w:name="_Toc30354"/>
      <w:bookmarkStart w:id="2050" w:name="_Toc1424"/>
      <w:bookmarkStart w:id="2051" w:name="_Toc2208"/>
      <w:r>
        <w:rPr>
          <w:rFonts w:hint="eastAsia" w:ascii="仿宋_GB2312" w:hAnsi="仿宋_GB2312" w:eastAsia="仿宋_GB2312" w:cs="仿宋_GB2312"/>
          <w:b w:val="0"/>
          <w:bCs w:val="0"/>
        </w:rPr>
        <w:t>一、</w:t>
      </w:r>
      <w:r>
        <w:rPr>
          <w:rFonts w:hint="eastAsia" w:ascii="仿宋_GB2312" w:hAnsi="仿宋_GB2312" w:eastAsia="仿宋_GB2312" w:cs="仿宋_GB2312"/>
          <w:b w:val="0"/>
          <w:bCs w:val="0"/>
          <w:lang w:val="en-US" w:eastAsia="zh-CN"/>
        </w:rPr>
        <w:t>推动</w:t>
      </w:r>
      <w:r>
        <w:rPr>
          <w:rFonts w:hint="eastAsia" w:ascii="仿宋_GB2312" w:hAnsi="仿宋_GB2312" w:eastAsia="仿宋_GB2312" w:cs="仿宋_GB2312"/>
          <w:b w:val="0"/>
          <w:bCs w:val="0"/>
        </w:rPr>
        <w:t>生产生活方式绿色转型</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14:paraId="4FDC6028">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优化重点行业产能规模和布局</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推动落后低效产能淘汰退出，遏制高耗能、高排放项目盲目发展。完善企业节能降碳管理制度，将碳排放管控要求纳入现行重点用能单位管理制度。开展绿色低碳全民行动，引导公众节约用水用电、抵制过度包装、减少一次性用品使用。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分类回收—资源化利用—安全处置</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的环卫管理体系，深化实施生活垃圾四分类制度，配套建设智能回收站与厨余垃圾处理设施。探索绿化废弃物资源化利用的新途径，助力公园城市的生态建设，实现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变废为宝</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的循环经济目标‌。</w:t>
      </w:r>
    </w:p>
    <w:p w14:paraId="36BF892B">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052" w:name="_Toc255"/>
      <w:bookmarkStart w:id="2053" w:name="_Toc27344"/>
      <w:bookmarkStart w:id="2054" w:name="_Toc1578106413"/>
      <w:bookmarkStart w:id="2055" w:name="_Toc12570"/>
      <w:bookmarkStart w:id="2056" w:name="_Toc5271"/>
      <w:bookmarkStart w:id="2057" w:name="_Toc215857976"/>
      <w:bookmarkStart w:id="2058" w:name="_Toc8825"/>
      <w:bookmarkStart w:id="2059" w:name="_Toc5565"/>
      <w:bookmarkStart w:id="2060" w:name="_Toc28800"/>
      <w:bookmarkStart w:id="2061" w:name="_Toc29029"/>
      <w:bookmarkStart w:id="2062" w:name="_Toc28002"/>
      <w:bookmarkStart w:id="2063" w:name="_Toc24702"/>
      <w:bookmarkStart w:id="2064" w:name="_Toc20583"/>
      <w:bookmarkStart w:id="2065" w:name="_Toc17620"/>
      <w:bookmarkStart w:id="2066" w:name="_Toc27774"/>
      <w:r>
        <w:rPr>
          <w:rFonts w:hint="eastAsia" w:ascii="仿宋_GB2312" w:hAnsi="仿宋_GB2312" w:eastAsia="仿宋_GB2312" w:cs="仿宋_GB2312"/>
          <w:b w:val="0"/>
          <w:bCs w:val="0"/>
        </w:rPr>
        <w:t>二、巩固无废城市和美丽乡村建设成果</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14:paraId="37527B7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深入推进生态环境分区管控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同国土空间规划衔接，协同优化产业布局。推动工业、城乡建设、交通运输、能源等重点领域绿色低碳转型。完善资源总量管理和全面节约制度，提高垃圾分类和资源化利用水平，促进循环经济发展。持续推进农村生态环境质量改善，落实促进农村绿色低碳发展环保政策，着力提升农村幸福宜居品质。以生态文明建设为引领，坚持山水林田湖草沙一体化保护和系统治理，打造山水宜居科技新城。</w:t>
      </w:r>
    </w:p>
    <w:p w14:paraId="0A854FB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末，全区空气质量优良天数比率显著提高，PM2.5、PM10等主要污染物浓度持续下降，重污染天气持续减少；全区地表水市控考核断面水质达标率和乡镇集中式饮用水水源地水质达标率稳定保持100%，</w:t>
      </w:r>
      <w:r>
        <w:rPr>
          <w:rFonts w:hint="eastAsia" w:ascii="仿宋_GB2312" w:hAnsi="仿宋_GB2312" w:eastAsia="仿宋_GB2312" w:cs="仿宋_GB2312"/>
          <w:b w:val="0"/>
          <w:bCs w:val="0"/>
          <w:lang w:val="en-US" w:eastAsia="zh-CN"/>
        </w:rPr>
        <w:t>水质持续保持安全稳定</w:t>
      </w:r>
      <w:r>
        <w:rPr>
          <w:rFonts w:hint="eastAsia" w:ascii="仿宋_GB2312" w:hAnsi="仿宋_GB2312" w:eastAsia="仿宋_GB2312" w:cs="仿宋_GB2312"/>
          <w:b w:val="0"/>
          <w:bCs w:val="0"/>
        </w:rPr>
        <w:t>，全区域消除黑臭水体；受污染农用地和建设用地安全利用率稳定保持100%，美丽伊滨取得决定性胜利。</w:t>
      </w:r>
    </w:p>
    <w:p w14:paraId="55298BA8">
      <w:pPr>
        <w:pageBreakBefore w:val="0"/>
        <w:widowControl w:val="0"/>
        <w:kinsoku/>
        <w:wordWrap/>
        <w:topLinePunct w:val="0"/>
        <w:bidi w:val="0"/>
        <w:spacing w:line="600" w:lineRule="exact"/>
        <w:rPr>
          <w:rFonts w:hint="eastAsia" w:ascii="仿宋_GB2312" w:hAnsi="仿宋_GB2312" w:eastAsia="仿宋_GB2312" w:cs="仿宋_GB2312"/>
          <w:b w:val="0"/>
          <w:bCs w:val="0"/>
        </w:rPr>
      </w:pPr>
    </w:p>
    <w:tbl>
      <w:tblPr>
        <w:tblStyle w:val="34"/>
        <w:tblW w:w="0" w:type="auto"/>
        <w:tblInd w:w="2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1"/>
      </w:tblGrid>
      <w:tr w14:paraId="23DF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1" w:type="dxa"/>
          </w:tcPr>
          <w:p w14:paraId="6C336909">
            <w:pPr>
              <w:pStyle w:val="2"/>
              <w:keepNext w:val="0"/>
              <w:keepLines w:val="0"/>
              <w:pageBreakBefore w:val="0"/>
              <w:widowControl w:val="0"/>
              <w:suppressLineNumbers w:val="0"/>
              <w:kinsoku/>
              <w:wordWrap/>
              <w:topLinePunct w:val="0"/>
              <w:bidi w:val="0"/>
              <w:spacing w:before="0" w:beforeAutospacing="0" w:after="0" w:afterAutospacing="0" w:line="600" w:lineRule="exact"/>
              <w:ind w:left="0" w:right="0"/>
              <w:jc w:val="center"/>
              <w:rPr>
                <w:rFonts w:hint="eastAsia" w:ascii="仿宋_GB2312" w:hAnsi="仿宋_GB2312" w:eastAsia="仿宋_GB2312" w:cs="仿宋_GB2312"/>
                <w:b w:val="0"/>
                <w:bCs w:val="0"/>
                <w:color w:val="auto"/>
                <w:kern w:val="2"/>
                <w:lang w:val="en-US" w:eastAsia="zh-CN"/>
              </w:rPr>
            </w:pPr>
            <w:r>
              <w:rPr>
                <w:rFonts w:hint="eastAsia" w:ascii="黑体" w:hAnsi="黑体" w:eastAsia="黑体" w:cs="黑体"/>
                <w:b w:val="0"/>
                <w:bCs w:val="0"/>
                <w:color w:val="auto"/>
                <w:kern w:val="2"/>
                <w:sz w:val="28"/>
                <w:szCs w:val="28"/>
                <w:lang w:val="en-US" w:eastAsia="zh-CN"/>
              </w:rPr>
              <w:t>专栏10-1    生态文明建设项目</w:t>
            </w:r>
          </w:p>
        </w:tc>
      </w:tr>
      <w:tr w14:paraId="5B74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1" w:type="dxa"/>
          </w:tcPr>
          <w:p w14:paraId="55A95C6F">
            <w:pPr>
              <w:pStyle w:val="2"/>
              <w:keepNext w:val="0"/>
              <w:keepLines w:val="0"/>
              <w:pageBreakBefore w:val="0"/>
              <w:widowControl w:val="0"/>
              <w:suppressLineNumbers w:val="0"/>
              <w:kinsoku/>
              <w:wordWrap/>
              <w:topLinePunct w:val="0"/>
              <w:bidi w:val="0"/>
              <w:spacing w:before="0" w:beforeAutospacing="0" w:after="0" w:afterAutospacing="0" w:line="600" w:lineRule="exact"/>
              <w:ind w:left="0" w:right="0" w:firstLine="560" w:firstLineChars="200"/>
              <w:jc w:val="both"/>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val="en-US" w:eastAsia="zh-CN"/>
              </w:rPr>
              <w:t>生态治理工程项目。推动建设庞村镇污水处理厂等7个生态治理项目</w:t>
            </w:r>
            <w:r>
              <w:rPr>
                <w:rFonts w:hint="eastAsia" w:ascii="仿宋_GB2312" w:hAnsi="仿宋_GB2312" w:eastAsia="仿宋_GB2312" w:cs="仿宋_GB2312"/>
                <w:b w:val="0"/>
                <w:bCs w:val="0"/>
                <w:color w:val="auto"/>
                <w:kern w:val="2"/>
                <w:sz w:val="28"/>
                <w:szCs w:val="28"/>
                <w:lang w:eastAsia="zh-CN"/>
              </w:rPr>
              <w:t>。</w:t>
            </w:r>
          </w:p>
        </w:tc>
      </w:tr>
    </w:tbl>
    <w:p w14:paraId="4D5FD33F">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bookmarkStart w:id="2067" w:name="_Toc1033713991"/>
      <w:bookmarkStart w:id="2068" w:name="_Toc2842"/>
      <w:bookmarkStart w:id="2069" w:name="_Toc14663"/>
      <w:bookmarkStart w:id="2070" w:name="_Toc24318"/>
      <w:bookmarkStart w:id="2071" w:name="_Toc31432"/>
      <w:bookmarkStart w:id="2072" w:name="_Toc13012"/>
      <w:bookmarkStart w:id="2073" w:name="_Toc10535"/>
      <w:bookmarkStart w:id="2074" w:name="_Toc19186"/>
    </w:p>
    <w:p w14:paraId="73456A52">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w:t>
      </w:r>
      <w:r>
        <w:rPr>
          <w:rFonts w:hint="eastAsia" w:ascii="黑体" w:hAnsi="黑体" w:eastAsia="黑体" w:cs="黑体"/>
          <w:b w:val="0"/>
          <w:bCs w:val="0"/>
          <w:lang w:val="en-US" w:eastAsia="zh-CN"/>
        </w:rPr>
        <w:t>三</w:t>
      </w:r>
      <w:r>
        <w:rPr>
          <w:rFonts w:hint="eastAsia" w:ascii="黑体" w:hAnsi="黑体" w:eastAsia="黑体" w:cs="黑体"/>
          <w:b w:val="0"/>
          <w:bCs w:val="0"/>
        </w:rPr>
        <w:t xml:space="preserve">节 </w:t>
      </w:r>
      <w:r>
        <w:rPr>
          <w:rFonts w:hint="eastAsia" w:ascii="黑体" w:hAnsi="黑体" w:eastAsia="黑体" w:cs="黑体"/>
          <w:b w:val="0"/>
          <w:bCs w:val="0"/>
          <w:lang w:val="en-US" w:eastAsia="zh-CN"/>
        </w:rPr>
        <w:t xml:space="preserve"> </w:t>
      </w:r>
      <w:r>
        <w:rPr>
          <w:rFonts w:hint="eastAsia" w:ascii="黑体" w:hAnsi="黑体" w:eastAsia="黑体" w:cs="黑体"/>
          <w:b w:val="0"/>
          <w:bCs w:val="0"/>
        </w:rPr>
        <w:t>推动绿色低碳发展</w:t>
      </w:r>
      <w:bookmarkEnd w:id="2030"/>
      <w:bookmarkEnd w:id="2031"/>
      <w:bookmarkEnd w:id="2032"/>
      <w:bookmarkEnd w:id="2033"/>
      <w:bookmarkEnd w:id="2034"/>
      <w:bookmarkEnd w:id="2035"/>
      <w:bookmarkEnd w:id="2036"/>
      <w:bookmarkEnd w:id="2067"/>
      <w:bookmarkEnd w:id="2068"/>
      <w:bookmarkEnd w:id="2069"/>
      <w:bookmarkEnd w:id="2070"/>
      <w:bookmarkEnd w:id="2071"/>
      <w:bookmarkEnd w:id="2072"/>
      <w:bookmarkEnd w:id="2073"/>
      <w:bookmarkEnd w:id="2074"/>
    </w:p>
    <w:p w14:paraId="17B651B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b w:val="0"/>
          <w:bCs w:val="0"/>
          <w:color w:val="auto"/>
        </w:rPr>
      </w:pPr>
    </w:p>
    <w:p w14:paraId="783AADAF">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以推动绿色低碳发展为核心，</w:t>
      </w:r>
      <w:r>
        <w:rPr>
          <w:rFonts w:hint="eastAsia" w:ascii="仿宋_GB2312" w:hAnsi="仿宋_GB2312" w:eastAsia="仿宋_GB2312" w:cs="仿宋_GB2312"/>
          <w:b w:val="0"/>
          <w:bCs w:val="0"/>
          <w:color w:val="auto"/>
          <w:lang w:eastAsia="zh-CN"/>
        </w:rPr>
        <w:t>积极</w:t>
      </w:r>
      <w:r>
        <w:rPr>
          <w:rFonts w:hint="eastAsia" w:ascii="仿宋_GB2312" w:hAnsi="仿宋_GB2312" w:eastAsia="仿宋_GB2312" w:cs="仿宋_GB2312"/>
          <w:b w:val="0"/>
          <w:bCs w:val="0"/>
          <w:color w:val="auto"/>
        </w:rPr>
        <w:t>应对气候变化，协同推进降碳、减污、扩绿、增长，加快绿色发展转型步伐。</w:t>
      </w:r>
      <w:bookmarkStart w:id="2075" w:name="_Toc215857972"/>
      <w:bookmarkStart w:id="2076" w:name="_Toc14277"/>
      <w:bookmarkStart w:id="2077" w:name="_Toc1362057009"/>
      <w:bookmarkStart w:id="2078" w:name="_Toc3762"/>
      <w:bookmarkStart w:id="2079" w:name="_Toc26316"/>
      <w:bookmarkStart w:id="2080" w:name="_Toc18400"/>
      <w:bookmarkStart w:id="2081" w:name="_Toc12614"/>
      <w:bookmarkStart w:id="2082" w:name="_Toc14627"/>
      <w:bookmarkStart w:id="2083" w:name="_Toc30258"/>
      <w:bookmarkStart w:id="2084" w:name="_Toc32626"/>
      <w:bookmarkStart w:id="2085" w:name="_Toc11626"/>
      <w:bookmarkStart w:id="2086" w:name="_Toc10539"/>
      <w:bookmarkStart w:id="2087" w:name="_Toc12840"/>
      <w:bookmarkStart w:id="2088" w:name="_Toc21846"/>
      <w:bookmarkStart w:id="2089" w:name="_Toc28975"/>
    </w:p>
    <w:p w14:paraId="079F279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一、发展低碳循环经济</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14:paraId="7FBF8FF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大力发展循环经济。依托伊滨产业基础，加快建设</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无废城市</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加强生活垃圾减量分类，完善环境保护、节能减排约束性指标管理，健全自然资源资产产权制度。发展循环经济，通过资源循环利用，将生活废水和各类固体废弃物转化为可再生资源，赋能社会绿色转型。践行绿色生产方式，落实能源消耗总量和强度双控行动，加强绿色科技创新。普及绿色生活方式，鼓励引导绿色消费，加大政府绿色采购力度，推广绿色环保、高效节能的消费产品，促进消费方式向节能低碳环保转变。构建现代生态环境管理体系，健全以绿色发展为导向的生态环境治理法规标准体系，完善环境污染问题发现、风险预警和应急处置机制。</w:t>
      </w:r>
    </w:p>
    <w:p w14:paraId="7303FAEE">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090" w:name="_Toc14542"/>
      <w:bookmarkStart w:id="2091" w:name="_Toc1395"/>
      <w:bookmarkStart w:id="2092" w:name="_Toc21210"/>
      <w:bookmarkStart w:id="2093" w:name="_Toc12908"/>
      <w:bookmarkStart w:id="2094" w:name="_Toc4950"/>
      <w:bookmarkStart w:id="2095" w:name="_Toc30276"/>
      <w:bookmarkStart w:id="2096" w:name="_Toc4605"/>
      <w:bookmarkStart w:id="2097" w:name="_Toc237192513"/>
      <w:bookmarkStart w:id="2098" w:name="_Toc12790"/>
      <w:bookmarkStart w:id="2099" w:name="_Toc8682"/>
      <w:bookmarkStart w:id="2100" w:name="_Toc215857973"/>
      <w:bookmarkStart w:id="2101" w:name="_Toc14870"/>
      <w:bookmarkStart w:id="2102" w:name="_Toc21607"/>
      <w:bookmarkStart w:id="2103" w:name="_Toc9381"/>
      <w:bookmarkStart w:id="2104" w:name="_Toc11585"/>
      <w:r>
        <w:rPr>
          <w:rFonts w:hint="eastAsia" w:ascii="仿宋_GB2312" w:hAnsi="仿宋_GB2312" w:eastAsia="仿宋_GB2312" w:cs="仿宋_GB2312"/>
          <w:b w:val="0"/>
          <w:bCs w:val="0"/>
        </w:rPr>
        <w:t>二、推进产业绿色转型</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14:paraId="7ABE7FCF">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eastAsia="zh-CN"/>
        </w:rPr>
      </w:pPr>
      <w:r>
        <w:rPr>
          <w:rFonts w:hint="eastAsia" w:ascii="仿宋_GB2312" w:hAnsi="仿宋_GB2312" w:eastAsia="仿宋_GB2312" w:cs="仿宋_GB2312"/>
          <w:b w:val="0"/>
          <w:bCs w:val="0"/>
          <w:color w:val="auto"/>
        </w:rPr>
        <w:t>促进绿色产业集聚发展。严格环境准入，强化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三线一单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生态环境分区管控，严格执行产业政策和环境影响评价制度，对不符合生态环境功能定位和环保要求的项目坚决不予审批。加强对新建、改建、扩建项目的环境监管，确保环保设施与主体工程同时设计、同时施工、同时投产使用。推动产业改造升级。加大对传统产业的技术改造力度，鼓励企业采用先进生产工艺和污染治理技术，提高资源利用效率，减少污染物排放。推进传统产业</w:t>
      </w:r>
      <w:r>
        <w:rPr>
          <w:rFonts w:hint="eastAsia" w:ascii="仿宋_GB2312" w:hAnsi="仿宋_GB2312" w:eastAsia="仿宋_GB2312" w:cs="仿宋_GB2312"/>
          <w:b w:val="0"/>
          <w:bCs w:val="0"/>
          <w:color w:val="auto"/>
          <w:lang w:eastAsia="zh-CN"/>
        </w:rPr>
        <w:t>智能化、绿色化、融合化</w:t>
      </w:r>
      <w:r>
        <w:rPr>
          <w:rFonts w:hint="eastAsia" w:ascii="仿宋_GB2312" w:hAnsi="仿宋_GB2312" w:eastAsia="仿宋_GB2312" w:cs="仿宋_GB2312"/>
          <w:b w:val="0"/>
          <w:bCs w:val="0"/>
          <w:color w:val="auto"/>
        </w:rPr>
        <w:t>转型，培育绿色工厂、绿色园区，打造绿色产业链。培育壮大绿色产业。大力发展节能环保、新能源、新材料等战略性新兴产业，培育新的经济增长点。完善产业配套设施，加强绿色产业园区建设</w:t>
      </w:r>
      <w:r>
        <w:rPr>
          <w:rFonts w:hint="eastAsia" w:ascii="仿宋_GB2312" w:hAnsi="仿宋_GB2312" w:eastAsia="仿宋_GB2312" w:cs="仿宋_GB2312"/>
          <w:b w:val="0"/>
          <w:bCs w:val="0"/>
          <w:color w:val="auto"/>
          <w:lang w:eastAsia="zh-CN"/>
        </w:rPr>
        <w:t>。</w:t>
      </w:r>
    </w:p>
    <w:p w14:paraId="793A1212">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105" w:name="_Toc1251109010"/>
      <w:bookmarkStart w:id="2106" w:name="_Toc27080"/>
      <w:bookmarkStart w:id="2107" w:name="_Toc10975"/>
      <w:bookmarkStart w:id="2108" w:name="_Toc14433"/>
      <w:bookmarkStart w:id="2109" w:name="_Toc18849"/>
      <w:bookmarkStart w:id="2110" w:name="_Toc25133"/>
      <w:bookmarkStart w:id="2111" w:name="_Toc22820"/>
      <w:bookmarkStart w:id="2112" w:name="_Toc1422"/>
      <w:r>
        <w:rPr>
          <w:rFonts w:hint="eastAsia" w:ascii="仿宋_GB2312" w:hAnsi="仿宋_GB2312" w:eastAsia="仿宋_GB2312" w:cs="仿宋_GB2312"/>
          <w:b w:val="0"/>
          <w:bCs w:val="0"/>
        </w:rPr>
        <w:t>三、推进节能降碳改造</w:t>
      </w:r>
      <w:bookmarkEnd w:id="2105"/>
      <w:bookmarkEnd w:id="2106"/>
      <w:bookmarkEnd w:id="2107"/>
      <w:bookmarkEnd w:id="2108"/>
      <w:bookmarkEnd w:id="2109"/>
      <w:bookmarkEnd w:id="2110"/>
      <w:bookmarkEnd w:id="2111"/>
      <w:bookmarkEnd w:id="2112"/>
    </w:p>
    <w:p w14:paraId="43D42FB4">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实施碳排放总量和强度双控制度。深入实施节能降碳改造。完善碳排放统计核算体系，稳步落实地方碳考核、行业碳管控、企业碳管理、项目碳评价、产品碳足迹等政策制度。发展分布式能源，积极推进零碳工厂和园区建设。积极对接碳排放权交易市场，加快融入温室气体自愿减排交易市场建设。建立健全区域特色产业绿色低碳标准体系，推动引领工业绿色贸易规则标准完善和衔接互认。完善适应气候变化工作体系，提升应对气候变化特别是极端天气能力。</w:t>
      </w:r>
    </w:p>
    <w:p w14:paraId="39377964">
      <w:pPr>
        <w:pStyle w:val="6"/>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113" w:name="_Toc907551163"/>
      <w:bookmarkStart w:id="2114" w:name="_Toc215857977"/>
      <w:bookmarkStart w:id="2115" w:name="_Toc17079"/>
      <w:bookmarkStart w:id="2116" w:name="_Toc17100"/>
      <w:bookmarkStart w:id="2117" w:name="_Toc9949"/>
      <w:bookmarkStart w:id="2118" w:name="_Toc16250"/>
      <w:bookmarkStart w:id="2119" w:name="_Toc10479"/>
      <w:bookmarkStart w:id="2120" w:name="_Toc16587"/>
      <w:bookmarkStart w:id="2121" w:name="_Toc9571"/>
      <w:bookmarkStart w:id="2122" w:name="_Toc1716"/>
      <w:bookmarkStart w:id="2123" w:name="_Toc17346"/>
      <w:bookmarkStart w:id="2124" w:name="_Toc182"/>
      <w:bookmarkStart w:id="2125" w:name="_Toc12550"/>
      <w:bookmarkStart w:id="2126" w:name="_Toc31215"/>
      <w:bookmarkStart w:id="2127" w:name="_Toc21757"/>
    </w:p>
    <w:p w14:paraId="5011AB15">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第十</w:t>
      </w:r>
      <w:r>
        <w:rPr>
          <w:rFonts w:hint="eastAsia" w:ascii="黑体" w:hAnsi="黑体" w:eastAsia="黑体" w:cs="黑体"/>
          <w:b w:val="0"/>
          <w:bCs w:val="0"/>
          <w:lang w:val="en-US" w:eastAsia="zh-CN"/>
        </w:rPr>
        <w:t>一</w:t>
      </w:r>
      <w:r>
        <w:rPr>
          <w:rFonts w:hint="eastAsia" w:ascii="黑体" w:hAnsi="黑体" w:eastAsia="黑体" w:cs="黑体"/>
          <w:b w:val="0"/>
          <w:bCs w:val="0"/>
        </w:rPr>
        <w:t>章  实施高效能治理，建设高水平平安伊滨</w:t>
      </w:r>
      <w:bookmarkEnd w:id="1954"/>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14:paraId="6268B566">
      <w:pPr>
        <w:pageBreakBefore w:val="0"/>
        <w:widowControl w:val="0"/>
        <w:kinsoku/>
        <w:wordWrap/>
        <w:topLinePunct w:val="0"/>
        <w:bidi w:val="0"/>
        <w:spacing w:line="600" w:lineRule="exact"/>
        <w:rPr>
          <w:rFonts w:hint="eastAsia" w:ascii="仿宋_GB2312" w:hAnsi="仿宋_GB2312" w:eastAsia="仿宋_GB2312" w:cs="仿宋_GB2312"/>
          <w:b w:val="0"/>
          <w:bCs w:val="0"/>
          <w:color w:val="auto"/>
          <w:spacing w:val="8"/>
          <w:sz w:val="32"/>
        </w:rPr>
      </w:pPr>
    </w:p>
    <w:p w14:paraId="5942F624">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spacing w:val="8"/>
          <w:sz w:val="32"/>
        </w:rPr>
        <w:t>围绕</w:t>
      </w:r>
      <w:r>
        <w:rPr>
          <w:rFonts w:hint="eastAsia" w:ascii="仿宋_GB2312" w:hAnsi="仿宋_GB2312" w:eastAsia="仿宋_GB2312" w:cs="仿宋_GB2312"/>
          <w:b w:val="0"/>
          <w:bCs w:val="0"/>
          <w:color w:val="auto"/>
          <w:spacing w:val="8"/>
          <w:sz w:val="32"/>
          <w:lang w:eastAsia="zh-CN"/>
        </w:rPr>
        <w:t>“</w:t>
      </w:r>
      <w:r>
        <w:rPr>
          <w:rFonts w:hint="eastAsia" w:ascii="仿宋_GB2312" w:hAnsi="仿宋_GB2312" w:eastAsia="仿宋_GB2312" w:cs="仿宋_GB2312"/>
          <w:b w:val="0"/>
          <w:bCs w:val="0"/>
          <w:color w:val="auto"/>
          <w:spacing w:val="8"/>
          <w:sz w:val="32"/>
        </w:rPr>
        <w:t>五基四化</w:t>
      </w:r>
      <w:r>
        <w:rPr>
          <w:rFonts w:hint="eastAsia" w:ascii="仿宋_GB2312" w:hAnsi="仿宋_GB2312" w:eastAsia="仿宋_GB2312" w:cs="仿宋_GB2312"/>
          <w:b w:val="0"/>
          <w:bCs w:val="0"/>
          <w:color w:val="auto"/>
          <w:spacing w:val="8"/>
          <w:sz w:val="32"/>
          <w:lang w:eastAsia="zh-CN"/>
        </w:rPr>
        <w:t>”</w:t>
      </w:r>
      <w:r>
        <w:rPr>
          <w:rFonts w:hint="eastAsia" w:ascii="仿宋_GB2312" w:hAnsi="仿宋_GB2312" w:eastAsia="仿宋_GB2312" w:cs="仿宋_GB2312"/>
          <w:b w:val="0"/>
          <w:bCs w:val="0"/>
          <w:color w:val="auto"/>
          <w:spacing w:val="8"/>
          <w:sz w:val="32"/>
        </w:rPr>
        <w:t>，以增强基层党组织政治功能和组</w:t>
      </w:r>
      <w:r>
        <w:rPr>
          <w:rFonts w:hint="eastAsia" w:ascii="仿宋_GB2312" w:hAnsi="仿宋_GB2312" w:eastAsia="仿宋_GB2312" w:cs="仿宋_GB2312"/>
          <w:b w:val="0"/>
          <w:bCs w:val="0"/>
          <w:color w:val="auto"/>
          <w:spacing w:val="9"/>
          <w:sz w:val="32"/>
        </w:rPr>
        <w:t>织功能为关键，以建强基层治理队伍为重点，以完善基</w:t>
      </w:r>
      <w:r>
        <w:rPr>
          <w:rFonts w:hint="eastAsia" w:ascii="仿宋_GB2312" w:hAnsi="仿宋_GB2312" w:eastAsia="仿宋_GB2312" w:cs="仿宋_GB2312"/>
          <w:b w:val="0"/>
          <w:bCs w:val="0"/>
          <w:color w:val="auto"/>
          <w:spacing w:val="8"/>
          <w:sz w:val="32"/>
        </w:rPr>
        <w:t>层治理机</w:t>
      </w:r>
      <w:r>
        <w:rPr>
          <w:rFonts w:hint="eastAsia" w:ascii="仿宋_GB2312" w:hAnsi="仿宋_GB2312" w:eastAsia="仿宋_GB2312" w:cs="仿宋_GB2312"/>
          <w:b w:val="0"/>
          <w:bCs w:val="0"/>
          <w:color w:val="auto"/>
          <w:spacing w:val="9"/>
          <w:sz w:val="32"/>
        </w:rPr>
        <w:t>制为基础，以健全基层治理网格体系为支撑，以提升基层</w:t>
      </w:r>
      <w:r>
        <w:rPr>
          <w:rFonts w:hint="eastAsia" w:ascii="仿宋_GB2312" w:hAnsi="仿宋_GB2312" w:eastAsia="仿宋_GB2312" w:cs="仿宋_GB2312"/>
          <w:b w:val="0"/>
          <w:bCs w:val="0"/>
          <w:color w:val="auto"/>
          <w:spacing w:val="8"/>
          <w:sz w:val="32"/>
        </w:rPr>
        <w:t>治理平台运行质效为驱动，健全完善共建共治共享的社会治理</w:t>
      </w:r>
      <w:r>
        <w:rPr>
          <w:rFonts w:hint="eastAsia" w:ascii="仿宋_GB2312" w:hAnsi="仿宋_GB2312" w:eastAsia="仿宋_GB2312" w:cs="仿宋_GB2312"/>
          <w:b w:val="0"/>
          <w:bCs w:val="0"/>
          <w:color w:val="auto"/>
          <w:spacing w:val="7"/>
          <w:sz w:val="32"/>
        </w:rPr>
        <w:t>体系，切</w:t>
      </w:r>
      <w:r>
        <w:rPr>
          <w:rFonts w:hint="eastAsia" w:ascii="仿宋_GB2312" w:hAnsi="仿宋_GB2312" w:eastAsia="仿宋_GB2312" w:cs="仿宋_GB2312"/>
          <w:b w:val="0"/>
          <w:bCs w:val="0"/>
          <w:color w:val="auto"/>
          <w:spacing w:val="8"/>
          <w:sz w:val="32"/>
        </w:rPr>
        <w:t>实把党的政治优势、组织优势、制度优势转化为治理效能。</w:t>
      </w:r>
    </w:p>
    <w:p w14:paraId="03263D48">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bookmarkStart w:id="2128" w:name="_Toc24309"/>
      <w:bookmarkStart w:id="2129" w:name="_Toc20590"/>
      <w:bookmarkStart w:id="2130" w:name="_Toc4477"/>
      <w:bookmarkStart w:id="2131" w:name="_Toc31759"/>
      <w:bookmarkStart w:id="2132" w:name="_Toc4877"/>
      <w:bookmarkStart w:id="2133" w:name="_Toc15896"/>
      <w:bookmarkStart w:id="2134" w:name="_Toc332"/>
      <w:bookmarkStart w:id="2135" w:name="_Toc19295"/>
      <w:bookmarkStart w:id="2136" w:name="_Toc10130"/>
      <w:bookmarkStart w:id="2137" w:name="_Toc2044333150"/>
      <w:bookmarkStart w:id="2138" w:name="_Toc16125"/>
      <w:bookmarkStart w:id="2139" w:name="_Toc786"/>
      <w:bookmarkStart w:id="2140" w:name="_Toc4511"/>
      <w:bookmarkStart w:id="2141" w:name="_Toc215857978"/>
      <w:bookmarkStart w:id="2142" w:name="_Toc6367"/>
      <w:bookmarkStart w:id="2143" w:name="_Toc15258"/>
    </w:p>
    <w:p w14:paraId="285EF529">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rPr>
      </w:pPr>
      <w:r>
        <w:rPr>
          <w:rFonts w:hint="eastAsia" w:ascii="黑体" w:hAnsi="黑体" w:eastAsia="黑体" w:cs="黑体"/>
          <w:b w:val="0"/>
          <w:bCs w:val="0"/>
        </w:rPr>
        <w:t xml:space="preserve">第一节 </w:t>
      </w:r>
      <w:r>
        <w:rPr>
          <w:rFonts w:hint="eastAsia" w:ascii="黑体" w:hAnsi="黑体" w:eastAsia="黑体" w:cs="黑体"/>
          <w:b w:val="0"/>
          <w:bCs w:val="0"/>
          <w:lang w:val="en-US" w:eastAsia="zh-CN"/>
        </w:rPr>
        <w:t xml:space="preserve"> </w:t>
      </w:r>
      <w:r>
        <w:rPr>
          <w:rFonts w:hint="eastAsia" w:ascii="黑体" w:hAnsi="黑体" w:eastAsia="黑体" w:cs="黑体"/>
          <w:b w:val="0"/>
          <w:bCs w:val="0"/>
        </w:rPr>
        <w:t>健全党领导下的社会治理体制机制</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14:paraId="7BDA0596">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5DEFDB3E">
      <w:pPr>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rPr>
        <w:t>坚持党建引领，以系统化思维统揽全局，以网格化管理精耕细作，全面夯实基层治理的基层基础。坚持系统治理、依法治理、综合治理、源头治理，完善共建共治共享的社会治理制度，通过优化组织架构、织密治理网络、集成数据资源，构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横向到边、纵向到底、数据融通、响应迅速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的一体化基层治理格局</w:t>
      </w:r>
      <w:r>
        <w:rPr>
          <w:rFonts w:hint="eastAsia" w:ascii="仿宋_GB2312" w:hAnsi="仿宋_GB2312" w:eastAsia="仿宋_GB2312" w:cs="仿宋_GB2312"/>
          <w:b w:val="0"/>
          <w:bCs w:val="0"/>
          <w:lang w:eastAsia="zh-CN"/>
        </w:rPr>
        <w:t>。</w:t>
      </w:r>
    </w:p>
    <w:p w14:paraId="55BABFF3">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144" w:name="_Toc7541"/>
      <w:bookmarkStart w:id="2145" w:name="_Toc622869037"/>
      <w:bookmarkStart w:id="2146" w:name="_Toc6096"/>
      <w:bookmarkStart w:id="2147" w:name="_Toc13986"/>
      <w:bookmarkStart w:id="2148" w:name="_Toc24789"/>
      <w:bookmarkStart w:id="2149" w:name="_Toc20887"/>
      <w:bookmarkStart w:id="2150" w:name="_Toc31557"/>
      <w:bookmarkStart w:id="2151" w:name="_Toc15399"/>
      <w:bookmarkStart w:id="2152" w:name="_Toc31154"/>
      <w:bookmarkStart w:id="2153" w:name="_Toc113"/>
      <w:bookmarkStart w:id="2154" w:name="_Toc215857979"/>
      <w:bookmarkStart w:id="2155" w:name="_Toc5066"/>
      <w:bookmarkStart w:id="2156" w:name="_Toc11975"/>
      <w:bookmarkStart w:id="2157" w:name="_Toc3935"/>
      <w:bookmarkStart w:id="2158" w:name="_Toc23464"/>
      <w:bookmarkStart w:id="2159" w:name="_Toc23632"/>
      <w:r>
        <w:rPr>
          <w:rFonts w:hint="eastAsia" w:ascii="仿宋_GB2312" w:hAnsi="仿宋_GB2312" w:eastAsia="仿宋_GB2312" w:cs="仿宋_GB2312"/>
          <w:b w:val="0"/>
          <w:bCs w:val="0"/>
        </w:rPr>
        <w:t>一、构建多元共治格局</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14:paraId="7AADE8AB">
      <w:pPr>
        <w:pageBreakBefore w:val="0"/>
        <w:widowControl w:val="0"/>
        <w:kinsoku/>
        <w:wordWrap/>
        <w:topLinePunct w:val="0"/>
        <w:bidi w:val="0"/>
        <w:spacing w:line="600" w:lineRule="exact"/>
        <w:rPr>
          <w:rFonts w:hint="eastAsia" w:ascii="仿宋_GB2312" w:hAnsi="仿宋_GB2312" w:cs="仿宋_GB2312"/>
          <w:b w:val="0"/>
          <w:bCs w:val="0"/>
          <w:lang w:val="en-US" w:eastAsia="zh-CN"/>
        </w:rPr>
      </w:pPr>
      <w:r>
        <w:rPr>
          <w:rFonts w:hint="eastAsia" w:ascii="仿宋_GB2312" w:hAnsi="仿宋_GB2312" w:eastAsia="仿宋_GB2312" w:cs="仿宋_GB2312"/>
          <w:b w:val="0"/>
          <w:bCs w:val="0"/>
        </w:rPr>
        <w:t>坚持把党的领导贯穿于基层治理的各方面和全过程，</w:t>
      </w:r>
      <w:r>
        <w:rPr>
          <w:rFonts w:hint="eastAsia" w:ascii="仿宋_GB2312" w:hAnsi="仿宋_GB2312" w:eastAsia="仿宋_GB2312" w:cs="仿宋_GB2312"/>
          <w:b w:val="0"/>
          <w:bCs w:val="0"/>
          <w:lang w:val="en-US" w:eastAsia="zh-CN"/>
        </w:rPr>
        <w:t>全</w:t>
      </w:r>
      <w:r>
        <w:rPr>
          <w:rFonts w:hint="eastAsia" w:ascii="仿宋_GB2312" w:hAnsi="仿宋_GB2312" w:eastAsia="仿宋_GB2312" w:cs="仿宋_GB2312"/>
          <w:b w:val="0"/>
          <w:bCs w:val="0"/>
        </w:rPr>
        <w:t>力推进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五基四化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，完善上下贯通、执行有力的组织体系，推动各领域党组织全面进步、全面过硬。选优配强镇（街道）、社区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班子，健全党员发展、培训以及在岗离岗、网上网下、平时应急作用发挥机制。推动基层党组织与各类治理力量深度融合，将组织优势转化为治理效能。加强党建引领基层治理和基层政权建设，全面实施乡镇（街道）履行职责事项清单，健全村（社区）工作事项准入制度。加强新经济组织、新社会组织、新就业群体党的建设。用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党建＋网格＋大数据</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治理模式。以党建为纽带，着力推进社区建设、社会组织培育和社会人才队伍建设，通过三者之间的联动，形成社区、社会组织和专业社工之间资源共享、优势互补、相互促进的良好局面。加快培育社区社会组织，同时引入多方力量共同参与社会治理。安排专项资金，通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以奖代补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公益创投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等方式，推动社区社会组织尤其是贴近居民需求的各种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三自组织</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快速成长。建立社会组织参与社区服务机制，支持社区社会组织参与政府公共服务，开展志愿互助服务。加强社会人才力量。鼓励社会工作专业人才参与社区服务，推进社区服务专业化，打造一支符合社区实际的职业化社工队伍。</w:t>
      </w:r>
      <w:bookmarkStart w:id="2160" w:name="_Toc26309"/>
      <w:bookmarkStart w:id="2161" w:name="_Toc7952"/>
      <w:bookmarkStart w:id="2162" w:name="_Toc25518"/>
      <w:bookmarkStart w:id="2163" w:name="_Toc31132"/>
      <w:bookmarkStart w:id="2164" w:name="_Toc24352"/>
      <w:bookmarkStart w:id="2165" w:name="_Toc5179"/>
      <w:bookmarkStart w:id="2166" w:name="_Toc13097"/>
      <w:bookmarkStart w:id="2167" w:name="_Toc23489"/>
      <w:bookmarkStart w:id="2168" w:name="_Toc215857980"/>
      <w:bookmarkStart w:id="2169" w:name="_Toc19924"/>
      <w:bookmarkStart w:id="2170" w:name="_Toc25401"/>
      <w:bookmarkStart w:id="2171" w:name="_Toc80329502"/>
      <w:bookmarkStart w:id="2172" w:name="_Toc29321"/>
      <w:bookmarkStart w:id="2173" w:name="_Toc1860"/>
      <w:bookmarkStart w:id="2174" w:name="_Toc4174"/>
      <w:bookmarkStart w:id="2175" w:name="_Toc15063"/>
      <w:r>
        <w:rPr>
          <w:rFonts w:hint="eastAsia" w:ascii="仿宋_GB2312" w:hAnsi="仿宋_GB2312" w:cs="仿宋_GB2312"/>
          <w:b w:val="0"/>
          <w:bCs w:val="0"/>
          <w:lang w:val="en-US" w:eastAsia="zh-CN"/>
        </w:rPr>
        <w:t xml:space="preserve">  </w:t>
      </w:r>
    </w:p>
    <w:p w14:paraId="7D6F878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二、用心用情服务群众</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14:paraId="3AAF068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有力有效提升基层组织覆盖，在做好社区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换届的基础上，重点围绕新能源产业和钢制办公家具产业，培育发展新经济组织、新社会组织和新就业群体。做好党的组织覆盖和工作覆盖，按照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一年打基础、两年抓提升、三年见实效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的工作思路，引导新兴领域各类组织和群体在加强社会治理中发挥积极作用。2030年底培育新兴领域组织增长率达30%，两个覆盖同步跟进90%以上，经过5年努力，力争实现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两个覆盖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全、</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两个功能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两支队伍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硬、</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两块阵地</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稳的发展目标。</w:t>
      </w:r>
    </w:p>
    <w:p w14:paraId="679B5E8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群众需求为导向，深入推进以邻里中心为平台的社区服务模式，优化邻里中心的空间布局，通过整合周边闲置资源、改造提升等方式，进一步提升服务能力，充分发挥其作为社区商业服务和公共服务基础载体的作用；建立群众联络、沟通、反映的平台，结合区内居民需求，优化平台功能单元，将邻里中心打造成</w:t>
      </w:r>
      <w:r>
        <w:rPr>
          <w:rFonts w:hint="eastAsia" w:ascii="仿宋_GB2312" w:hAnsi="仿宋_GB2312" w:eastAsia="仿宋_GB2312" w:cs="仿宋_GB2312"/>
          <w:b w:val="0"/>
          <w:bCs w:val="0"/>
          <w:lang w:val="en-US" w:eastAsia="zh-CN"/>
        </w:rPr>
        <w:t>具</w:t>
      </w:r>
      <w:r>
        <w:rPr>
          <w:rFonts w:hint="eastAsia" w:ascii="仿宋_GB2312" w:hAnsi="仿宋_GB2312" w:eastAsia="仿宋_GB2312" w:cs="仿宋_GB2312"/>
          <w:b w:val="0"/>
          <w:bCs w:val="0"/>
        </w:rPr>
        <w:t>有特色的政务服务阵地、民意沟通窗口、社区交往平台、居民精神家园。</w:t>
      </w:r>
    </w:p>
    <w:p w14:paraId="4E878025">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176" w:name="_Toc3155"/>
      <w:bookmarkStart w:id="2177" w:name="_Toc396"/>
      <w:bookmarkStart w:id="2178" w:name="_Toc15392"/>
      <w:bookmarkStart w:id="2179" w:name="_Toc18280"/>
      <w:bookmarkStart w:id="2180" w:name="_Toc24989"/>
      <w:bookmarkStart w:id="2181" w:name="_Toc1292201275"/>
      <w:bookmarkStart w:id="2182" w:name="_Toc7002"/>
      <w:bookmarkStart w:id="2183" w:name="_Toc215857981"/>
      <w:bookmarkStart w:id="2184" w:name="_Toc7856"/>
      <w:bookmarkStart w:id="2185" w:name="_Toc12217"/>
      <w:bookmarkStart w:id="2186" w:name="_Toc29394"/>
      <w:bookmarkStart w:id="2187" w:name="_Toc13147"/>
      <w:bookmarkStart w:id="2188" w:name="_Toc17811"/>
      <w:bookmarkStart w:id="2189" w:name="_Toc26232"/>
      <w:bookmarkStart w:id="2190" w:name="_Toc26416"/>
      <w:bookmarkStart w:id="2191" w:name="_Toc25868"/>
      <w:r>
        <w:rPr>
          <w:rFonts w:hint="eastAsia" w:ascii="仿宋_GB2312" w:hAnsi="仿宋_GB2312" w:eastAsia="仿宋_GB2312" w:cs="仿宋_GB2312"/>
          <w:b w:val="0"/>
          <w:bCs w:val="0"/>
        </w:rPr>
        <w:t>三、培育社区公共价值</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14:paraId="3F4BF05F">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以社区为基本单元，培育开放包容、乐于分享、守望相助的社区文化，增强居民的归属感、认同感和责任感。健全社区议事协商机制，推广线上线下结合的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社区提案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制度。建立社区志愿者激励机制，深入开展内容丰富的志愿服务活动，形成有影响力的志愿服务工作品牌。结合青年群体特点，创新参与方式，鼓励青年就社区规划、公共设施、文化活动等公共事务发表见解、参与决策。支持各类青年自发组织社群活动，将社区打造为生活、工作之外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第三空间</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。以开放、多元的社区文化，促进不同行业、不同背景的青年人才交流融合，激发创新灵感，厚植社会治理的青春底蕴与价值认同。</w:t>
      </w:r>
    </w:p>
    <w:p w14:paraId="3DE1C6E5">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192" w:name="_Toc23650"/>
      <w:bookmarkStart w:id="2193" w:name="_Toc614"/>
      <w:bookmarkStart w:id="2194" w:name="_Toc26665"/>
      <w:bookmarkStart w:id="2195" w:name="_Toc27598"/>
      <w:bookmarkStart w:id="2196" w:name="_Toc8867"/>
      <w:bookmarkStart w:id="2197" w:name="_Toc19406"/>
      <w:bookmarkStart w:id="2198" w:name="_Toc24124"/>
      <w:bookmarkStart w:id="2199" w:name="_Toc215857982"/>
      <w:bookmarkStart w:id="2200" w:name="_Toc5460"/>
      <w:bookmarkStart w:id="2201" w:name="_Toc2076418730"/>
      <w:bookmarkStart w:id="2202" w:name="_Toc13212"/>
      <w:bookmarkStart w:id="2203" w:name="_Toc1096"/>
      <w:bookmarkStart w:id="2204" w:name="_Toc8274"/>
      <w:bookmarkStart w:id="2205" w:name="_Toc3379"/>
      <w:bookmarkStart w:id="2206" w:name="_Toc31095"/>
      <w:bookmarkStart w:id="2207" w:name="_Toc31668"/>
    </w:p>
    <w:p w14:paraId="5F5139B0">
      <w:pPr>
        <w:pStyle w:val="7"/>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rPr>
        <w:t xml:space="preserve">第二节 </w:t>
      </w:r>
      <w:bookmarkEnd w:id="2192"/>
      <w:bookmarkEnd w:id="2193"/>
      <w:bookmarkEnd w:id="2194"/>
      <w:bookmarkEnd w:id="2195"/>
      <w:bookmarkEnd w:id="2196"/>
      <w:bookmarkEnd w:id="2197"/>
      <w:bookmarkEnd w:id="2198"/>
      <w:bookmarkEnd w:id="2199"/>
      <w:r>
        <w:rPr>
          <w:rFonts w:hint="eastAsia" w:ascii="黑体" w:hAnsi="黑体" w:eastAsia="黑体" w:cs="黑体"/>
          <w:b w:val="0"/>
          <w:bCs w:val="0"/>
          <w:lang w:val="en-US" w:eastAsia="zh-CN"/>
        </w:rPr>
        <w:t xml:space="preserve"> 提升基层治理效能</w:t>
      </w:r>
      <w:bookmarkEnd w:id="2200"/>
      <w:bookmarkEnd w:id="2201"/>
      <w:bookmarkEnd w:id="2202"/>
      <w:bookmarkEnd w:id="2203"/>
      <w:bookmarkEnd w:id="2204"/>
      <w:bookmarkEnd w:id="2205"/>
      <w:bookmarkEnd w:id="2206"/>
      <w:bookmarkEnd w:id="2207"/>
    </w:p>
    <w:p w14:paraId="67F938FE">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4A1EF23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坚持和发展新时代</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枫桥经验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，全面深化以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强基固本、赋能增效</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为目标的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五基四化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w:t>
      </w:r>
      <w:r>
        <w:rPr>
          <w:rFonts w:hint="eastAsia" w:ascii="仿宋_GB2312" w:hAnsi="仿宋_GB2312" w:eastAsia="仿宋_GB2312" w:cs="仿宋_GB2312"/>
          <w:b w:val="0"/>
          <w:bCs w:val="0"/>
          <w:lang w:val="en-US" w:eastAsia="zh-CN"/>
        </w:rPr>
        <w:t>充分运用数字技术，</w:t>
      </w:r>
      <w:r>
        <w:rPr>
          <w:rFonts w:hint="eastAsia" w:ascii="仿宋_GB2312" w:hAnsi="仿宋_GB2312" w:eastAsia="仿宋_GB2312" w:cs="仿宋_GB2312"/>
          <w:b w:val="0"/>
          <w:bCs w:val="0"/>
        </w:rPr>
        <w:t>以数字化改革引领</w:t>
      </w:r>
      <w:r>
        <w:rPr>
          <w:rFonts w:hint="eastAsia" w:ascii="仿宋_GB2312" w:hAnsi="仿宋_GB2312" w:eastAsia="仿宋_GB2312" w:cs="仿宋_GB2312"/>
          <w:b w:val="0"/>
          <w:bCs w:val="0"/>
          <w:lang w:val="en-US" w:eastAsia="zh-CN"/>
        </w:rPr>
        <w:t>基层</w:t>
      </w:r>
      <w:r>
        <w:rPr>
          <w:rFonts w:hint="eastAsia" w:ascii="仿宋_GB2312" w:hAnsi="仿宋_GB2312" w:eastAsia="仿宋_GB2312" w:cs="仿宋_GB2312"/>
          <w:b w:val="0"/>
          <w:bCs w:val="0"/>
        </w:rPr>
        <w:t>治理方式系统性重塑</w:t>
      </w:r>
    </w:p>
    <w:p w14:paraId="133D952C">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2208" w:name="_Toc1655261541"/>
      <w:bookmarkStart w:id="2209" w:name="_Toc10927"/>
      <w:bookmarkStart w:id="2210" w:name="_Toc27270"/>
      <w:bookmarkStart w:id="2211" w:name="_Toc29479"/>
      <w:bookmarkStart w:id="2212" w:name="_Toc20836"/>
      <w:bookmarkStart w:id="2213" w:name="_Toc63"/>
      <w:bookmarkStart w:id="2214" w:name="_Toc9295"/>
      <w:bookmarkStart w:id="2215" w:name="_Toc22277"/>
      <w:r>
        <w:rPr>
          <w:rFonts w:hint="eastAsia" w:ascii="仿宋_GB2312" w:hAnsi="仿宋_GB2312" w:eastAsia="仿宋_GB2312" w:cs="仿宋_GB2312"/>
          <w:b w:val="0"/>
          <w:bCs w:val="0"/>
          <w:lang w:val="en-US" w:eastAsia="zh-CN"/>
        </w:rPr>
        <w:t>一、突出抓基层、强基础、固根本</w:t>
      </w:r>
      <w:bookmarkEnd w:id="2208"/>
      <w:bookmarkEnd w:id="2209"/>
      <w:bookmarkEnd w:id="2210"/>
      <w:bookmarkEnd w:id="2211"/>
      <w:bookmarkEnd w:id="2212"/>
      <w:bookmarkEnd w:id="2213"/>
      <w:bookmarkEnd w:id="2214"/>
      <w:bookmarkEnd w:id="2215"/>
    </w:p>
    <w:p w14:paraId="7E2AFE9A">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坚持党建引领，扎实推进“五基四化”，以系统化思维统揽全局，以网格化管理精耕细作，全面夯实基层治理基础。强化镇（街道）党（工）委领导核心作用</w:t>
      </w:r>
      <w:r>
        <w:rPr>
          <w:rFonts w:hint="eastAsia" w:ascii="仿宋_GB2312" w:hAnsi="仿宋_GB2312" w:eastAsia="仿宋_GB2312" w:cs="仿宋_GB2312"/>
          <w:b w:val="0"/>
          <w:bCs w:val="0"/>
          <w:color w:val="auto"/>
          <w:lang w:val="en-US" w:eastAsia="zh-CN"/>
        </w:rPr>
        <w:t>，选优配强社区“两委”班</w:t>
      </w:r>
      <w:r>
        <w:rPr>
          <w:rFonts w:hint="eastAsia" w:ascii="仿宋_GB2312" w:hAnsi="仿宋_GB2312" w:eastAsia="仿宋_GB2312" w:cs="仿宋_GB2312"/>
          <w:b w:val="0"/>
          <w:bCs w:val="0"/>
          <w:lang w:val="en-US" w:eastAsia="zh-CN"/>
        </w:rPr>
        <w:t>子。推进“党建＋网格＋大数据”治理模式，</w:t>
      </w:r>
      <w:r>
        <w:rPr>
          <w:rFonts w:hint="eastAsia" w:ascii="仿宋_GB2312" w:hAnsi="仿宋_GB2312" w:eastAsia="仿宋_GB2312" w:cs="仿宋_GB2312"/>
          <w:b w:val="0"/>
          <w:bCs w:val="0"/>
        </w:rPr>
        <w:t>落实</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三抓四优四赋能</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工作机制，持续提升基层治理水平</w:t>
      </w:r>
      <w:r>
        <w:rPr>
          <w:rFonts w:hint="eastAsia" w:ascii="仿宋_GB2312" w:hAnsi="仿宋_GB2312" w:eastAsia="仿宋_GB2312" w:cs="仿宋_GB2312"/>
          <w:b w:val="0"/>
          <w:bCs w:val="0"/>
          <w:lang w:val="en-US" w:eastAsia="zh-CN"/>
        </w:rPr>
        <w:t>。加强基层党员队伍建设，深入开展党员承诺践诺活动。完善社区服务体系，推进以邻里中心为平台的社区服务模式。健全社区议事协商机制，推广线上线下结合的“社区提案”制度。</w:t>
      </w:r>
      <w:bookmarkStart w:id="2216" w:name="_Toc30053"/>
      <w:bookmarkStart w:id="2217" w:name="_Toc13638"/>
      <w:bookmarkStart w:id="2218" w:name="_Toc215857983"/>
      <w:bookmarkStart w:id="2219" w:name="_Toc1704"/>
      <w:bookmarkStart w:id="2220" w:name="_Toc20047"/>
      <w:bookmarkStart w:id="2221" w:name="_Toc8125"/>
      <w:bookmarkStart w:id="2222" w:name="_Toc12383"/>
      <w:bookmarkStart w:id="2223" w:name="_Toc16573"/>
      <w:bookmarkStart w:id="2224" w:name="_Toc245702340"/>
      <w:bookmarkStart w:id="2225" w:name="_Toc5191"/>
      <w:bookmarkStart w:id="2226" w:name="_Toc22438"/>
      <w:bookmarkStart w:id="2227" w:name="_Toc9209"/>
      <w:bookmarkStart w:id="2228" w:name="_Toc19801"/>
      <w:bookmarkStart w:id="2229" w:name="_Toc27235"/>
      <w:bookmarkStart w:id="2230" w:name="_Toc15516"/>
      <w:bookmarkStart w:id="2231" w:name="_Toc19723"/>
    </w:p>
    <w:p w14:paraId="203F540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二</w:t>
      </w:r>
      <w:r>
        <w:rPr>
          <w:rFonts w:hint="eastAsia" w:ascii="仿宋_GB2312" w:hAnsi="仿宋_GB2312" w:eastAsia="仿宋_GB2312" w:cs="仿宋_GB2312"/>
          <w:b w:val="0"/>
          <w:bCs w:val="0"/>
        </w:rPr>
        <w:t>、建立高度集成的城</w:t>
      </w:r>
      <w:bookmarkEnd w:id="2216"/>
      <w:r>
        <w:rPr>
          <w:rFonts w:hint="eastAsia" w:ascii="仿宋_GB2312" w:hAnsi="仿宋_GB2312" w:eastAsia="仿宋_GB2312" w:cs="仿宋_GB2312"/>
          <w:b w:val="0"/>
          <w:bCs w:val="0"/>
        </w:rPr>
        <w:t>乡治理平台</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14:paraId="1A45271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高标准建设城乡治理平台</w:t>
      </w:r>
      <w:r>
        <w:rPr>
          <w:rFonts w:hint="eastAsia" w:ascii="仿宋_GB2312" w:hAnsi="仿宋_GB2312" w:eastAsia="仿宋_GB2312" w:cs="仿宋_GB2312"/>
          <w:b w:val="0"/>
          <w:bCs w:val="0"/>
        </w:rPr>
        <w:t>，将其作为全区智慧治理的中枢神经系统。整合区内综治、公安、城管、交通、应急、环保、卫健、文旅等部门的指挥平台和数据资源，打破信息壁垒与数据孤岛。运用数字孪生、人工智能、物联网、大数据等新一代信息技术，构建覆盖全域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人、事、物、地、情、组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一体化数字底座。重点打造服务于科创企业的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产业大脑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和面向青年人才的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人才服务大脑</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两大特色模块，实现对产业运行态势的实时监测和对人才需求的精准响应。到2030年，实现群众急难愁盼问题响应率100%、办结率9</w:t>
      </w:r>
      <w:r>
        <w:rPr>
          <w:rFonts w:hint="eastAsia" w:ascii="仿宋_GB2312" w:hAnsi="仿宋_GB2312" w:eastAsia="仿宋_GB2312" w:cs="仿宋_GB2312"/>
          <w:b w:val="0"/>
          <w:bCs w:val="0"/>
          <w:lang w:val="en-US" w:eastAsia="zh-CN"/>
        </w:rPr>
        <w:t>0</w:t>
      </w:r>
      <w:r>
        <w:rPr>
          <w:rFonts w:hint="eastAsia" w:ascii="仿宋_GB2312" w:hAnsi="仿宋_GB2312" w:eastAsia="仿宋_GB2312" w:cs="仿宋_GB2312"/>
          <w:b w:val="0"/>
          <w:bCs w:val="0"/>
        </w:rPr>
        <w:t>%以上，切实提升市民生活便捷度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提高</w:t>
      </w:r>
      <w:r>
        <w:rPr>
          <w:rFonts w:hint="eastAsia" w:ascii="仿宋_GB2312" w:hAnsi="仿宋_GB2312" w:eastAsia="仿宋_GB2312" w:cs="仿宋_GB2312"/>
          <w:b w:val="0"/>
          <w:bCs w:val="0"/>
        </w:rPr>
        <w:t>城</w:t>
      </w:r>
      <w:r>
        <w:rPr>
          <w:rFonts w:hint="eastAsia" w:ascii="仿宋_GB2312" w:hAnsi="仿宋_GB2312" w:eastAsia="仿宋_GB2312" w:cs="仿宋_GB2312"/>
          <w:b w:val="0"/>
          <w:bCs w:val="0"/>
          <w:lang w:val="en-US" w:eastAsia="zh-CN"/>
        </w:rPr>
        <w:t>乡</w:t>
      </w:r>
      <w:r>
        <w:rPr>
          <w:rFonts w:hint="eastAsia" w:ascii="仿宋_GB2312" w:hAnsi="仿宋_GB2312" w:eastAsia="仿宋_GB2312" w:cs="仿宋_GB2312"/>
          <w:b w:val="0"/>
          <w:bCs w:val="0"/>
        </w:rPr>
        <w:t>治理现代化水平。</w:t>
      </w:r>
    </w:p>
    <w:p w14:paraId="2D0EC6D1">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eastAsia="zh-CN"/>
        </w:rPr>
      </w:pPr>
      <w:bookmarkStart w:id="2232" w:name="_Toc31287"/>
      <w:bookmarkStart w:id="2233" w:name="_Toc215857984"/>
      <w:bookmarkStart w:id="2234" w:name="_Toc15604"/>
      <w:bookmarkStart w:id="2235" w:name="_Toc28297"/>
      <w:bookmarkStart w:id="2236" w:name="_Toc18368"/>
      <w:bookmarkStart w:id="2237" w:name="_Toc5117"/>
      <w:bookmarkStart w:id="2238" w:name="_Toc19085"/>
      <w:bookmarkStart w:id="2239" w:name="_Toc22021"/>
      <w:bookmarkStart w:id="2240" w:name="_Toc27564"/>
      <w:bookmarkStart w:id="2241" w:name="_Toc25039"/>
      <w:bookmarkStart w:id="2242" w:name="_Toc3347"/>
      <w:bookmarkStart w:id="2243" w:name="_Toc6826"/>
      <w:bookmarkStart w:id="2244" w:name="_Toc18910"/>
      <w:bookmarkStart w:id="2245" w:name="_Toc18380"/>
      <w:bookmarkStart w:id="2246" w:name="_Toc1613359217"/>
      <w:bookmarkStart w:id="2247" w:name="_Toc22899"/>
      <w:r>
        <w:rPr>
          <w:rFonts w:hint="eastAsia" w:ascii="仿宋_GB2312" w:hAnsi="仿宋_GB2312" w:eastAsia="仿宋_GB2312" w:cs="仿宋_GB2312"/>
          <w:b w:val="0"/>
          <w:bCs w:val="0"/>
          <w:lang w:val="en-US" w:eastAsia="zh-CN"/>
        </w:rPr>
        <w:t>三</w:t>
      </w:r>
      <w:r>
        <w:rPr>
          <w:rFonts w:hint="eastAsia" w:ascii="仿宋_GB2312" w:hAnsi="仿宋_GB2312" w:eastAsia="仿宋_GB2312" w:cs="仿宋_GB2312"/>
          <w:b w:val="0"/>
          <w:bCs w:val="0"/>
        </w:rPr>
        <w:t>、</w:t>
      </w:r>
      <w:bookmarkEnd w:id="2232"/>
      <w:bookmarkEnd w:id="2233"/>
      <w:bookmarkEnd w:id="2234"/>
      <w:bookmarkEnd w:id="2235"/>
      <w:bookmarkEnd w:id="2236"/>
      <w:bookmarkEnd w:id="2237"/>
      <w:bookmarkEnd w:id="2238"/>
      <w:bookmarkEnd w:id="2239"/>
      <w:bookmarkEnd w:id="2240"/>
      <w:r>
        <w:rPr>
          <w:rFonts w:hint="eastAsia" w:ascii="仿宋_GB2312" w:hAnsi="仿宋_GB2312" w:eastAsia="仿宋_GB2312" w:cs="仿宋_GB2312"/>
          <w:b w:val="0"/>
          <w:bCs w:val="0"/>
          <w:lang w:val="en-US" w:eastAsia="zh-CN"/>
        </w:rPr>
        <w:t>建设智慧城市</w:t>
      </w:r>
      <w:bookmarkEnd w:id="2241"/>
      <w:bookmarkEnd w:id="2242"/>
      <w:bookmarkEnd w:id="2243"/>
      <w:bookmarkEnd w:id="2244"/>
      <w:bookmarkEnd w:id="2245"/>
      <w:bookmarkEnd w:id="2246"/>
      <w:bookmarkEnd w:id="2247"/>
    </w:p>
    <w:p w14:paraId="2AEE032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全面推进人工智能技术与城市治理深度融合，构建全覆盖、全天候、智能化的治理体系，提升政府监管效能和社会治理的精准度。聚焦安全生产、生态环保、城市管理等重点领域，部署基于视频AI识别算法的智能监控网络。聚焦科技产业社区，推广应用AI算法的智慧安防、智慧能源管理和无人配送系统，为企业提供低成本、高效率的运营环境。推进智慧社区建设，在人才公寓和保障性租赁住房社区试点部署</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AI社区管家</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，提供智能报修、智能安防、智能访客管理等服务。在交通治理领域，依托智慧交通信号灯、车路协同系统和大数据分析，提升通勤体验。</w:t>
      </w:r>
    </w:p>
    <w:p w14:paraId="07FB2CEF">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248" w:name="_Toc30030"/>
      <w:bookmarkStart w:id="2249" w:name="_Toc461190697"/>
      <w:bookmarkStart w:id="2250" w:name="_Toc24447"/>
      <w:bookmarkStart w:id="2251" w:name="_Toc24839"/>
      <w:bookmarkStart w:id="2252" w:name="_Toc19146"/>
      <w:bookmarkStart w:id="2253" w:name="_Toc32635"/>
      <w:bookmarkStart w:id="2254" w:name="_Toc215857985"/>
      <w:bookmarkStart w:id="2255" w:name="_Toc23962"/>
      <w:bookmarkStart w:id="2256" w:name="_Toc17749"/>
      <w:bookmarkStart w:id="2257" w:name="_Toc13417"/>
      <w:bookmarkStart w:id="2258" w:name="_Toc10241"/>
      <w:bookmarkStart w:id="2259" w:name="_Toc22202"/>
      <w:bookmarkStart w:id="2260" w:name="_Toc19059"/>
      <w:bookmarkStart w:id="2261" w:name="_Toc16687"/>
      <w:bookmarkStart w:id="2262" w:name="_Toc22035"/>
      <w:bookmarkStart w:id="2263" w:name="_Toc19265"/>
      <w:r>
        <w:rPr>
          <w:rFonts w:hint="eastAsia" w:ascii="仿宋_GB2312" w:hAnsi="仿宋_GB2312" w:eastAsia="仿宋_GB2312" w:cs="仿宋_GB2312"/>
          <w:b w:val="0"/>
          <w:bCs w:val="0"/>
          <w:lang w:val="en-US" w:eastAsia="zh-CN"/>
        </w:rPr>
        <w:t>四</w:t>
      </w:r>
      <w:r>
        <w:rPr>
          <w:rFonts w:hint="eastAsia" w:ascii="仿宋_GB2312" w:hAnsi="仿宋_GB2312" w:eastAsia="仿宋_GB2312" w:cs="仿宋_GB2312"/>
          <w:b w:val="0"/>
          <w:bCs w:val="0"/>
        </w:rPr>
        <w:t>、提升基层智能治理水平</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14:paraId="49F790C9">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将智慧治理的能力延伸至社会治理的神经末梢，借鉴</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网格化+块数据</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治理经验，升级基层网格化综合管理服务平台。联通对接全市基层治理平台，完成党的建设、社会治安综合治理、12345热线平台、行业管理等业务信息系统的联通工作。推广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豫事办</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洛快政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APP等基层治理平台终端，助力基层治理平台终端在乡镇（街道）、村（社区）、网格和居民中的应用，实现事件</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随手拍、随时报、智能分派、闭环处置</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。聚焦数据共享赋能基层，做好数据供需对接、数据资源申请、数据异议处理等工作，实现政务数据向基层共享、向基层赋能。围绕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高效办成一件事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改革，推动12345政务热线畅通，及时感知社情民意，响应率达到100%。</w:t>
      </w:r>
    </w:p>
    <w:p w14:paraId="2B27E884">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264" w:name="_Toc30977"/>
      <w:bookmarkStart w:id="2265" w:name="_Toc18891"/>
      <w:bookmarkStart w:id="2266" w:name="_Toc17457"/>
      <w:bookmarkStart w:id="2267" w:name="_Toc215857986"/>
      <w:bookmarkStart w:id="2268" w:name="_Toc27374"/>
      <w:bookmarkStart w:id="2269" w:name="_Toc28931"/>
      <w:bookmarkStart w:id="2270" w:name="_Toc20396"/>
      <w:bookmarkStart w:id="2271" w:name="_Toc1806799532"/>
      <w:bookmarkStart w:id="2272" w:name="_Toc32398"/>
      <w:bookmarkStart w:id="2273" w:name="_Toc23054"/>
      <w:bookmarkStart w:id="2274" w:name="_Toc12471"/>
      <w:bookmarkStart w:id="2275" w:name="_Toc27873"/>
      <w:bookmarkStart w:id="2276" w:name="_Toc13564"/>
      <w:bookmarkStart w:id="2277" w:name="_Toc14144"/>
      <w:bookmarkStart w:id="2278" w:name="_Toc14408"/>
      <w:bookmarkStart w:id="2279" w:name="_Toc30983"/>
    </w:p>
    <w:p w14:paraId="397A3F32">
      <w:pPr>
        <w:pStyle w:val="7"/>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第三节  深化法治和诚信建设</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14:paraId="54694054">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21D7224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全面深化法治伊滨建设，将法治思维和法治方式贯穿于经济社会发展的全过程和各方面，营造稳定、公平、透明、可预期的法治化营商环境和</w:t>
      </w:r>
      <w:r>
        <w:rPr>
          <w:rFonts w:hint="eastAsia" w:ascii="仿宋_GB2312" w:hAnsi="仿宋_GB2312" w:eastAsia="仿宋_GB2312" w:cs="仿宋_GB2312"/>
          <w:b w:val="0"/>
          <w:bCs w:val="0"/>
          <w:lang w:val="en-US" w:eastAsia="zh-CN"/>
        </w:rPr>
        <w:t>诚信</w:t>
      </w:r>
      <w:r>
        <w:rPr>
          <w:rFonts w:hint="eastAsia" w:ascii="仿宋_GB2312" w:hAnsi="仿宋_GB2312" w:eastAsia="仿宋_GB2312" w:cs="仿宋_GB2312"/>
          <w:b w:val="0"/>
          <w:bCs w:val="0"/>
        </w:rPr>
        <w:t>社会环境。</w:t>
      </w:r>
    </w:p>
    <w:p w14:paraId="554AD1B6">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2280" w:name="_Toc215857987"/>
      <w:bookmarkStart w:id="2281" w:name="_Toc13701"/>
      <w:bookmarkStart w:id="2282" w:name="_Toc23397"/>
      <w:bookmarkStart w:id="2283" w:name="_Toc24123"/>
      <w:bookmarkStart w:id="2284" w:name="_Toc20695"/>
      <w:bookmarkStart w:id="2285" w:name="_Toc574918179"/>
      <w:bookmarkStart w:id="2286" w:name="_Toc9045"/>
      <w:bookmarkStart w:id="2287" w:name="_Toc27410"/>
      <w:bookmarkStart w:id="2288" w:name="_Toc6417"/>
      <w:bookmarkStart w:id="2289" w:name="_Toc31367"/>
      <w:bookmarkStart w:id="2290" w:name="_Toc32184"/>
      <w:bookmarkStart w:id="2291" w:name="_Toc4469"/>
      <w:bookmarkStart w:id="2292" w:name="_Toc133"/>
      <w:bookmarkStart w:id="2293" w:name="_Toc6670"/>
      <w:bookmarkStart w:id="2294" w:name="_Toc22185"/>
      <w:bookmarkStart w:id="2295" w:name="_Toc11173"/>
      <w:r>
        <w:rPr>
          <w:rFonts w:hint="eastAsia" w:ascii="仿宋_GB2312" w:hAnsi="仿宋_GB2312" w:eastAsia="仿宋_GB2312" w:cs="仿宋_GB2312"/>
          <w:b w:val="0"/>
          <w:bCs w:val="0"/>
        </w:rPr>
        <w:t>一、</w:t>
      </w:r>
      <w:bookmarkEnd w:id="2280"/>
      <w:bookmarkEnd w:id="2281"/>
      <w:r>
        <w:rPr>
          <w:rFonts w:hint="eastAsia" w:ascii="仿宋_GB2312" w:hAnsi="仿宋_GB2312" w:eastAsia="仿宋_GB2312" w:cs="仿宋_GB2312"/>
          <w:b w:val="0"/>
          <w:bCs w:val="0"/>
          <w:lang w:val="en-US" w:eastAsia="zh-CN"/>
        </w:rPr>
        <w:t>加强法治政府建设</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14:paraId="325C1DBE">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规范行政权力运行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持续深化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放管服</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改革，依法全面履行政府职能，推进政府权力清单制度，全面推进政务公开。严格落实重大行政决策法定程序，健全专家论证、风险评估、合法性审查、集体讨论决定等机制，确保决策的科学性和合法性。全面推进政务公开，特别是加大对科技扶持、人才补贴、政府采购等惠企惠才政策信息的公开力度，实现政策</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精准推送</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。深化行政执法体制改革，全面推行行政执法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三项制度</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。规范涉企执法行为，整治乱收费等突出问题，严禁违规异地执法、趋利性执法，健全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双随机</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与跨部门综合监管及守信激励失信惩戒机制，维护企业合法权益。深化府院府检联动。健全区管委会与法检机关协作机制，提前介入涉诉行政争议案件，推动实质性化解。</w:t>
      </w:r>
    </w:p>
    <w:p w14:paraId="12EDC7B6">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2296" w:name="_Toc215857988"/>
      <w:bookmarkStart w:id="2297" w:name="_Toc21695"/>
      <w:bookmarkStart w:id="2298" w:name="_Toc47795598"/>
      <w:bookmarkStart w:id="2299" w:name="_Toc21231"/>
      <w:bookmarkStart w:id="2300" w:name="_Toc15414"/>
      <w:bookmarkStart w:id="2301" w:name="_Toc30544"/>
      <w:bookmarkStart w:id="2302" w:name="_Toc25369"/>
      <w:bookmarkStart w:id="2303" w:name="_Toc5795"/>
      <w:bookmarkStart w:id="2304" w:name="_Toc12254"/>
      <w:bookmarkStart w:id="2305" w:name="_Toc15901"/>
      <w:bookmarkStart w:id="2306" w:name="_Toc6629"/>
      <w:bookmarkStart w:id="2307" w:name="_Toc18337"/>
      <w:bookmarkStart w:id="2308" w:name="_Toc21636"/>
      <w:bookmarkStart w:id="2309" w:name="_Toc21612"/>
      <w:bookmarkStart w:id="2310" w:name="_Toc17685"/>
      <w:r>
        <w:rPr>
          <w:rFonts w:hint="eastAsia" w:ascii="仿宋_GB2312" w:hAnsi="仿宋_GB2312" w:eastAsia="仿宋_GB2312" w:cs="仿宋_GB2312"/>
          <w:b w:val="0"/>
          <w:bCs w:val="0"/>
        </w:rPr>
        <w:t>二、</w:t>
      </w:r>
      <w:bookmarkEnd w:id="2296"/>
      <w:r>
        <w:rPr>
          <w:rFonts w:hint="eastAsia" w:ascii="仿宋_GB2312" w:hAnsi="仿宋_GB2312" w:eastAsia="仿宋_GB2312" w:cs="仿宋_GB2312"/>
          <w:b w:val="0"/>
          <w:bCs w:val="0"/>
          <w:lang w:val="en-US" w:eastAsia="zh-CN"/>
        </w:rPr>
        <w:t>深化法治机构建设</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14:paraId="471341BF">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rPr>
        <w:t>推进综治中心规范化建设，完善人防、物防、技防制度建设，逐步实现技防设施全域覆盖，加强物联感知和人工智能应用投入，不断提升社会治安防控体系智能化水平，打造高效能社会治理平台。</w:t>
      </w:r>
      <w:r>
        <w:rPr>
          <w:rFonts w:hint="eastAsia" w:ascii="仿宋_GB2312" w:hAnsi="仿宋_GB2312" w:eastAsia="仿宋_GB2312" w:cs="仿宋_GB2312"/>
          <w:b w:val="0"/>
          <w:bCs w:val="0"/>
          <w:color w:val="auto"/>
        </w:rPr>
        <w:t>强化乡镇（街道）法治综合平台建设，聚焦乡镇（街道）法治综合机构薄弱环节，深化司法所规范化建设，提升工作人员法治思维与履职能力。推动司法所转型，建设为统筹基层法治建设、承接法律事务、提供公共法律服务的综合性平台，筑牢基层法治工作根基。优化公共法律服务体系效能，进一步升级洛阳市法律援助中心伊滨工作站服务质效，拓宽法律援助覆盖面，提升咨询与援助服务水平。优化公证业务流程，提供高效便捷服务。组建专业法律服务团队，定向深入企业、学校等场景开展法治宣传，精准对接群众与市场主体法律需求。 深化基层人民调解委员会建设，推进村（社区）调委会规范化建设，优化调解员年龄与专业结构，吸纳</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五老人员</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、法律顾问等加入队伍，加强调解员系统培训。打造特色调解工作室，健全矛盾纠纷常态化排查机制，提升就地化解能力，推动新时代</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枫桥经验</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本土化实践，助力社会和谐稳定。</w:t>
      </w:r>
    </w:p>
    <w:p w14:paraId="48CE11CE">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311" w:name="_Toc215857989"/>
      <w:bookmarkStart w:id="2312" w:name="_Toc9104"/>
      <w:bookmarkStart w:id="2313" w:name="_Toc796984468"/>
      <w:bookmarkStart w:id="2314" w:name="_Toc22350"/>
      <w:bookmarkStart w:id="2315" w:name="_Toc32595"/>
      <w:bookmarkStart w:id="2316" w:name="_Toc4844"/>
      <w:bookmarkStart w:id="2317" w:name="_Toc14283"/>
      <w:bookmarkStart w:id="2318" w:name="_Toc30779"/>
      <w:bookmarkStart w:id="2319" w:name="_Toc24049"/>
      <w:bookmarkStart w:id="2320" w:name="_Toc1072"/>
      <w:bookmarkStart w:id="2321" w:name="_Toc3974"/>
      <w:bookmarkStart w:id="2322" w:name="_Toc19689"/>
      <w:bookmarkStart w:id="2323" w:name="_Toc21947"/>
      <w:bookmarkStart w:id="2324" w:name="_Toc14401"/>
      <w:bookmarkStart w:id="2325" w:name="_Toc11516"/>
      <w:bookmarkStart w:id="2326" w:name="_Toc13272"/>
      <w:r>
        <w:rPr>
          <w:rFonts w:hint="eastAsia" w:ascii="仿宋_GB2312" w:hAnsi="仿宋_GB2312" w:eastAsia="仿宋_GB2312" w:cs="仿宋_GB2312"/>
          <w:b w:val="0"/>
          <w:bCs w:val="0"/>
        </w:rPr>
        <w:t>三、</w:t>
      </w:r>
      <w:bookmarkEnd w:id="2311"/>
      <w:bookmarkEnd w:id="2312"/>
      <w:r>
        <w:rPr>
          <w:rFonts w:hint="eastAsia" w:ascii="仿宋_GB2312" w:hAnsi="仿宋_GB2312" w:eastAsia="仿宋_GB2312" w:cs="仿宋_GB2312"/>
          <w:b w:val="0"/>
          <w:bCs w:val="0"/>
          <w:lang w:eastAsia="zh-CN"/>
        </w:rPr>
        <w:t>推进</w:t>
      </w:r>
      <w:r>
        <w:rPr>
          <w:rFonts w:hint="eastAsia" w:ascii="仿宋_GB2312" w:hAnsi="仿宋_GB2312" w:eastAsia="仿宋_GB2312" w:cs="仿宋_GB2312"/>
          <w:b w:val="0"/>
          <w:bCs w:val="0"/>
        </w:rPr>
        <w:t>法治社会</w:t>
      </w:r>
      <w:r>
        <w:rPr>
          <w:rFonts w:hint="eastAsia" w:ascii="仿宋_GB2312" w:hAnsi="仿宋_GB2312" w:eastAsia="仿宋_GB2312" w:cs="仿宋_GB2312"/>
          <w:b w:val="0"/>
          <w:bCs w:val="0"/>
          <w:lang w:eastAsia="zh-CN"/>
        </w:rPr>
        <w:t>建设</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14:paraId="248DE86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以习近平法治思想为引领，推进法治社会建设提质增效。提升公民法治素养，深化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智慧普法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建设，落实</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谁执法谁普法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责任制，聚焦青少年、企业职工等重点群体开展精准普法，引导群众遇事找法、解决问题靠法。弘扬法治文化，推动法治文化与传统文化、红色文化深度融合，丰富法治文艺作品供给，建强基层法治文化阵地，营造守法光荣、违法可耻的社会氛围。推进社会规范建设，健全居民公约、村规民约等自治规范，完善行业规章和社会组织章程，强化规范实施监督，以良规促进善治，提升社会治理法治化水平。</w:t>
      </w:r>
    </w:p>
    <w:p w14:paraId="4080F06F">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rPr>
      </w:pPr>
      <w:bookmarkStart w:id="2327" w:name="_Toc921337359"/>
      <w:bookmarkStart w:id="2328" w:name="_Toc14563"/>
      <w:bookmarkStart w:id="2329" w:name="_Toc18255"/>
      <w:bookmarkStart w:id="2330" w:name="_Toc31212"/>
      <w:bookmarkStart w:id="2331" w:name="_Toc18971"/>
      <w:bookmarkStart w:id="2332" w:name="_Toc3469"/>
      <w:bookmarkStart w:id="2333" w:name="_Toc30040"/>
      <w:bookmarkStart w:id="2334" w:name="_Toc30400"/>
      <w:r>
        <w:rPr>
          <w:rFonts w:hint="eastAsia" w:ascii="仿宋_GB2312" w:hAnsi="仿宋_GB2312" w:eastAsia="仿宋_GB2312" w:cs="仿宋_GB2312"/>
          <w:b w:val="0"/>
          <w:bCs w:val="0"/>
          <w:lang w:val="en-US" w:eastAsia="zh-CN"/>
        </w:rPr>
        <w:t>四、强化社会诚信建设</w:t>
      </w:r>
      <w:bookmarkEnd w:id="2327"/>
      <w:bookmarkEnd w:id="2328"/>
      <w:bookmarkEnd w:id="2329"/>
      <w:bookmarkEnd w:id="2330"/>
      <w:bookmarkEnd w:id="2331"/>
      <w:bookmarkEnd w:id="2332"/>
      <w:bookmarkEnd w:id="2333"/>
      <w:bookmarkEnd w:id="2334"/>
    </w:p>
    <w:p w14:paraId="6B1A190F">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常态化开展信用体系建设，对市场主体开展全覆盖、标准化公共信用综合评价。加强信用信息平台建设，整合各类信用信息资源，实现信用信息的归集、共享和公示。建立健全信用监管制度，完善信用评价指标体系，对企业开展信用评价，实施信用分级分类监管。建立信用修复制度，明确信用修复的条件、程序和方式，鼓励失信企业主动纠正失信行为，重塑良好信用。开展诚信宣传教育活动，推动中小微企业入驻洛阳市企业融资综合信用服务平台，积极组织响应洛阳市“诚信民营企业”和“诚信建设先进个人”评选等活动。</w:t>
      </w:r>
      <w:bookmarkStart w:id="2335" w:name="_Toc28706"/>
      <w:bookmarkStart w:id="2336" w:name="_Toc192908620"/>
      <w:bookmarkStart w:id="2337" w:name="_Toc16234"/>
      <w:bookmarkStart w:id="2338" w:name="_Toc11395"/>
      <w:bookmarkStart w:id="2339" w:name="_Toc18287"/>
      <w:bookmarkStart w:id="2340" w:name="_Toc13396"/>
      <w:bookmarkStart w:id="2341" w:name="_Toc11758"/>
      <w:bookmarkStart w:id="2342" w:name="_Toc9924"/>
      <w:bookmarkStart w:id="2343" w:name="_Toc215857990"/>
      <w:bookmarkStart w:id="2344" w:name="_Toc20489"/>
    </w:p>
    <w:p w14:paraId="247679E0">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p>
    <w:p w14:paraId="1FE881A6">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rPr>
        <w:t xml:space="preserve">第四节 </w:t>
      </w:r>
      <w:r>
        <w:rPr>
          <w:rFonts w:hint="eastAsia" w:ascii="黑体" w:hAnsi="黑体" w:eastAsia="黑体" w:cs="黑体"/>
          <w:b w:val="0"/>
          <w:bCs w:val="0"/>
          <w:lang w:val="en-US" w:eastAsia="zh-CN"/>
        </w:rPr>
        <w:t xml:space="preserve"> 强化经济安全保障</w:t>
      </w:r>
      <w:bookmarkEnd w:id="2335"/>
      <w:bookmarkEnd w:id="2336"/>
      <w:bookmarkEnd w:id="2337"/>
      <w:bookmarkEnd w:id="2338"/>
      <w:bookmarkEnd w:id="2339"/>
      <w:bookmarkEnd w:id="2340"/>
      <w:bookmarkEnd w:id="2341"/>
      <w:bookmarkEnd w:id="2342"/>
    </w:p>
    <w:p w14:paraId="7E22BBC1">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2345" w:name="_Toc2097114342"/>
      <w:bookmarkStart w:id="2346" w:name="_Toc27166"/>
      <w:bookmarkStart w:id="2347" w:name="_Toc31001"/>
      <w:bookmarkStart w:id="2348" w:name="_Toc6156"/>
      <w:bookmarkStart w:id="2349" w:name="_Toc7122"/>
      <w:bookmarkStart w:id="2350" w:name="_Toc27733"/>
      <w:bookmarkStart w:id="2351" w:name="_Toc22865"/>
      <w:bookmarkStart w:id="2352" w:name="_Toc31385"/>
    </w:p>
    <w:p w14:paraId="54E443F4">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一、坚决扛牢粮食安全责任</w:t>
      </w:r>
      <w:bookmarkEnd w:id="2345"/>
      <w:bookmarkEnd w:id="2346"/>
      <w:bookmarkEnd w:id="2347"/>
      <w:bookmarkEnd w:id="2348"/>
      <w:bookmarkEnd w:id="2349"/>
      <w:bookmarkEnd w:id="2350"/>
      <w:bookmarkEnd w:id="2351"/>
      <w:bookmarkEnd w:id="2352"/>
    </w:p>
    <w:p w14:paraId="412F62F0">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lang w:val="en-US" w:eastAsia="zh-CN"/>
        </w:rPr>
        <w:t>深入实施“藏粮于地、藏粮于技”战略，严格落实耕地保护和粮食安</w:t>
      </w:r>
      <w:r>
        <w:rPr>
          <w:rFonts w:hint="eastAsia" w:ascii="仿宋_GB2312" w:hAnsi="仿宋_GB2312" w:eastAsia="仿宋_GB2312" w:cs="仿宋_GB2312"/>
          <w:b w:val="0"/>
          <w:bCs w:val="0"/>
          <w:color w:val="auto"/>
          <w:lang w:val="en-US" w:eastAsia="zh-CN"/>
        </w:rPr>
        <w:t>全党政同责，统筹农用地布局优化，严格落实耕地总量管控和“以补定占”政策，健全补充耕地质量验收机制和休耕轮作制度，加强撂荒地监测和复垦利用，强化耕地种植用途管控。统筹做好粮食市场化收购和政策性收储，优化粮食储备品种结构和区域布局，强化政府储备和企业储备互补，加强现代粮食仓储物流设施建设。健全粮食应急保障体系，建设区域性粮食应急保障中心。推动粮食等重要农产品价格保持在合理水平，完善农资保供稳价应对机制。</w:t>
      </w:r>
      <w:bookmarkStart w:id="2353" w:name="_Toc7639"/>
      <w:bookmarkStart w:id="2354" w:name="_Toc27342"/>
      <w:bookmarkStart w:id="2355" w:name="_Toc27823"/>
      <w:bookmarkStart w:id="2356" w:name="_Toc24384"/>
      <w:bookmarkStart w:id="2357" w:name="_Toc1024036554"/>
      <w:bookmarkStart w:id="2358" w:name="_Toc8155"/>
      <w:bookmarkStart w:id="2359" w:name="_Toc15890"/>
      <w:bookmarkStart w:id="2360" w:name="_Toc29415"/>
    </w:p>
    <w:p w14:paraId="229032F1">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color w:val="auto"/>
          <w:lang w:val="en-US" w:eastAsia="zh-CN"/>
        </w:rPr>
        <w:t>二、防范化解重点领域风险</w:t>
      </w:r>
      <w:bookmarkEnd w:id="2353"/>
      <w:bookmarkEnd w:id="2354"/>
      <w:bookmarkEnd w:id="2355"/>
      <w:bookmarkEnd w:id="2356"/>
      <w:bookmarkEnd w:id="2357"/>
      <w:bookmarkEnd w:id="2358"/>
      <w:bookmarkEnd w:id="2359"/>
      <w:bookmarkEnd w:id="2360"/>
    </w:p>
    <w:p w14:paraId="16CB001A">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lang w:val="en-US" w:eastAsia="zh-CN"/>
        </w:rPr>
        <w:t>强化源头防控、预判预警、早期纠正，统筹推进房地产、地方政府债务、中小金融机构等风险有序化解，防止各类风险跨领域、跨市场传递共振。因地制宜调整优化房地产政策，加快房地产市场存量风险出清。建立同高质量发展相适应的政府</w:t>
      </w:r>
      <w:r>
        <w:rPr>
          <w:rFonts w:hint="eastAsia" w:ascii="仿宋_GB2312" w:hAnsi="仿宋_GB2312" w:eastAsia="仿宋_GB2312" w:cs="仿宋_GB2312"/>
          <w:b w:val="0"/>
          <w:bCs w:val="0"/>
          <w:lang w:val="en-US" w:eastAsia="zh-CN"/>
        </w:rPr>
        <w:t>债务管理长效机制，加强全口径地方债务监测监管，防范化解隐性债务风险，坚决遏制新增地方政府隐性债务。进一步压降高风险机构数量，加大非法集资等非法金融活动的防范打击力度，加强金融消费者权益保护。</w:t>
      </w:r>
    </w:p>
    <w:p w14:paraId="6F8411A4">
      <w:pPr>
        <w:pStyle w:val="8"/>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bookmarkStart w:id="2361" w:name="_Toc25966"/>
      <w:bookmarkStart w:id="2362" w:name="_Toc1067745510"/>
      <w:bookmarkStart w:id="2363" w:name="_Toc1646"/>
      <w:bookmarkStart w:id="2364" w:name="_Toc11073"/>
      <w:bookmarkStart w:id="2365" w:name="_Toc11922"/>
      <w:bookmarkStart w:id="2366" w:name="_Toc4848"/>
      <w:bookmarkStart w:id="2367" w:name="_Toc17842"/>
      <w:bookmarkStart w:id="2368" w:name="_Toc11848"/>
      <w:r>
        <w:rPr>
          <w:rFonts w:hint="eastAsia" w:ascii="仿宋_GB2312" w:hAnsi="仿宋_GB2312" w:eastAsia="仿宋_GB2312" w:cs="仿宋_GB2312"/>
          <w:b w:val="0"/>
          <w:bCs w:val="0"/>
          <w:lang w:val="en-US" w:eastAsia="zh-CN"/>
        </w:rPr>
        <w:t>三、加强网络和数据安全</w:t>
      </w:r>
      <w:bookmarkEnd w:id="2361"/>
      <w:bookmarkEnd w:id="2362"/>
      <w:bookmarkEnd w:id="2363"/>
      <w:bookmarkEnd w:id="2364"/>
      <w:bookmarkEnd w:id="2365"/>
      <w:bookmarkEnd w:id="2366"/>
      <w:bookmarkEnd w:id="2367"/>
      <w:bookmarkEnd w:id="2368"/>
    </w:p>
    <w:p w14:paraId="69D6CD57">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深化网络空间安全综合治理，加强网络安全基础设施和监测预警体系建设，完善网络安全等级保护、关键基础设施信息安全保护等制度</w:t>
      </w:r>
      <w:r>
        <w:rPr>
          <w:rFonts w:hint="eastAsia" w:ascii="仿宋_GB2312" w:hAnsi="仿宋_GB2312" w:eastAsia="仿宋_GB2312" w:cs="仿宋_GB2312"/>
          <w:b w:val="0"/>
          <w:bCs w:val="0"/>
          <w:highlight w:val="none"/>
          <w:lang w:val="en-US" w:eastAsia="zh-CN"/>
        </w:rPr>
        <w:t>，建设重点</w:t>
      </w:r>
      <w:r>
        <w:rPr>
          <w:rFonts w:hint="eastAsia" w:ascii="仿宋_GB2312" w:hAnsi="仿宋_GB2312" w:eastAsia="仿宋_GB2312" w:cs="仿宋_GB2312"/>
          <w:b w:val="0"/>
          <w:bCs w:val="0"/>
          <w:lang w:val="en-US" w:eastAsia="zh-CN"/>
        </w:rPr>
        <w:t>领域网络安全应急支撑矩阵，强化跨领域网络安全信息共享和工作协同，提升网络安全威胁发现、监测预警、应急指挥、攻击溯源能力。加强数据全生命周期安全管理，完善数据分类分级、风险评估、安全审查等基础制度，建设重点行业领域数据容灾备份体系，加强工业控制系统和新技术新应用网络安全防护。提升跨境数据安全监管能力。加强个人信息保护。探索建立人工智能数据安全治理机制，健全算法督察、透明度管理、安全评估等制度。</w:t>
      </w:r>
    </w:p>
    <w:p w14:paraId="0F5FBC1A">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369" w:name="_Toc27742"/>
      <w:bookmarkStart w:id="2370" w:name="_Toc881"/>
      <w:bookmarkStart w:id="2371" w:name="_Toc16428"/>
      <w:bookmarkStart w:id="2372" w:name="_Toc172499323"/>
      <w:bookmarkStart w:id="2373" w:name="_Toc19722"/>
      <w:bookmarkStart w:id="2374" w:name="_Toc16189"/>
      <w:bookmarkStart w:id="2375" w:name="_Toc1056"/>
      <w:bookmarkStart w:id="2376" w:name="_Toc12029"/>
    </w:p>
    <w:p w14:paraId="6D1978A0">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第五节 </w:t>
      </w:r>
      <w:bookmarkEnd w:id="2343"/>
      <w:bookmarkEnd w:id="2344"/>
      <w:r>
        <w:rPr>
          <w:rFonts w:hint="eastAsia" w:ascii="黑体" w:hAnsi="黑体" w:eastAsia="黑体" w:cs="黑体"/>
          <w:b w:val="0"/>
          <w:bCs w:val="0"/>
          <w:lang w:val="en-US" w:eastAsia="zh-CN"/>
        </w:rPr>
        <w:t xml:space="preserve"> 营造安定有序的社会环境</w:t>
      </w:r>
      <w:bookmarkEnd w:id="2369"/>
      <w:bookmarkEnd w:id="2370"/>
      <w:bookmarkEnd w:id="2371"/>
      <w:bookmarkEnd w:id="2372"/>
      <w:bookmarkEnd w:id="2373"/>
      <w:bookmarkEnd w:id="2374"/>
      <w:bookmarkEnd w:id="2375"/>
      <w:bookmarkEnd w:id="2376"/>
    </w:p>
    <w:p w14:paraId="75843982">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01FE984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坚持人民至上、生命至上，树牢总体国家安全观，以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时时放心不下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的责任感，统筹发展和安全，健全公共安全体系，提升防灾减灾救灾和重大突发公共事件处置保障能力，建设更高水平的平安伊滨。</w:t>
      </w:r>
      <w:bookmarkStart w:id="2377" w:name="_Toc28866"/>
      <w:bookmarkStart w:id="2378" w:name="_Toc215857991"/>
      <w:bookmarkStart w:id="2379" w:name="_Toc18238"/>
      <w:bookmarkStart w:id="2380" w:name="_Toc1769229581"/>
      <w:bookmarkStart w:id="2381" w:name="_Toc26479"/>
      <w:bookmarkStart w:id="2382" w:name="_Toc303"/>
      <w:bookmarkStart w:id="2383" w:name="_Toc24653"/>
      <w:bookmarkStart w:id="2384" w:name="_Toc14698"/>
      <w:bookmarkStart w:id="2385" w:name="_Toc26839"/>
      <w:bookmarkStart w:id="2386" w:name="_Toc930"/>
    </w:p>
    <w:p w14:paraId="5C2CDE30">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rPr>
        <w:t>一、</w:t>
      </w:r>
      <w:bookmarkEnd w:id="2377"/>
      <w:bookmarkEnd w:id="2378"/>
      <w:r>
        <w:rPr>
          <w:rFonts w:hint="eastAsia" w:ascii="仿宋_GB2312" w:hAnsi="仿宋_GB2312" w:eastAsia="仿宋_GB2312" w:cs="仿宋_GB2312"/>
          <w:b w:val="0"/>
          <w:bCs w:val="0"/>
          <w:lang w:val="en-US" w:eastAsia="zh-CN"/>
        </w:rPr>
        <w:t>提高</w:t>
      </w:r>
      <w:r>
        <w:rPr>
          <w:rFonts w:hint="eastAsia" w:ascii="仿宋_GB2312" w:hAnsi="仿宋_GB2312" w:eastAsia="仿宋_GB2312" w:cs="仿宋_GB2312"/>
          <w:b w:val="0"/>
          <w:bCs w:val="0"/>
          <w:lang w:eastAsia="zh-CN"/>
        </w:rPr>
        <w:t>社会稳定治理</w:t>
      </w:r>
      <w:r>
        <w:rPr>
          <w:rFonts w:hint="eastAsia" w:ascii="仿宋_GB2312" w:hAnsi="仿宋_GB2312" w:eastAsia="仿宋_GB2312" w:cs="仿宋_GB2312"/>
          <w:b w:val="0"/>
          <w:bCs w:val="0"/>
          <w:lang w:val="en-US" w:eastAsia="zh-CN"/>
        </w:rPr>
        <w:t>水平</w:t>
      </w:r>
      <w:bookmarkEnd w:id="2379"/>
      <w:bookmarkEnd w:id="2380"/>
      <w:bookmarkEnd w:id="2381"/>
      <w:bookmarkEnd w:id="2382"/>
      <w:bookmarkEnd w:id="2383"/>
      <w:bookmarkEnd w:id="2384"/>
      <w:bookmarkEnd w:id="2385"/>
      <w:bookmarkEnd w:id="2386"/>
    </w:p>
    <w:p w14:paraId="5818E6BD">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坚持总体国家安全观，强化全民保密和国防教育，不断提升国防意识，筑牢国家安全人民防线。做好重点群体、特殊利益群体管控，守牢政治安全底线。坚持和发展新时代</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枫桥经验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，畅通群众诉求反映渠道，推进信访工作法治化，进一步完善推广</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庭所联动</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机制，行政争议庭前会商解纷机制，拓宽多元矛盾纠纷化解渠道。坚持</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打防并举</w:t>
      </w:r>
      <w:r>
        <w:rPr>
          <w:rFonts w:hint="eastAsia" w:ascii="仿宋_GB2312" w:hAnsi="仿宋_GB2312" w:eastAsia="仿宋_GB2312" w:cs="仿宋_GB2312"/>
          <w:b w:val="0"/>
          <w:bCs w:val="0"/>
          <w:spacing w:val="-4"/>
          <w:sz w:val="32"/>
          <w:lang w:eastAsia="zh-CN"/>
        </w:rPr>
        <w:t>”</w:t>
      </w:r>
      <w:r>
        <w:rPr>
          <w:rFonts w:hint="eastAsia" w:ascii="仿宋_GB2312" w:hAnsi="仿宋_GB2312" w:eastAsia="仿宋_GB2312" w:cs="仿宋_GB2312"/>
          <w:b w:val="0"/>
          <w:bCs w:val="0"/>
          <w:spacing w:val="-4"/>
          <w:sz w:val="32"/>
        </w:rPr>
        <w:t>，常态化开展扫黑除恶斗争，常态</w:t>
      </w:r>
      <w:r>
        <w:rPr>
          <w:rFonts w:hint="eastAsia" w:ascii="仿宋_GB2312" w:hAnsi="仿宋_GB2312" w:eastAsia="仿宋_GB2312" w:cs="仿宋_GB2312"/>
          <w:b w:val="0"/>
          <w:bCs w:val="0"/>
        </w:rPr>
        <w:t>化打击处置电信网络诈骗、非法集资、合同诈骗等涉企、涉众经济犯罪行为。完善社会心理服务体系和危机干预机制，关注青少年群体的心理健康，防范杜绝青少年违法犯罪行为的滋生蔓延。</w:t>
      </w:r>
    </w:p>
    <w:p w14:paraId="318BBDA0">
      <w:pPr>
        <w:pStyle w:val="8"/>
        <w:pageBreakBefore w:val="0"/>
        <w:widowControl w:val="0"/>
        <w:kinsoku/>
        <w:wordWrap/>
        <w:topLinePunct w:val="0"/>
        <w:bidi w:val="0"/>
        <w:spacing w:line="600" w:lineRule="exact"/>
        <w:rPr>
          <w:rFonts w:hint="eastAsia" w:ascii="仿宋_GB2312" w:hAnsi="仿宋_GB2312" w:eastAsia="仿宋_GB2312" w:cs="仿宋_GB2312"/>
          <w:b w:val="0"/>
          <w:bCs w:val="0"/>
        </w:rPr>
      </w:pPr>
      <w:bookmarkStart w:id="2387" w:name="_Toc14323"/>
      <w:bookmarkStart w:id="2388" w:name="_Toc15635"/>
      <w:bookmarkStart w:id="2389" w:name="_Toc1127401643"/>
      <w:bookmarkStart w:id="2390" w:name="_Toc15967"/>
      <w:bookmarkStart w:id="2391" w:name="_Toc18104"/>
      <w:bookmarkStart w:id="2392" w:name="_Toc215857992"/>
      <w:bookmarkStart w:id="2393" w:name="_Toc29812"/>
      <w:bookmarkStart w:id="2394" w:name="_Toc17388"/>
      <w:bookmarkStart w:id="2395" w:name="_Toc8534"/>
      <w:bookmarkStart w:id="2396" w:name="_Toc21692"/>
      <w:r>
        <w:rPr>
          <w:rFonts w:hint="eastAsia" w:ascii="仿宋_GB2312" w:hAnsi="仿宋_GB2312" w:eastAsia="仿宋_GB2312" w:cs="仿宋_GB2312"/>
          <w:b w:val="0"/>
          <w:bCs w:val="0"/>
        </w:rPr>
        <w:t>二、强化安全生产管理</w:t>
      </w:r>
      <w:bookmarkEnd w:id="2387"/>
      <w:bookmarkEnd w:id="2388"/>
      <w:bookmarkEnd w:id="2389"/>
      <w:bookmarkEnd w:id="2390"/>
      <w:bookmarkEnd w:id="2391"/>
      <w:bookmarkEnd w:id="2392"/>
      <w:bookmarkEnd w:id="2393"/>
      <w:bookmarkEnd w:id="2394"/>
      <w:bookmarkEnd w:id="2395"/>
      <w:bookmarkEnd w:id="2396"/>
    </w:p>
    <w:p w14:paraId="7BB97CD2">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健全安全生产责任体系。贯彻落实《</w:t>
      </w:r>
      <w:r>
        <w:rPr>
          <w:rFonts w:hint="eastAsia" w:ascii="仿宋_GB2312" w:hAnsi="仿宋_GB2312" w:eastAsia="仿宋_GB2312" w:cs="仿宋_GB2312"/>
          <w:b w:val="0"/>
          <w:bCs w:val="0"/>
          <w:lang w:eastAsia="zh-CN"/>
        </w:rPr>
        <w:t>中华人民共和国安全生产法</w:t>
      </w:r>
      <w:r>
        <w:rPr>
          <w:rFonts w:hint="eastAsia" w:ascii="仿宋_GB2312" w:hAnsi="仿宋_GB2312" w:eastAsia="仿宋_GB2312" w:cs="仿宋_GB2312"/>
          <w:b w:val="0"/>
          <w:bCs w:val="0"/>
        </w:rPr>
        <w:t>》等法律法规，严格落实</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党政同责、一岗双责、齐抓共管、失职追责</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和</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三管三必须</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要求。深化治本攻坚行动，完善风险分级管控和隐患排查治理双重预防机制。加</w:t>
      </w:r>
      <w:r>
        <w:rPr>
          <w:rFonts w:hint="eastAsia" w:ascii="仿宋_GB2312" w:hAnsi="仿宋_GB2312" w:eastAsia="仿宋_GB2312" w:cs="仿宋_GB2312"/>
          <w:b w:val="0"/>
          <w:bCs w:val="0"/>
          <w:lang w:val="en-US" w:eastAsia="zh-CN"/>
        </w:rPr>
        <w:t>大</w:t>
      </w:r>
      <w:r>
        <w:rPr>
          <w:rFonts w:hint="eastAsia" w:ascii="仿宋_GB2312" w:hAnsi="仿宋_GB2312" w:eastAsia="仿宋_GB2312" w:cs="仿宋_GB2312"/>
          <w:b w:val="0"/>
          <w:bCs w:val="0"/>
        </w:rPr>
        <w:t>安全监管执法力度，落实企业安全生产主体责任。聚焦建筑施工、道路交通、城镇燃气等传统高危行业的同时，高度关注以中州时代为代表的新能源行业、钢制家具产业园为代表的传统产业领域的安全风险，以高水平安全护航伊滨高质量发展。推动安全生产监管模式向事前预防转型，大力推广</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工业互联网+安全生产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大数据+安全监管</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人工智能+应急管理</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等智能化监管模式，推动安全生产领域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智能化换人、机械化减人</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向纵深推进。加强教育培训服务，强化对全行业领域生产经营单位的安全生产指导，坚决防范和遏制重特大安全事故发生。</w:t>
      </w:r>
      <w:bookmarkStart w:id="2397" w:name="_Toc8096"/>
      <w:bookmarkStart w:id="2398" w:name="_Toc25005"/>
      <w:bookmarkStart w:id="2399" w:name="_Toc26154"/>
      <w:bookmarkStart w:id="2400" w:name="_Toc516215925"/>
      <w:bookmarkStart w:id="2401" w:name="_Toc7551"/>
      <w:bookmarkStart w:id="2402" w:name="_Toc215857993"/>
      <w:bookmarkStart w:id="2403" w:name="_Toc16586"/>
      <w:bookmarkStart w:id="2404" w:name="_Toc4665"/>
      <w:bookmarkStart w:id="2405" w:name="_Toc31140"/>
      <w:bookmarkStart w:id="2406" w:name="_Toc28060"/>
    </w:p>
    <w:p w14:paraId="1F8E1D35">
      <w:pPr>
        <w:pageBreakBefore w:val="0"/>
        <w:widowControl w:val="0"/>
        <w:kinsoku/>
        <w:wordWrap/>
        <w:topLinePunct w:val="0"/>
        <w:bidi w:val="0"/>
        <w:spacing w:line="600" w:lineRule="exac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三、加强</w:t>
      </w:r>
      <w:r>
        <w:rPr>
          <w:rFonts w:hint="eastAsia" w:ascii="仿宋_GB2312" w:hAnsi="仿宋_GB2312" w:eastAsia="仿宋_GB2312" w:cs="仿宋_GB2312"/>
          <w:b w:val="0"/>
          <w:bCs w:val="0"/>
        </w:rPr>
        <w:t>应急</w:t>
      </w:r>
      <w:bookmarkEnd w:id="2397"/>
      <w:r>
        <w:rPr>
          <w:rFonts w:hint="eastAsia" w:ascii="仿宋_GB2312" w:hAnsi="仿宋_GB2312" w:eastAsia="仿宋_GB2312" w:cs="仿宋_GB2312"/>
          <w:b w:val="0"/>
          <w:bCs w:val="0"/>
          <w:lang w:val="en-US" w:eastAsia="zh-CN"/>
        </w:rPr>
        <w:t>管理</w:t>
      </w:r>
      <w:r>
        <w:rPr>
          <w:rFonts w:hint="eastAsia" w:ascii="仿宋_GB2312" w:hAnsi="仿宋_GB2312" w:eastAsia="仿宋_GB2312" w:cs="仿宋_GB2312"/>
          <w:b w:val="0"/>
          <w:bCs w:val="0"/>
        </w:rPr>
        <w:t>能力</w:t>
      </w:r>
      <w:bookmarkEnd w:id="2398"/>
      <w:bookmarkEnd w:id="2399"/>
      <w:bookmarkEnd w:id="2400"/>
      <w:bookmarkEnd w:id="2401"/>
      <w:bookmarkEnd w:id="2402"/>
      <w:bookmarkEnd w:id="2403"/>
      <w:bookmarkEnd w:id="2404"/>
      <w:bookmarkEnd w:id="2405"/>
      <w:bookmarkEnd w:id="2406"/>
    </w:p>
    <w:p w14:paraId="72F2B36A">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持续提升基层应急管理能力，按照</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统一指挥、上下联动、平战结合、反应灵敏</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原则，修编完善区级总体应急预案和各专项预案，建立健全灾害预警信息发布机制。建设一体化应急指挥通信网络，利用数字技术，开展灾害情景模拟和智能推演，优化救援方案。加强森林防火、防汛工作监测预警能力建设，推广应用先进的监测预警技术、应急救援装备和信息化管理系统，整合各类监测资源，构建空天地面一体的立体化监测网络，实现灾情动态监控无死角。加强针对火灾、洪涝等自然灾害和产业事故、公共卫生事件的实战化应急演练。加强应急救援队伍建设，鼓励和引导镇（街道）具备无人机操作、无线电通讯、医疗急救等专业技能的专业人才加入志愿者应急队伍。建立健全应急物资保障体系，完善应急指挥、救援全链条管理，定期进行常规物资补充保养，强化应急物资储备和管理，优化储备布局和品种结构，适当储备针对高科技企业特殊需求的应急物资。加强教育培训宣传，深入开展安全文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五进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活动。利用线上平台定期推送安全管理、安全科普、应急自救知识，开展形式多样的安全宣传教育活动，讲好伊滨应急故事，传播伊滨应急声音。</w:t>
      </w:r>
    </w:p>
    <w:p w14:paraId="5FF0719C">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63D9E6F0">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bookmarkStart w:id="2407" w:name="_Toc20802"/>
      <w:bookmarkStart w:id="2408" w:name="_Toc5112"/>
      <w:bookmarkStart w:id="2409" w:name="_Toc12402"/>
      <w:bookmarkStart w:id="2410" w:name="_Toc9179"/>
      <w:bookmarkStart w:id="2411" w:name="_Toc215857994"/>
      <w:bookmarkStart w:id="2412" w:name="_Toc1263072808"/>
      <w:bookmarkStart w:id="2413" w:name="_Toc28843"/>
      <w:bookmarkStart w:id="2414" w:name="_Toc3514"/>
      <w:bookmarkStart w:id="2415" w:name="_Toc16293"/>
      <w:bookmarkStart w:id="2416" w:name="_Toc32341"/>
      <w:bookmarkStart w:id="2417" w:name="_Toc13743"/>
      <w:bookmarkStart w:id="2418" w:name="_Toc19199"/>
      <w:bookmarkStart w:id="2419" w:name="_Toc4912"/>
      <w:bookmarkStart w:id="2420" w:name="_Toc27628"/>
      <w:bookmarkStart w:id="2421" w:name="_Toc25874"/>
      <w:bookmarkStart w:id="2422" w:name="_Toc19774"/>
      <w:r>
        <w:rPr>
          <w:rFonts w:hint="eastAsia" w:ascii="黑体" w:hAnsi="黑体" w:eastAsia="黑体" w:cs="黑体"/>
          <w:b w:val="0"/>
          <w:bCs w:val="0"/>
          <w:lang w:val="en-US" w:eastAsia="zh-CN"/>
        </w:rPr>
        <w:t>第十二章</w:t>
      </w:r>
      <w:bookmarkEnd w:id="2407"/>
      <w:bookmarkEnd w:id="2408"/>
      <w:bookmarkEnd w:id="2409"/>
      <w:bookmarkEnd w:id="2410"/>
      <w:bookmarkEnd w:id="2411"/>
      <w:r>
        <w:rPr>
          <w:rFonts w:hint="eastAsia" w:ascii="黑体" w:hAnsi="黑体" w:eastAsia="黑体" w:cs="黑体"/>
          <w:b w:val="0"/>
          <w:bCs w:val="0"/>
          <w:lang w:val="en-US" w:eastAsia="zh-CN"/>
        </w:rPr>
        <w:t xml:space="preserve">  坚持规划引领，强化实施保障</w:t>
      </w:r>
      <w:bookmarkEnd w:id="2412"/>
      <w:bookmarkEnd w:id="2413"/>
      <w:bookmarkEnd w:id="2414"/>
      <w:bookmarkEnd w:id="2415"/>
      <w:bookmarkEnd w:id="2416"/>
      <w:bookmarkEnd w:id="2417"/>
      <w:bookmarkEnd w:id="2418"/>
      <w:bookmarkEnd w:id="2419"/>
      <w:bookmarkEnd w:id="2420"/>
      <w:bookmarkEnd w:id="2421"/>
      <w:bookmarkEnd w:id="2422"/>
    </w:p>
    <w:p w14:paraId="2DA3A9A6">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2D90AC1A">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坚持和加强党的全面领导，创新规划实施方式，健全政策协调和工作协同机制，凝聚全区人民的智慧与力量，确保规划确定的各项目标任务落到实处。</w:t>
      </w:r>
      <w:bookmarkStart w:id="2423" w:name="_Toc25739"/>
      <w:bookmarkStart w:id="2424" w:name="_Toc12226"/>
      <w:bookmarkStart w:id="2425" w:name="_Toc31870"/>
      <w:bookmarkStart w:id="2426" w:name="_Toc20013"/>
      <w:bookmarkStart w:id="2427" w:name="_Toc20758"/>
      <w:bookmarkStart w:id="2428" w:name="_Toc30217"/>
      <w:bookmarkStart w:id="2429" w:name="_Toc3701"/>
      <w:bookmarkStart w:id="2430" w:name="_Toc29366"/>
      <w:bookmarkStart w:id="2431" w:name="_Toc24862"/>
      <w:bookmarkStart w:id="2432" w:name="_Toc215857995"/>
      <w:bookmarkStart w:id="2433" w:name="_Toc20448"/>
      <w:bookmarkStart w:id="2434" w:name="_Toc29121711"/>
      <w:bookmarkStart w:id="2435" w:name="_Toc30345"/>
      <w:bookmarkStart w:id="2436" w:name="_Toc9913"/>
      <w:bookmarkStart w:id="2437" w:name="_Toc31341"/>
      <w:bookmarkStart w:id="2438" w:name="_Toc18777"/>
    </w:p>
    <w:p w14:paraId="49D77014">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p>
    <w:p w14:paraId="1A1ADC90">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第一节  坚持党的全面领导</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14:paraId="3316C9DC">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138C3870">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坚持党对经济社会发展的全面领导，是将规划蓝图变为现实的根本保证。必须充分发挥党总揽全局、协调各方的领导核心作用，不断提高党领导贯彻新发展理念、构建新发展格局、推动高质量发展的能力和水平。</w:t>
      </w:r>
    </w:p>
    <w:p w14:paraId="055DD60A">
      <w:pPr>
        <w:pageBreakBefore w:val="0"/>
        <w:widowControl w:val="0"/>
        <w:kinsoku/>
        <w:wordWrap/>
        <w:topLinePunct w:val="0"/>
        <w:bidi w:val="0"/>
        <w:spacing w:line="600" w:lineRule="exact"/>
        <w:rPr>
          <w:rFonts w:hint="eastAsia" w:ascii="仿宋_GB2312" w:hAnsi="仿宋_GB2312" w:eastAsia="仿宋_GB2312" w:cs="仿宋_GB2312"/>
          <w:b w:val="0"/>
          <w:bCs w:val="0"/>
          <w:spacing w:val="2"/>
          <w:sz w:val="32"/>
        </w:rPr>
      </w:pPr>
      <w:r>
        <w:rPr>
          <w:rFonts w:hint="eastAsia" w:ascii="仿宋_GB2312" w:hAnsi="仿宋_GB2312" w:eastAsia="仿宋_GB2312" w:cs="仿宋_GB2312"/>
          <w:b w:val="0"/>
          <w:bCs w:val="0"/>
          <w:spacing w:val="2"/>
          <w:sz w:val="32"/>
        </w:rPr>
        <w:t>完善</w:t>
      </w:r>
      <w:r>
        <w:rPr>
          <w:rFonts w:hint="eastAsia" w:ascii="仿宋_GB2312" w:hAnsi="仿宋_GB2312" w:eastAsia="仿宋_GB2312" w:cs="仿宋_GB2312"/>
          <w:b w:val="0"/>
          <w:bCs w:val="0"/>
          <w:spacing w:val="2"/>
          <w:sz w:val="32"/>
          <w:lang w:val="en-US" w:eastAsia="zh-CN"/>
        </w:rPr>
        <w:t>区</w:t>
      </w:r>
      <w:r>
        <w:rPr>
          <w:rFonts w:hint="eastAsia" w:ascii="仿宋_GB2312" w:hAnsi="仿宋_GB2312" w:eastAsia="仿宋_GB2312" w:cs="仿宋_GB2312"/>
          <w:b w:val="0"/>
          <w:bCs w:val="0"/>
          <w:spacing w:val="2"/>
          <w:sz w:val="32"/>
        </w:rPr>
        <w:t>党</w:t>
      </w:r>
      <w:r>
        <w:rPr>
          <w:rFonts w:hint="eastAsia" w:ascii="仿宋_GB2312" w:hAnsi="仿宋_GB2312" w:eastAsia="仿宋_GB2312" w:cs="仿宋_GB2312"/>
          <w:b w:val="0"/>
          <w:bCs w:val="0"/>
          <w:spacing w:val="2"/>
          <w:sz w:val="32"/>
          <w:lang w:val="en-US" w:eastAsia="zh-CN"/>
        </w:rPr>
        <w:t>工委</w:t>
      </w:r>
      <w:r>
        <w:rPr>
          <w:rFonts w:hint="eastAsia" w:ascii="仿宋_GB2312" w:hAnsi="仿宋_GB2312" w:eastAsia="仿宋_GB2312" w:cs="仿宋_GB2312"/>
          <w:b w:val="0"/>
          <w:bCs w:val="0"/>
          <w:spacing w:val="2"/>
          <w:sz w:val="32"/>
        </w:rPr>
        <w:t>领导经济社会发展的体制机制。建立健全党委定期研究经济社会发展重大战略、定期分析经济形势、调度重大项目进展的工作机制。确保区党工委在战略制定、政策部署、任务分解和监督落实等环节发挥决定性作用，形成全区上下</w:t>
      </w:r>
      <w:r>
        <w:rPr>
          <w:rFonts w:hint="eastAsia" w:ascii="仿宋_GB2312" w:hAnsi="仿宋_GB2312" w:eastAsia="仿宋_GB2312" w:cs="仿宋_GB2312"/>
          <w:b w:val="0"/>
          <w:bCs w:val="0"/>
          <w:spacing w:val="2"/>
          <w:sz w:val="32"/>
          <w:lang w:eastAsia="zh-CN"/>
        </w:rPr>
        <w:t>“</w:t>
      </w:r>
      <w:r>
        <w:rPr>
          <w:rFonts w:hint="eastAsia" w:ascii="仿宋_GB2312" w:hAnsi="仿宋_GB2312" w:eastAsia="仿宋_GB2312" w:cs="仿宋_GB2312"/>
          <w:b w:val="0"/>
          <w:bCs w:val="0"/>
          <w:spacing w:val="2"/>
          <w:sz w:val="32"/>
        </w:rPr>
        <w:t>一盘棋</w:t>
      </w:r>
      <w:r>
        <w:rPr>
          <w:rFonts w:hint="eastAsia" w:ascii="仿宋_GB2312" w:hAnsi="仿宋_GB2312" w:eastAsia="仿宋_GB2312" w:cs="仿宋_GB2312"/>
          <w:b w:val="0"/>
          <w:bCs w:val="0"/>
          <w:spacing w:val="2"/>
          <w:sz w:val="32"/>
          <w:lang w:eastAsia="zh-CN"/>
        </w:rPr>
        <w:t>”</w:t>
      </w:r>
      <w:r>
        <w:rPr>
          <w:rFonts w:hint="eastAsia" w:ascii="仿宋_GB2312" w:hAnsi="仿宋_GB2312" w:eastAsia="仿宋_GB2312" w:cs="仿宋_GB2312"/>
          <w:b w:val="0"/>
          <w:bCs w:val="0"/>
          <w:spacing w:val="2"/>
          <w:sz w:val="32"/>
        </w:rPr>
        <w:t>的工作格局，为规划实施提供坚强有力的政治和组织保障。</w:t>
      </w:r>
    </w:p>
    <w:p w14:paraId="7BE8FDB1">
      <w:pPr>
        <w:pageBreakBefore w:val="0"/>
        <w:widowControl w:val="0"/>
        <w:kinsoku/>
        <w:wordWrap/>
        <w:topLinePunct w:val="0"/>
        <w:bidi w:val="0"/>
        <w:spacing w:line="600" w:lineRule="exact"/>
        <w:rPr>
          <w:rFonts w:hint="eastAsia" w:ascii="仿宋_GB2312" w:hAnsi="仿宋_GB2312" w:eastAsia="仿宋_GB2312" w:cs="仿宋_GB2312"/>
          <w:b w:val="0"/>
          <w:bCs w:val="0"/>
          <w:spacing w:val="2"/>
          <w:sz w:val="32"/>
        </w:rPr>
      </w:pPr>
      <w:r>
        <w:rPr>
          <w:rFonts w:hint="eastAsia" w:ascii="仿宋_GB2312" w:hAnsi="仿宋_GB2312" w:eastAsia="仿宋_GB2312" w:cs="仿宋_GB2312"/>
          <w:b w:val="0"/>
          <w:bCs w:val="0"/>
          <w:spacing w:val="2"/>
          <w:sz w:val="32"/>
        </w:rPr>
        <w:t>加强干部队伍建设。围绕科技产业新城建设目标，打造一支政治过硬、适应新时代发展要求的高素质专业化干部队伍。加强思想淬炼、政治历练、实践锻炼和专业训练，引导广大党员干部切实增强推动高质量发展的本领，以</w:t>
      </w:r>
      <w:r>
        <w:rPr>
          <w:rFonts w:hint="eastAsia" w:ascii="仿宋_GB2312" w:hAnsi="仿宋_GB2312" w:eastAsia="仿宋_GB2312" w:cs="仿宋_GB2312"/>
          <w:b w:val="0"/>
          <w:bCs w:val="0"/>
          <w:spacing w:val="2"/>
          <w:sz w:val="32"/>
          <w:lang w:val="en-US" w:eastAsia="zh-CN"/>
        </w:rPr>
        <w:t>钉</w:t>
      </w:r>
      <w:r>
        <w:rPr>
          <w:rFonts w:hint="eastAsia" w:ascii="仿宋_GB2312" w:hAnsi="仿宋_GB2312" w:eastAsia="仿宋_GB2312" w:cs="仿宋_GB2312"/>
          <w:b w:val="0"/>
          <w:bCs w:val="0"/>
          <w:spacing w:val="2"/>
          <w:sz w:val="32"/>
        </w:rPr>
        <w:t>钉子精神确保规划提出的各项任务不折不扣地落地生根。坚持全面从严治党，锲而不舍落实中央八项规定及其实施细则精神，深化整治形式主义为基层减负，一体推进不敢腐、不能腐、不想腐，营造风清气正政治生态。</w:t>
      </w:r>
    </w:p>
    <w:p w14:paraId="0593AEAC">
      <w:pPr>
        <w:pStyle w:val="6"/>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lang w:val="en-US" w:eastAsia="zh-CN"/>
        </w:rPr>
      </w:pPr>
      <w:bookmarkStart w:id="2439" w:name="_Toc588"/>
      <w:bookmarkStart w:id="2440" w:name="_Toc15803"/>
      <w:bookmarkStart w:id="2441" w:name="_Toc18691"/>
      <w:bookmarkStart w:id="2442" w:name="_Toc16956"/>
      <w:bookmarkStart w:id="2443" w:name="_Toc367555118"/>
      <w:bookmarkStart w:id="2444" w:name="_Toc22794"/>
      <w:bookmarkStart w:id="2445" w:name="_Toc17259"/>
      <w:bookmarkStart w:id="2446" w:name="_Toc15313"/>
      <w:bookmarkStart w:id="2447" w:name="_Toc4350"/>
      <w:bookmarkStart w:id="2448" w:name="_Toc11995"/>
      <w:bookmarkStart w:id="2449" w:name="_Toc20875"/>
      <w:bookmarkStart w:id="2450" w:name="_Toc16218"/>
      <w:bookmarkStart w:id="2451" w:name="_Toc5235"/>
      <w:bookmarkStart w:id="2452" w:name="_Toc28887"/>
      <w:bookmarkStart w:id="2453" w:name="_Toc215857996"/>
      <w:bookmarkStart w:id="2454" w:name="_Toc8707"/>
      <w:bookmarkStart w:id="2455" w:name="_Toc21852"/>
    </w:p>
    <w:p w14:paraId="4E044EFB">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第二节 </w:t>
      </w:r>
      <w:bookmarkEnd w:id="2439"/>
      <w:bookmarkEnd w:id="2440"/>
      <w:r>
        <w:rPr>
          <w:rFonts w:hint="eastAsia" w:ascii="黑体" w:hAnsi="黑体" w:eastAsia="黑体" w:cs="黑体"/>
          <w:b w:val="0"/>
          <w:bCs w:val="0"/>
          <w:lang w:val="en-US" w:eastAsia="zh-CN"/>
        </w:rPr>
        <w:t xml:space="preserve"> 践行全过程人民民主</w:t>
      </w:r>
      <w:bookmarkEnd w:id="2441"/>
      <w:bookmarkEnd w:id="2442"/>
      <w:bookmarkEnd w:id="2443"/>
      <w:bookmarkEnd w:id="2444"/>
      <w:bookmarkEnd w:id="2445"/>
      <w:bookmarkEnd w:id="2446"/>
      <w:bookmarkEnd w:id="2447"/>
    </w:p>
    <w:p w14:paraId="5436021F">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48A61BD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坚持和完善党委统揽全局、协调各方的领导体制，坚持民主集中制，既合理分工，又密切协作，既充分发扬民主，又有效进行集中。健全党领导人大、政府、政协、监察机关、审判机关、检察机关、人民团体、企事业单位、基层群众性自治组织、社会组织等制度，健全基层党组织发挥领导作用的制度规定，发挥党的各个委员会等议事机构的领导决策作用，以党的领导坚强有力保证中央、省委、市委决策部署在</w:t>
      </w:r>
      <w:r>
        <w:rPr>
          <w:rFonts w:hint="eastAsia" w:ascii="仿宋_GB2312" w:hAnsi="仿宋_GB2312" w:eastAsia="仿宋_GB2312" w:cs="仿宋_GB2312"/>
          <w:b w:val="0"/>
          <w:bCs w:val="0"/>
          <w:lang w:val="en-US" w:eastAsia="zh-CN"/>
        </w:rPr>
        <w:t>伊滨</w:t>
      </w:r>
      <w:r>
        <w:rPr>
          <w:rFonts w:hint="eastAsia" w:ascii="仿宋_GB2312" w:hAnsi="仿宋_GB2312" w:eastAsia="仿宋_GB2312" w:cs="仿宋_GB2312"/>
          <w:b w:val="0"/>
          <w:bCs w:val="0"/>
        </w:rPr>
        <w:t>落实有力、推进有力。改进思想政治工作，强化理想信念教育，积极践行社会主义核心价值观。支持人大、政协依法依章程履行职责，发挥工会、共青团、妇联等人民团体作用，把各自联系的群众紧紧凝聚在党的周围。加强国防动员体系建设，巩固军政军民团结，做好拥军优属工作。巩固和发展最广泛的爱国统一战线，密切与各民主党派、非公经济人士、新阶层人士、党外知识分子的联系与协作，加强党外干部队伍建设，巩固扩大宗教治理成果，强化港澳台侨和海外联谊工作，画出最大同心圆，最大限度凝聚各方面力量，确保</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发展的决策部署落到实处。</w:t>
      </w:r>
    </w:p>
    <w:p w14:paraId="73C7B1E2">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bookmarkStart w:id="2456" w:name="_Toc5244"/>
      <w:bookmarkStart w:id="2457" w:name="_Toc13781"/>
      <w:bookmarkStart w:id="2458" w:name="_Toc30303"/>
      <w:bookmarkStart w:id="2459" w:name="_Toc32118"/>
      <w:bookmarkStart w:id="2460" w:name="_Toc22659"/>
      <w:bookmarkStart w:id="2461" w:name="_Toc693695574"/>
      <w:bookmarkStart w:id="2462" w:name="_Toc3747"/>
      <w:bookmarkStart w:id="2463" w:name="_Toc29405"/>
    </w:p>
    <w:p w14:paraId="0A42B06E">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第三节  突出项目支撑作用</w:t>
      </w:r>
      <w:bookmarkEnd w:id="2456"/>
      <w:bookmarkEnd w:id="2457"/>
      <w:bookmarkEnd w:id="2458"/>
      <w:bookmarkEnd w:id="2459"/>
      <w:bookmarkEnd w:id="2460"/>
      <w:bookmarkEnd w:id="2461"/>
      <w:bookmarkEnd w:id="2462"/>
      <w:bookmarkEnd w:id="2463"/>
    </w:p>
    <w:p w14:paraId="3B4B4436">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6E39E7FE">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项目是规划落地的关键载体和有力抓手。必须坚持</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项目为王</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的理念，建立健全重大项目的谋划、储备、推进和管理机制，以高质量项目支撑规划的高效实施。</w:t>
      </w:r>
    </w:p>
    <w:p w14:paraId="51C039F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优化项目谋划储备。围绕科技创新、产业升级、基础设施、民生改善等规划重点领域，紧盯国家政策导向和投资重点，谋划储备具有全局性、基础性、战略性意义的重大项目。建立动态更新的</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重大项目库，形成</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储备一批、开工一批、建设一批、投产一批</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的滚动发展格局。</w:t>
      </w:r>
    </w:p>
    <w:p w14:paraId="3D31D567">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强化项目推进保障。优化项目审批流程，为重大项目建设开辟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绿色通道</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。建立健全区级领导分包、部门协同联动、专班跟踪服务的项目推进机制，及时协调解决项目建设中遇到的规划、用地、融资等难题，确保项目早开工、早建成、早达效。</w:t>
      </w:r>
    </w:p>
    <w:p w14:paraId="4B0C28E6">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464" w:name="_Toc24781"/>
      <w:bookmarkStart w:id="2465" w:name="_Toc4770"/>
      <w:bookmarkStart w:id="2466" w:name="_Toc11349"/>
      <w:bookmarkStart w:id="2467" w:name="_Toc25588"/>
      <w:bookmarkStart w:id="2468" w:name="_Toc26758"/>
      <w:bookmarkStart w:id="2469" w:name="_Toc1062835703"/>
      <w:bookmarkStart w:id="2470" w:name="_Toc18097"/>
      <w:bookmarkStart w:id="2471" w:name="_Toc18773"/>
    </w:p>
    <w:p w14:paraId="34597B1E">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第四节  完善统一规划体系</w:t>
      </w:r>
      <w:bookmarkEnd w:id="2448"/>
      <w:bookmarkEnd w:id="2449"/>
      <w:bookmarkEnd w:id="2450"/>
      <w:bookmarkEnd w:id="2451"/>
      <w:bookmarkEnd w:id="2452"/>
      <w:bookmarkEnd w:id="2453"/>
      <w:bookmarkEnd w:id="2454"/>
      <w:bookmarkEnd w:id="2455"/>
      <w:bookmarkEnd w:id="2464"/>
      <w:bookmarkEnd w:id="2465"/>
      <w:bookmarkEnd w:id="2466"/>
      <w:bookmarkEnd w:id="2467"/>
      <w:bookmarkEnd w:id="2468"/>
      <w:bookmarkEnd w:id="2469"/>
      <w:bookmarkEnd w:id="2470"/>
      <w:bookmarkEnd w:id="2471"/>
    </w:p>
    <w:p w14:paraId="15DE7471">
      <w:pPr>
        <w:pageBreakBefore w:val="0"/>
        <w:widowControl w:val="0"/>
        <w:kinsoku/>
        <w:wordWrap/>
        <w:topLinePunct w:val="0"/>
        <w:bidi w:val="0"/>
        <w:spacing w:line="600" w:lineRule="exact"/>
        <w:rPr>
          <w:rFonts w:hint="eastAsia" w:ascii="仿宋_GB2312" w:hAnsi="仿宋_GB2312" w:eastAsia="仿宋_GB2312" w:cs="仿宋_GB2312"/>
          <w:b w:val="0"/>
          <w:bCs w:val="0"/>
        </w:rPr>
      </w:pPr>
    </w:p>
    <w:p w14:paraId="67D505A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强化</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十五五</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规划纲要的战略引领作用，构建定位准确、边界清晰、功能互补、统一衔接的规划体系。坚持以国民经济和社会发展总体规划为统领，以空间规划为基础，以专项规划、区域规划为支撑，确保各级各类规划在总体要求、空间配置和时序安排上协调一致。</w:t>
      </w:r>
    </w:p>
    <w:p w14:paraId="724632F3">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加强规划衔接协调。做好与国家、省、市级重大发展战略和规划的纵向衔接，确保伊滨发展融入国家和区域发展大局。推动各部门编制的专项规划与本规划纲要的横向对标，特别是在产业发展、城市建设、生态环保、民生保障等重点领域，确保目标一致、政策协同、项目同步，避免规划冲突和资源浪费。</w:t>
      </w:r>
    </w:p>
    <w:p w14:paraId="0A1D9455">
      <w:pPr>
        <w:pageBreakBefore w:val="0"/>
        <w:widowControl w:val="0"/>
        <w:kinsoku/>
        <w:wordWrap/>
        <w:topLinePunct w:val="0"/>
        <w:bidi w:val="0"/>
        <w:spacing w:line="600" w:lineRule="exact"/>
        <w:rPr>
          <w:rFonts w:hint="eastAsia" w:ascii="仿宋_GB2312" w:hAnsi="仿宋_GB2312" w:eastAsia="仿宋_GB2312" w:cs="仿宋_GB2312"/>
          <w:b w:val="0"/>
          <w:bCs w:val="0"/>
        </w:rPr>
      </w:pPr>
      <w:r>
        <w:rPr>
          <w:rFonts w:hint="eastAsia" w:ascii="仿宋_GB2312" w:hAnsi="仿宋_GB2312" w:eastAsia="仿宋_GB2312" w:cs="仿宋_GB2312"/>
          <w:b w:val="0"/>
          <w:bCs w:val="0"/>
        </w:rPr>
        <w:t>健全规划动态管理与调整机制。加强对规划实施情况的跟踪分析，开展中期评估和年度监测。根据国内外发展环境变化和规划实施进度，适时提出调整建议，按法定程序对规划进行优化和完善，确保规划的前瞻性、科学性和有效性。</w:t>
      </w:r>
    </w:p>
    <w:p w14:paraId="5F933FA4">
      <w:pPr>
        <w:pStyle w:val="7"/>
        <w:pageBreakBefore w:val="0"/>
        <w:widowControl w:val="0"/>
        <w:kinsoku/>
        <w:wordWrap/>
        <w:topLinePunct w:val="0"/>
        <w:bidi w:val="0"/>
        <w:spacing w:line="600" w:lineRule="exact"/>
        <w:ind w:left="0" w:leftChars="0" w:firstLine="0" w:firstLineChars="0"/>
        <w:jc w:val="center"/>
        <w:rPr>
          <w:rFonts w:hint="eastAsia" w:ascii="仿宋_GB2312" w:hAnsi="仿宋_GB2312" w:eastAsia="仿宋_GB2312" w:cs="仿宋_GB2312"/>
          <w:b w:val="0"/>
          <w:bCs w:val="0"/>
        </w:rPr>
      </w:pPr>
      <w:bookmarkStart w:id="2472" w:name="_Toc32701"/>
      <w:bookmarkStart w:id="2473" w:name="_Toc23123"/>
      <w:bookmarkStart w:id="2474" w:name="_Toc17076"/>
      <w:bookmarkStart w:id="2475" w:name="_Toc215857997"/>
      <w:bookmarkStart w:id="2476" w:name="_Toc5282"/>
      <w:bookmarkStart w:id="2477" w:name="_Toc1729612127"/>
      <w:bookmarkStart w:id="2478" w:name="_Toc7721"/>
      <w:bookmarkStart w:id="2479" w:name="_Toc21728"/>
      <w:bookmarkStart w:id="2480" w:name="_Toc28836"/>
      <w:bookmarkStart w:id="2481" w:name="_Toc7202"/>
      <w:bookmarkStart w:id="2482" w:name="_Toc6700"/>
      <w:bookmarkStart w:id="2483" w:name="_Toc19150"/>
      <w:bookmarkStart w:id="2484" w:name="_Toc13038"/>
      <w:bookmarkStart w:id="2485" w:name="_Toc30529"/>
      <w:bookmarkStart w:id="2486" w:name="_Toc24138"/>
      <w:bookmarkStart w:id="2487" w:name="_Toc5890"/>
    </w:p>
    <w:p w14:paraId="2BD044B1">
      <w:pPr>
        <w:pageBreakBefore w:val="0"/>
        <w:widowControl w:val="0"/>
        <w:kinsoku/>
        <w:wordWrap/>
        <w:topLinePunct w:val="0"/>
        <w:bidi w:val="0"/>
        <w:spacing w:line="600" w:lineRule="exact"/>
        <w:ind w:left="0" w:leftChars="0" w:firstLine="0" w:firstLineChars="0"/>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第五节  健全规划实施机制</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14:paraId="207924CB">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p>
    <w:p w14:paraId="6FE7FC89">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建立健全权责明确、协同高效、监督有力的规划实施机制。</w:t>
      </w:r>
    </w:p>
    <w:p w14:paraId="31D0037D">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强化责任落实。将规划纲要确定的发展目标、重点任务和重大项目分解到各部门、各单位，明确责任主体、实施路径和完成时限。建立</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清单化+责任制</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管理模式，推动各项工作具体化、项目化、可考核，形成一级抓一级、层层抓落实的良好局面。</w:t>
      </w:r>
    </w:p>
    <w:p w14:paraId="1422A5A9">
      <w:pPr>
        <w:pageBreakBefore w:val="0"/>
        <w:widowControl w:val="0"/>
        <w:kinsoku/>
        <w:wordWrap/>
        <w:topLinePunct w:val="0"/>
        <w:bidi w:val="0"/>
        <w:spacing w:line="600" w:lineRule="exac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加强政策协同与要素保障。围绕规划实施的核心任务，加强财政、金融、土地、人才等政策的协同支持。财政资金</w:t>
      </w:r>
      <w:r>
        <w:rPr>
          <w:rFonts w:hint="eastAsia" w:ascii="仿宋_GB2312" w:hAnsi="仿宋_GB2312" w:eastAsia="仿宋_GB2312" w:cs="仿宋_GB2312"/>
          <w:b w:val="0"/>
          <w:bCs w:val="0"/>
          <w:color w:val="auto"/>
          <w:lang w:val="en-US" w:eastAsia="zh-CN"/>
        </w:rPr>
        <w:t>积极</w:t>
      </w:r>
      <w:r>
        <w:rPr>
          <w:rFonts w:hint="eastAsia" w:ascii="仿宋_GB2312" w:hAnsi="仿宋_GB2312" w:eastAsia="仿宋_GB2312" w:cs="仿宋_GB2312"/>
          <w:b w:val="0"/>
          <w:bCs w:val="0"/>
          <w:color w:val="auto"/>
        </w:rPr>
        <w:t>投向规划明确的重点领域和重大项目，土地利用计划</w:t>
      </w:r>
      <w:r>
        <w:rPr>
          <w:rFonts w:hint="eastAsia" w:ascii="仿宋_GB2312" w:hAnsi="仿宋_GB2312" w:eastAsia="仿宋_GB2312" w:cs="仿宋_GB2312"/>
          <w:b w:val="0"/>
          <w:bCs w:val="0"/>
          <w:color w:val="auto"/>
          <w:lang w:val="en-US" w:eastAsia="zh-CN"/>
        </w:rPr>
        <w:t>充分</w:t>
      </w:r>
      <w:r>
        <w:rPr>
          <w:rFonts w:hint="eastAsia" w:ascii="仿宋_GB2312" w:hAnsi="仿宋_GB2312" w:eastAsia="仿宋_GB2312" w:cs="仿宋_GB2312"/>
          <w:b w:val="0"/>
          <w:bCs w:val="0"/>
          <w:color w:val="auto"/>
        </w:rPr>
        <w:t>保障重点产业和基础设施项目需求。创新投融资机制，积极引导社会资本参与规划项目建设，形成多元化的资金保障体系。</w:t>
      </w:r>
    </w:p>
    <w:p w14:paraId="3FCFFCFC">
      <w:pPr>
        <w:pageBreakBefore w:val="0"/>
        <w:widowControl w:val="0"/>
        <w:kinsoku/>
        <w:wordWrap/>
        <w:topLinePunct w:val="0"/>
        <w:bidi w:val="0"/>
        <w:spacing w:line="600" w:lineRule="exact"/>
        <w:rPr>
          <w:rFonts w:hint="eastAsia" w:ascii="仿宋_GB2312" w:hAnsi="仿宋_GB2312" w:eastAsia="仿宋_GB2312" w:cs="仿宋_GB2312"/>
          <w:b w:val="0"/>
          <w:bCs w:val="0"/>
          <w:color w:val="auto"/>
          <w:lang w:eastAsia="zh-CN"/>
        </w:rPr>
      </w:pPr>
      <w:r>
        <w:rPr>
          <w:rFonts w:hint="eastAsia" w:ascii="仿宋_GB2312" w:hAnsi="仿宋_GB2312" w:eastAsia="仿宋_GB2312" w:cs="仿宋_GB2312"/>
          <w:b w:val="0"/>
          <w:bCs w:val="0"/>
          <w:color w:val="auto"/>
        </w:rPr>
        <w:t>实现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十五五</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规划确定的目标，意义重大，任务艰巨。全区人民要同心同德，顽强拼搏，开拓创新，锐意进取，为奋力谱写中原大地推进中国式现代化新篇章贡献</w:t>
      </w:r>
      <w:r>
        <w:rPr>
          <w:rFonts w:hint="eastAsia" w:ascii="仿宋_GB2312" w:hAnsi="仿宋_GB2312" w:eastAsia="仿宋_GB2312" w:cs="仿宋_GB2312"/>
          <w:b w:val="0"/>
          <w:bCs w:val="0"/>
          <w:color w:val="auto"/>
          <w:lang w:val="en-US" w:eastAsia="zh-CN"/>
        </w:rPr>
        <w:t>伊滨</w:t>
      </w:r>
      <w:r>
        <w:rPr>
          <w:rFonts w:hint="eastAsia" w:ascii="仿宋_GB2312" w:hAnsi="仿宋_GB2312" w:eastAsia="仿宋_GB2312" w:cs="仿宋_GB2312"/>
          <w:b w:val="0"/>
          <w:bCs w:val="0"/>
          <w:color w:val="auto"/>
        </w:rPr>
        <w:t>力量</w:t>
      </w:r>
      <w:r>
        <w:rPr>
          <w:rFonts w:hint="eastAsia" w:ascii="仿宋_GB2312" w:hAnsi="仿宋_GB2312" w:eastAsia="仿宋_GB2312" w:cs="仿宋_GB2312"/>
          <w:b w:val="0"/>
          <w:bCs w:val="0"/>
          <w:color w:val="auto"/>
          <w:lang w:eastAsia="zh-CN"/>
        </w:rPr>
        <w:t>！</w:t>
      </w:r>
    </w:p>
    <w:p w14:paraId="3CD4857C">
      <w:pPr>
        <w:pStyle w:val="2"/>
        <w:rPr>
          <w:rFonts w:hint="eastAsia" w:ascii="仿宋_GB2312" w:hAnsi="仿宋_GB2312" w:eastAsia="仿宋_GB2312" w:cs="仿宋_GB2312"/>
          <w:b w:val="0"/>
          <w:bCs w:val="0"/>
          <w:color w:val="auto"/>
          <w:lang w:eastAsia="zh-CN"/>
        </w:rPr>
      </w:pPr>
    </w:p>
    <w:p w14:paraId="16BCCF03">
      <w:pPr>
        <w:pStyle w:val="5"/>
        <w:rPr>
          <w:rFonts w:hint="eastAsia" w:ascii="仿宋_GB2312" w:hAnsi="仿宋_GB2312" w:eastAsia="仿宋_GB2312" w:cs="仿宋_GB2312"/>
          <w:b w:val="0"/>
          <w:bCs w:val="0"/>
          <w:color w:val="auto"/>
          <w:lang w:eastAsia="zh-CN"/>
        </w:rPr>
      </w:pPr>
    </w:p>
    <w:p w14:paraId="6256ED84">
      <w:pPr>
        <w:rPr>
          <w:rFonts w:hint="default" w:ascii="Times New Roman" w:hAnsi="Times New Roman" w:cs="Times New Roman"/>
          <w:b w:val="0"/>
          <w:bCs w:val="0"/>
          <w:color w:val="auto"/>
          <w:lang w:eastAsia="zh-CN"/>
        </w:rPr>
      </w:pPr>
    </w:p>
    <w:p w14:paraId="2A06B644">
      <w:pPr>
        <w:pStyle w:val="2"/>
        <w:rPr>
          <w:rFonts w:hint="default"/>
          <w:b w:val="0"/>
          <w:bCs w:val="0"/>
          <w:lang w:eastAsia="zh-CN"/>
        </w:rPr>
      </w:pPr>
    </w:p>
    <w:p w14:paraId="2AE13F78">
      <w:pPr>
        <w:pStyle w:val="5"/>
        <w:rPr>
          <w:rFonts w:hint="default"/>
          <w:b w:val="0"/>
          <w:bCs w:val="0"/>
          <w:lang w:eastAsia="zh-CN"/>
        </w:rPr>
      </w:pPr>
    </w:p>
    <w:p w14:paraId="7A4C65BB">
      <w:pPr>
        <w:rPr>
          <w:rFonts w:hint="default"/>
          <w:b w:val="0"/>
          <w:bCs w:val="0"/>
          <w:lang w:eastAsia="zh-CN"/>
        </w:rPr>
      </w:pPr>
    </w:p>
    <w:p w14:paraId="500F6AF3">
      <w:pPr>
        <w:pStyle w:val="2"/>
        <w:rPr>
          <w:rFonts w:hint="default"/>
          <w:b w:val="0"/>
          <w:bCs w:val="0"/>
          <w:lang w:eastAsia="zh-CN"/>
        </w:rPr>
      </w:pPr>
    </w:p>
    <w:p w14:paraId="74C75F71">
      <w:pPr>
        <w:pStyle w:val="5"/>
        <w:rPr>
          <w:rFonts w:hint="default"/>
          <w:b w:val="0"/>
          <w:bCs w:val="0"/>
          <w:lang w:eastAsia="zh-CN"/>
        </w:rPr>
      </w:pPr>
    </w:p>
    <w:p w14:paraId="53B8E14F">
      <w:pPr>
        <w:rPr>
          <w:rFonts w:hint="default"/>
          <w:b w:val="0"/>
          <w:bCs w:val="0"/>
          <w:lang w:eastAsia="zh-CN"/>
        </w:rPr>
      </w:pPr>
    </w:p>
    <w:p w14:paraId="60903592">
      <w:pPr>
        <w:pStyle w:val="2"/>
        <w:rPr>
          <w:rFonts w:hint="default"/>
          <w:b w:val="0"/>
          <w:bCs w:val="0"/>
          <w:lang w:eastAsia="zh-CN"/>
        </w:rPr>
      </w:pPr>
    </w:p>
    <w:p w14:paraId="4CC6F341">
      <w:pPr>
        <w:pStyle w:val="5"/>
        <w:rPr>
          <w:rFonts w:hint="default"/>
          <w:b w:val="0"/>
          <w:bCs w:val="0"/>
          <w:lang w:eastAsia="zh-CN"/>
        </w:rPr>
      </w:pPr>
    </w:p>
    <w:p w14:paraId="2EC5F96E">
      <w:pPr>
        <w:rPr>
          <w:rFonts w:hint="default"/>
          <w:b w:val="0"/>
          <w:bCs w:val="0"/>
          <w:lang w:eastAsia="zh-CN"/>
        </w:rPr>
      </w:pPr>
    </w:p>
    <w:p w14:paraId="597111FD">
      <w:pPr>
        <w:pStyle w:val="5"/>
        <w:rPr>
          <w:rFonts w:hint="default"/>
          <w:lang w:eastAsia="zh-CN"/>
        </w:rPr>
        <w:sectPr>
          <w:footerReference r:id="rId7" w:type="default"/>
          <w:pgSz w:w="11906" w:h="16838"/>
          <w:pgMar w:top="1871" w:right="1474" w:bottom="1757" w:left="1531" w:header="708" w:footer="709" w:gutter="0"/>
          <w:pgNumType w:fmt="decimal" w:start="2"/>
          <w:cols w:space="0" w:num="1"/>
          <w:rtlGutter w:val="0"/>
          <w:docGrid w:linePitch="360" w:charSpace="0"/>
        </w:sectPr>
      </w:pPr>
    </w:p>
    <w:p w14:paraId="20F489D1">
      <w:pPr>
        <w:rPr>
          <w:rFonts w:hint="default"/>
          <w:lang w:eastAsia="zh-CN"/>
        </w:rPr>
      </w:pPr>
    </w:p>
    <w:p w14:paraId="5D9056FB">
      <w:pPr>
        <w:rPr>
          <w:rFonts w:hint="default"/>
          <w:lang w:eastAsia="zh-CN"/>
        </w:rPr>
      </w:pPr>
    </w:p>
    <w:p w14:paraId="7FEA6B49">
      <w:pPr>
        <w:pStyle w:val="2"/>
        <w:rPr>
          <w:rFonts w:hint="default"/>
          <w:lang w:eastAsia="zh-CN"/>
        </w:rPr>
      </w:pPr>
    </w:p>
    <w:p w14:paraId="0987C24D">
      <w:pPr>
        <w:pStyle w:val="5"/>
        <w:rPr>
          <w:rFonts w:hint="default"/>
          <w:lang w:eastAsia="zh-CN"/>
        </w:rPr>
      </w:pPr>
    </w:p>
    <w:p w14:paraId="4CC8D084">
      <w:pPr>
        <w:rPr>
          <w:rFonts w:hint="default"/>
          <w:lang w:eastAsia="zh-CN"/>
        </w:rPr>
      </w:pPr>
    </w:p>
    <w:p w14:paraId="2BEDA881">
      <w:pPr>
        <w:pStyle w:val="2"/>
        <w:rPr>
          <w:rFonts w:hint="default"/>
          <w:lang w:eastAsia="zh-CN"/>
        </w:rPr>
      </w:pPr>
    </w:p>
    <w:p w14:paraId="16474D60">
      <w:pPr>
        <w:pStyle w:val="5"/>
        <w:rPr>
          <w:rFonts w:hint="default"/>
          <w:lang w:eastAsia="zh-CN"/>
        </w:rPr>
      </w:pPr>
    </w:p>
    <w:p w14:paraId="00004B73">
      <w:pPr>
        <w:rPr>
          <w:rFonts w:hint="default"/>
          <w:lang w:eastAsia="zh-CN"/>
        </w:rPr>
      </w:pPr>
    </w:p>
    <w:p w14:paraId="688A5F0E">
      <w:pPr>
        <w:pStyle w:val="2"/>
        <w:rPr>
          <w:rFonts w:hint="default"/>
          <w:lang w:eastAsia="zh-CN"/>
        </w:rPr>
      </w:pPr>
    </w:p>
    <w:p w14:paraId="1F1CD9EC">
      <w:pPr>
        <w:pStyle w:val="5"/>
        <w:rPr>
          <w:rFonts w:hint="default"/>
          <w:lang w:eastAsia="zh-CN"/>
        </w:rPr>
      </w:pPr>
    </w:p>
    <w:p w14:paraId="1988D9A6">
      <w:pPr>
        <w:rPr>
          <w:rFonts w:hint="default"/>
          <w:lang w:eastAsia="zh-CN"/>
        </w:rPr>
      </w:pPr>
    </w:p>
    <w:p w14:paraId="17979113">
      <w:pPr>
        <w:pStyle w:val="2"/>
        <w:rPr>
          <w:rFonts w:hint="default"/>
          <w:lang w:eastAsia="zh-CN"/>
        </w:rPr>
      </w:pPr>
    </w:p>
    <w:p w14:paraId="5BADE0F1">
      <w:pPr>
        <w:pStyle w:val="5"/>
        <w:rPr>
          <w:rFonts w:hint="default"/>
          <w:lang w:eastAsia="zh-CN"/>
        </w:rPr>
      </w:pPr>
    </w:p>
    <w:p w14:paraId="080F0357">
      <w:pPr>
        <w:rPr>
          <w:rFonts w:hint="default"/>
          <w:lang w:eastAsia="zh-CN"/>
        </w:rPr>
      </w:pPr>
    </w:p>
    <w:p w14:paraId="50E0F01C">
      <w:pPr>
        <w:pStyle w:val="2"/>
        <w:rPr>
          <w:rFonts w:hint="default"/>
          <w:lang w:eastAsia="zh-CN"/>
        </w:rPr>
      </w:pPr>
    </w:p>
    <w:p w14:paraId="423A6102">
      <w:pPr>
        <w:pStyle w:val="5"/>
        <w:rPr>
          <w:rFonts w:hint="default"/>
          <w:lang w:eastAsia="zh-CN"/>
        </w:rPr>
      </w:pPr>
    </w:p>
    <w:p w14:paraId="4675D1F3">
      <w:pPr>
        <w:rPr>
          <w:rFonts w:hint="default"/>
          <w:lang w:eastAsia="zh-CN"/>
        </w:rPr>
      </w:pPr>
    </w:p>
    <w:p w14:paraId="156F8E63">
      <w:pPr>
        <w:pStyle w:val="2"/>
        <w:rPr>
          <w:rFonts w:hint="default"/>
          <w:lang w:eastAsia="zh-CN"/>
        </w:rPr>
      </w:pPr>
    </w:p>
    <w:p w14:paraId="6A47F0C6">
      <w:pPr>
        <w:pStyle w:val="5"/>
        <w:rPr>
          <w:rFonts w:hint="default"/>
          <w:lang w:eastAsia="zh-CN"/>
        </w:rPr>
      </w:pPr>
    </w:p>
    <w:p w14:paraId="4ADDB21A">
      <w:pPr>
        <w:rPr>
          <w:rFonts w:hint="default"/>
          <w:lang w:eastAsia="zh-CN"/>
        </w:rPr>
      </w:pPr>
    </w:p>
    <w:p w14:paraId="49FD8CFE">
      <w:pPr>
        <w:pStyle w:val="2"/>
        <w:rPr>
          <w:rFonts w:hint="default"/>
          <w:lang w:eastAsia="zh-CN"/>
        </w:rPr>
      </w:pPr>
    </w:p>
    <w:p w14:paraId="7B2963A7">
      <w:pPr>
        <w:pStyle w:val="5"/>
        <w:rPr>
          <w:rFonts w:hint="default"/>
          <w:lang w:eastAsia="zh-CN"/>
        </w:rPr>
      </w:pPr>
    </w:p>
    <w:p w14:paraId="33DCF48C">
      <w:pPr>
        <w:spacing w:line="590" w:lineRule="exact"/>
        <w:ind w:left="0" w:leftChars="0" w:firstLine="0" w:firstLineChars="0"/>
        <w:rPr>
          <w:rFonts w:hint="default" w:ascii="仿宋_GB2312" w:hAnsi="Times New Roman" w:eastAsia="仿宋_GB2312" w:cs="Times New Roman"/>
          <w:b w:val="0"/>
          <w:bCs w:val="0"/>
          <w:color w:val="000000"/>
          <w:spacing w:val="6"/>
          <w:sz w:val="32"/>
          <w:szCs w:val="32"/>
          <w:lang w:val="en-US" w:eastAsia="zh-CN"/>
        </w:rPr>
      </w:pPr>
      <w:r>
        <w:rPr>
          <w:rFonts w:hint="eastAsia" w:ascii="仿宋_GB2312" w:hAnsi="Times New Roman" w:eastAsia="仿宋_GB2312" w:cs="Times New Roman"/>
          <w:b w:val="0"/>
          <w:bCs w:val="0"/>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31115</wp:posOffset>
                </wp:positionV>
                <wp:extent cx="5627370" cy="3810"/>
                <wp:effectExtent l="0" t="0" r="0" b="0"/>
                <wp:wrapNone/>
                <wp:docPr id="1" name="直接连接符 1"/>
                <wp:cNvGraphicFramePr/>
                <a:graphic xmlns:a="http://schemas.openxmlformats.org/drawingml/2006/main">
                  <a:graphicData uri="http://schemas.microsoft.com/office/word/2010/wordprocessingShape">
                    <wps:wsp>
                      <wps:cNvCnPr/>
                      <wps:spPr>
                        <a:xfrm flipV="1">
                          <a:off x="0" y="0"/>
                          <a:ext cx="5627370" cy="3810"/>
                        </a:xfrm>
                        <a:prstGeom prst="line">
                          <a:avLst/>
                        </a:prstGeom>
                        <a:ln w="1524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pt;margin-top:2.45pt;height:0.3pt;width:443.1pt;z-index:251659264;mso-width-relative:page;mso-height-relative:page;" filled="f" stroked="t" coordsize="21600,21600" o:gfxdata="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7HuurVAAAABAEAAA8AAAAAAAAAAQAgAAAAIgAAAGRycy9k&#10;b3ducmV2LnhtbFBLAQIUABQAAAAIAIdO4kBri8ckBQIAAAAEAAAOAAAAAAAAAAEAIAAAACQBAABk&#10;cnMvZTJvRG9jLnhtbFBLBQYAAAAABgAGAFkBAACbBQAAAAA=&#10;">
                <v:fill on="f" focussize="0,0"/>
                <v:stroke weight="1.2pt" color="#000000" joinstyle="round"/>
                <v:imagedata o:title=""/>
                <o:lock v:ext="edit" aspectratio="f"/>
              </v:line>
            </w:pict>
          </mc:Fallback>
        </mc:AlternateContent>
      </w:r>
      <w:r>
        <w:rPr>
          <w:rFonts w:hint="eastAsia" w:ascii="仿宋_GB2312" w:hAnsi="Times New Roman" w:cs="Times New Roman"/>
          <w:b w:val="0"/>
          <w:bCs w:val="0"/>
          <w:color w:val="000000"/>
          <w:spacing w:val="6"/>
          <w:sz w:val="28"/>
          <w:szCs w:val="28"/>
          <w:lang w:val="en-US" w:eastAsia="zh-CN"/>
        </w:rPr>
        <w:t xml:space="preserve"> </w:t>
      </w:r>
      <w:r>
        <w:rPr>
          <w:rFonts w:hint="eastAsia" w:ascii="仿宋_GB2312" w:hAnsi="Times New Roman" w:eastAsia="仿宋_GB2312" w:cs="Times New Roman"/>
          <w:b w:val="0"/>
          <w:bCs w:val="0"/>
          <w:color w:val="000000"/>
          <w:spacing w:val="6"/>
          <w:sz w:val="28"/>
          <w:szCs w:val="28"/>
        </w:rPr>
        <w:t>主办单位：</w:t>
      </w:r>
      <w:r>
        <w:rPr>
          <w:rFonts w:hint="eastAsia" w:ascii="仿宋_GB2312" w:hAnsi="Times New Roman" w:eastAsia="仿宋_GB2312" w:cs="Times New Roman"/>
          <w:b w:val="0"/>
          <w:bCs w:val="0"/>
          <w:color w:val="000000"/>
          <w:spacing w:val="6"/>
          <w:sz w:val="28"/>
          <w:szCs w:val="28"/>
          <w:lang w:val="en-US" w:eastAsia="zh-CN"/>
        </w:rPr>
        <w:t>区</w:t>
      </w:r>
      <w:r>
        <w:rPr>
          <w:rFonts w:hint="eastAsia" w:ascii="仿宋_GB2312" w:cs="Times New Roman"/>
          <w:b w:val="0"/>
          <w:bCs w:val="0"/>
          <w:color w:val="000000"/>
          <w:spacing w:val="6"/>
          <w:sz w:val="28"/>
          <w:szCs w:val="28"/>
          <w:lang w:val="en-US" w:eastAsia="zh-CN"/>
        </w:rPr>
        <w:t>发展改革局</w:t>
      </w:r>
    </w:p>
    <w:p w14:paraId="69A8F01C">
      <w:pPr>
        <w:adjustRightInd w:val="0"/>
        <w:snapToGrid w:val="0"/>
        <w:spacing w:line="590" w:lineRule="exact"/>
        <w:ind w:left="0" w:leftChars="0" w:firstLine="0" w:firstLineChars="0"/>
        <w:jc w:val="left"/>
        <w:rPr>
          <w:rFonts w:hint="default" w:ascii="Times New Roman" w:hAnsi="Times New Roman" w:cs="Times New Roman"/>
          <w:b w:val="0"/>
          <w:bCs w:val="0"/>
          <w:color w:val="auto"/>
        </w:rPr>
      </w:pPr>
      <w:r>
        <w:rPr>
          <w:rFonts w:hint="eastAsia" w:ascii="仿宋_GB2312" w:hAnsi="Times New Roman" w:eastAsia="仿宋_GB2312" w:cs="Times New Roman"/>
          <w:b w:val="0"/>
          <w:bCs w:val="0"/>
          <w:color w:val="000000"/>
          <w:spacing w:val="6"/>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24130</wp:posOffset>
                </wp:positionV>
                <wp:extent cx="5618480" cy="381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381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9pt;height:0.3pt;width:442.4pt;z-index:251660288;mso-width-relative:page;mso-height-relative:page;" filled="f" stroked="t" coordsize="21600,21600" o:gfxdata="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pdrVdMAAAAEAQAADwAAAAAAAAABACAAAAAiAAAAZHJzL2Rvd25yZXYueG1s&#10;UEsBAhQAFAAAAAgAh07iQBkbHDv9AQAA9QMAAA4AAAAAAAAAAQAgAAAAIgEAAGRycy9lMm9Eb2Mu&#10;eG1sUEsFBgAAAAAGAAYAWQEAAJEFAAAAAA==&#10;">
                <v:fill on="f" focussize="0,0"/>
                <v:stroke color="#000000" joinstyle="round"/>
                <v:imagedata o:title=""/>
                <o:lock v:ext="edit" aspectratio="f"/>
              </v:line>
            </w:pict>
          </mc:Fallback>
        </mc:AlternateContent>
      </w:r>
      <w:r>
        <w:rPr>
          <w:rFonts w:hint="eastAsia" w:ascii="仿宋_GB2312" w:hAnsi="Times New Roman" w:eastAsia="仿宋_GB2312" w:cs="Times New Roman"/>
          <w:b w:val="0"/>
          <w:bCs w:val="0"/>
          <w:color w:val="000000"/>
          <w:spacing w:val="6"/>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389890</wp:posOffset>
                </wp:positionV>
                <wp:extent cx="5647055" cy="1905"/>
                <wp:effectExtent l="0" t="0" r="0" b="0"/>
                <wp:wrapNone/>
                <wp:docPr id="3" name="直接连接符 3"/>
                <wp:cNvGraphicFramePr/>
                <a:graphic xmlns:a="http://schemas.openxmlformats.org/drawingml/2006/main">
                  <a:graphicData uri="http://schemas.microsoft.com/office/word/2010/wordprocessingShape">
                    <wps:wsp>
                      <wps:cNvCnPr/>
                      <wps:spPr>
                        <a:xfrm flipV="1">
                          <a:off x="0" y="0"/>
                          <a:ext cx="5647055" cy="1905"/>
                        </a:xfrm>
                        <a:prstGeom prst="line">
                          <a:avLst/>
                        </a:prstGeom>
                        <a:ln w="1524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pt;margin-top:30.7pt;height:0.15pt;width:444.65pt;z-index:251661312;mso-width-relative:page;mso-height-relative:page;" filled="f" stroked="t" coordsize="21600,21600" o:gfxdata="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r2/NTWAAAABgEAAA8AAAAAAAAAAQAgAAAAIgAAAGRycy9k&#10;b3ducmV2LnhtbFBLAQIUABQAAAAIAIdO4kDtmW5wBAIAAAAEAAAOAAAAAAAAAAEAIAAAACUBAABk&#10;cnMvZTJvRG9jLnhtbFBLBQYAAAAABgAGAFkBAACbBQAAAAA=&#10;">
                <v:fill on="f" focussize="0,0"/>
                <v:stroke weight="1.2pt" color="#000000" joinstyle="round"/>
                <v:imagedata o:title=""/>
                <o:lock v:ext="edit" aspectratio="f"/>
              </v:line>
            </w:pict>
          </mc:Fallback>
        </mc:AlternateContent>
      </w:r>
      <w:r>
        <w:rPr>
          <w:rFonts w:hint="eastAsia" w:ascii="仿宋_GB2312" w:hAnsi="Times New Roman" w:cs="Times New Roman"/>
          <w:b w:val="0"/>
          <w:bCs w:val="0"/>
          <w:color w:val="000000"/>
          <w:sz w:val="28"/>
          <w:szCs w:val="28"/>
          <w:lang w:val="en-US" w:eastAsia="zh-CN"/>
        </w:rPr>
        <w:t xml:space="preserve"> </w:t>
      </w:r>
      <w:r>
        <w:rPr>
          <w:rFonts w:hint="eastAsia" w:ascii="仿宋_GB2312" w:hAnsi="Times New Roman" w:eastAsia="仿宋_GB2312" w:cs="Times New Roman"/>
          <w:b w:val="0"/>
          <w:bCs w:val="0"/>
          <w:color w:val="000000"/>
          <w:sz w:val="28"/>
          <w:szCs w:val="28"/>
        </w:rPr>
        <w:t>洛阳市城乡一体化示范区</w:t>
      </w:r>
      <w:r>
        <w:rPr>
          <w:rFonts w:hint="eastAsia" w:ascii="仿宋_GB2312" w:hAnsi="Times New Roman" w:eastAsia="仿宋_GB2312" w:cs="Times New Roman"/>
          <w:b w:val="0"/>
          <w:bCs w:val="0"/>
          <w:color w:val="000000"/>
          <w:sz w:val="28"/>
          <w:szCs w:val="28"/>
          <w:lang w:val="en-US" w:eastAsia="zh-CN"/>
        </w:rPr>
        <w:t>党政</w:t>
      </w:r>
      <w:r>
        <w:rPr>
          <w:rFonts w:hint="eastAsia" w:ascii="仿宋_GB2312" w:hAnsi="Times New Roman" w:eastAsia="仿宋_GB2312" w:cs="Times New Roman"/>
          <w:b w:val="0"/>
          <w:bCs w:val="0"/>
          <w:color w:val="000000"/>
          <w:sz w:val="28"/>
          <w:szCs w:val="28"/>
        </w:rPr>
        <w:t>办公室　</w:t>
      </w:r>
      <w:r>
        <w:rPr>
          <w:rFonts w:hint="eastAsia" w:ascii="仿宋_GB2312" w:hAnsi="Times New Roman" w:eastAsia="仿宋_GB2312" w:cs="Times New Roman"/>
          <w:b w:val="0"/>
          <w:bCs w:val="0"/>
          <w:color w:val="000000"/>
          <w:spacing w:val="-4"/>
          <w:sz w:val="28"/>
          <w:szCs w:val="28"/>
        </w:rPr>
        <w:t xml:space="preserve">　      </w:t>
      </w:r>
      <w:r>
        <w:rPr>
          <w:rFonts w:hint="eastAsia" w:ascii="仿宋_GB2312" w:hAnsi="Times New Roman" w:eastAsia="仿宋_GB2312" w:cs="Times New Roman"/>
          <w:b w:val="0"/>
          <w:bCs w:val="0"/>
          <w:color w:val="000000"/>
          <w:sz w:val="28"/>
          <w:szCs w:val="28"/>
        </w:rPr>
        <w:t>202</w:t>
      </w:r>
      <w:r>
        <w:rPr>
          <w:rFonts w:hint="eastAsia" w:ascii="仿宋_GB2312" w:hAnsi="Times New Roman" w:eastAsia="仿宋_GB2312" w:cs="Times New Roman"/>
          <w:b w:val="0"/>
          <w:bCs w:val="0"/>
          <w:color w:val="000000"/>
          <w:sz w:val="28"/>
          <w:szCs w:val="28"/>
          <w:lang w:val="en-US" w:eastAsia="zh-CN"/>
        </w:rPr>
        <w:t>6</w:t>
      </w:r>
      <w:r>
        <w:rPr>
          <w:rFonts w:hint="eastAsia" w:ascii="仿宋_GB2312" w:hAnsi="Times New Roman" w:eastAsia="仿宋_GB2312" w:cs="Times New Roman"/>
          <w:b w:val="0"/>
          <w:bCs w:val="0"/>
          <w:color w:val="000000"/>
          <w:sz w:val="28"/>
          <w:szCs w:val="28"/>
        </w:rPr>
        <w:t>年</w:t>
      </w:r>
      <w:r>
        <w:rPr>
          <w:rFonts w:hint="eastAsia" w:ascii="仿宋_GB2312" w:hAnsi="Times New Roman" w:cs="Times New Roman"/>
          <w:b w:val="0"/>
          <w:bCs w:val="0"/>
          <w:color w:val="000000"/>
          <w:sz w:val="28"/>
          <w:szCs w:val="28"/>
          <w:lang w:val="en-US" w:eastAsia="zh-CN"/>
        </w:rPr>
        <w:t>7</w:t>
      </w:r>
      <w:r>
        <w:rPr>
          <w:rFonts w:hint="eastAsia" w:ascii="仿宋_GB2312" w:hAnsi="Times New Roman" w:eastAsia="仿宋_GB2312" w:cs="Times New Roman"/>
          <w:b w:val="0"/>
          <w:bCs w:val="0"/>
          <w:color w:val="000000"/>
          <w:sz w:val="28"/>
          <w:szCs w:val="28"/>
        </w:rPr>
        <w:t>月</w:t>
      </w:r>
      <w:r>
        <w:rPr>
          <w:rFonts w:hint="eastAsia" w:ascii="仿宋_GB2312" w:cs="Times New Roman"/>
          <w:b w:val="0"/>
          <w:bCs w:val="0"/>
          <w:color w:val="000000"/>
          <w:sz w:val="28"/>
          <w:szCs w:val="28"/>
          <w:lang w:val="en-US" w:eastAsia="zh-CN"/>
        </w:rPr>
        <w:t>22</w:t>
      </w:r>
      <w:r>
        <w:rPr>
          <w:rFonts w:hint="eastAsia" w:ascii="仿宋_GB2312" w:hAnsi="Times New Roman" w:eastAsia="仿宋_GB2312" w:cs="Times New Roman"/>
          <w:b w:val="0"/>
          <w:bCs w:val="0"/>
          <w:color w:val="000000"/>
          <w:sz w:val="28"/>
          <w:szCs w:val="28"/>
        </w:rPr>
        <w:t>日印发</w:t>
      </w:r>
    </w:p>
    <w:sectPr>
      <w:footerReference r:id="rId8" w:type="default"/>
      <w:pgSz w:w="11906" w:h="16838"/>
      <w:pgMar w:top="1871" w:right="1474" w:bottom="1757" w:left="1531" w:header="708" w:footer="709" w:gutter="0"/>
      <w:pgNumType w:fmt="decimal" w:start="2"/>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554FD4-3954-4D51-8DFB-BD03316639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B7D3B1E-795E-44BE-AC90-11F6FCCAAAA0}"/>
  </w:font>
  <w:font w:name="仿宋">
    <w:panose1 w:val="02010609060101010101"/>
    <w:charset w:val="86"/>
    <w:family w:val="auto"/>
    <w:pitch w:val="default"/>
    <w:sig w:usb0="800002BF" w:usb1="38CF7CFA" w:usb2="00000016" w:usb3="00000000" w:csb0="00040001" w:csb1="00000000"/>
    <w:embedRegular r:id="rId3" w:fontKey="{866D0FEC-15D9-4CCA-AC8D-CE9FEDEECF51}"/>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embedRegular r:id="rId4" w:fontKey="{C2125C99-41BC-4070-987E-0E24CC5B5256}"/>
  </w:font>
  <w:font w:name="等线">
    <w:panose1 w:val="02010600030101010101"/>
    <w:charset w:val="86"/>
    <w:family w:val="auto"/>
    <w:pitch w:val="default"/>
    <w:sig w:usb0="A00002BF" w:usb1="38CF7CFA" w:usb2="00000016" w:usb3="00000000" w:csb0="0004000F" w:csb1="00000000"/>
  </w:font>
  <w:font w:name="Calibri;Segoe UI">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等线;微软雅黑">
    <w:altName w:val="黑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5" w:fontKey="{77C03C50-2824-4FD1-AC26-8094A18D76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11FDE">
    <w:pPr>
      <w:pStyle w:val="23"/>
      <w:ind w:firstLine="360"/>
    </w:pPr>
  </w:p>
  <w:p w14:paraId="56B69789">
    <w:pPr>
      <w:pStyle w:val="23"/>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-334010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3C30A">
                          <w:pPr>
                            <w:pStyle w:val="23"/>
                            <w:keepNext w:val="0"/>
                            <w:keepLines w:val="0"/>
                            <w:pageBreakBefore w:val="0"/>
                            <w:widowControl w:val="0"/>
                            <w:kinsoku/>
                            <w:wordWrap/>
                            <w:overflowPunct/>
                            <w:topLinePunct w:val="0"/>
                            <w:bidi w:val="0"/>
                            <w:adjustRightInd/>
                            <w:snapToGrid/>
                            <w:ind w:left="320" w:leftChars="100" w:right="320" w:rightChars="100" w:firstLine="0" w:firstLineChars="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6.3pt;height:144pt;width:144pt;mso-position-horizontal:outside;mso-position-horizontal-relative:margin;mso-wrap-style:none;z-index:251662336;mso-width-relative:page;mso-height-relative:page;" filled="f" stroked="f" coordsize="21600,21600" o:gfxdata="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0q8hXWAAAACAEAAA8AAAAAAAAAAQAgAAAAIgAAAGRycy9kb3ducmV2LnhtbFBL&#10;AQIUABQAAAAIAIdO4kCpqK+VMQIAAGMEAAAOAAAAAAAAAAEAIAAAACUBAABkcnMvZTJvRG9jLnht&#10;bFBLBQYAAAAABgAGAFkBAADIBQAAAAA=&#10;">
              <v:fill on="f" focussize="0,0"/>
              <v:stroke on="f" weight="0.5pt"/>
              <v:imagedata o:title=""/>
              <o:lock v:ext="edit" aspectratio="f"/>
              <v:textbox inset="0mm,0mm,0mm,0mm" style="mso-fit-shape-to-text:t;">
                <w:txbxContent>
                  <w:p w14:paraId="5603C30A">
                    <w:pPr>
                      <w:pStyle w:val="23"/>
                      <w:keepNext w:val="0"/>
                      <w:keepLines w:val="0"/>
                      <w:pageBreakBefore w:val="0"/>
                      <w:widowControl w:val="0"/>
                      <w:kinsoku/>
                      <w:wordWrap/>
                      <w:overflowPunct/>
                      <w:topLinePunct w:val="0"/>
                      <w:bidi w:val="0"/>
                      <w:adjustRightInd/>
                      <w:snapToGrid/>
                      <w:ind w:left="320" w:leftChars="100" w:right="320" w:rightChars="100" w:firstLine="0" w:firstLineChars="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7842A">
    <w:pPr>
      <w:pStyle w:val="23"/>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-334010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72866">
                          <w:pPr>
                            <w:pStyle w:val="23"/>
                            <w:keepNext w:val="0"/>
                            <w:keepLines w:val="0"/>
                            <w:pageBreakBefore w:val="0"/>
                            <w:widowControl w:val="0"/>
                            <w:kinsoku/>
                            <w:wordWrap/>
                            <w:overflowPunct/>
                            <w:topLinePunct w:val="0"/>
                            <w:bidi w:val="0"/>
                            <w:adjustRightInd/>
                            <w:snapToGrid/>
                            <w:ind w:left="320" w:leftChars="100" w:right="320" w:rightChars="100" w:firstLine="0" w:firstLineChars="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6.3pt;height:144pt;width:144pt;mso-position-horizontal:outside;mso-position-horizontal-relative:margin;mso-wrap-style:none;z-index:251663360;mso-width-relative:page;mso-height-relative:page;" filled="f" stroked="f" coordsize="21600,21600" o:gfxdata="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tKvIV1gAAAAgBAAAPAAAAAAAAAAEAIAAAACIAAABkcnMvZG93bnJldi54bWxQ&#10;SwECFAAUAAAACACHTuJA9YuHZDICAABhBAAADgAAAAAAAAABACAAAAAlAQAAZHJzL2Uyb0RvYy54&#10;bWxQSwUGAAAAAAYABgBZAQAAyQUAAAAA&#10;">
              <v:fill on="f" focussize="0,0"/>
              <v:stroke on="f" weight="0.5pt"/>
              <v:imagedata o:title=""/>
              <o:lock v:ext="edit" aspectratio="f"/>
              <v:textbox inset="0mm,0mm,0mm,0mm" style="mso-fit-shape-to-text:t;">
                <w:txbxContent>
                  <w:p w14:paraId="26072866">
                    <w:pPr>
                      <w:pStyle w:val="23"/>
                      <w:keepNext w:val="0"/>
                      <w:keepLines w:val="0"/>
                      <w:pageBreakBefore w:val="0"/>
                      <w:widowControl w:val="0"/>
                      <w:kinsoku/>
                      <w:wordWrap/>
                      <w:overflowPunct/>
                      <w:topLinePunct w:val="0"/>
                      <w:bidi w:val="0"/>
                      <w:adjustRightInd/>
                      <w:snapToGrid/>
                      <w:ind w:left="320" w:leftChars="100" w:right="320" w:rightChars="100" w:firstLine="0" w:firstLineChars="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E0350">
    <w:pPr>
      <w:pStyle w:val="2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7D936">
    <w:pPr>
      <w:pStyle w:val="2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413"/>
    <w:rsid w:val="00005B3B"/>
    <w:rsid w:val="00006002"/>
    <w:rsid w:val="00006F93"/>
    <w:rsid w:val="00007E74"/>
    <w:rsid w:val="000137D7"/>
    <w:rsid w:val="00015A8C"/>
    <w:rsid w:val="00016426"/>
    <w:rsid w:val="0002566C"/>
    <w:rsid w:val="000309BD"/>
    <w:rsid w:val="0003250F"/>
    <w:rsid w:val="0003332F"/>
    <w:rsid w:val="00035250"/>
    <w:rsid w:val="00037D4E"/>
    <w:rsid w:val="00040F4E"/>
    <w:rsid w:val="00045738"/>
    <w:rsid w:val="00054933"/>
    <w:rsid w:val="000563C0"/>
    <w:rsid w:val="00060A4C"/>
    <w:rsid w:val="00060B4F"/>
    <w:rsid w:val="000636E6"/>
    <w:rsid w:val="00073947"/>
    <w:rsid w:val="00082FDC"/>
    <w:rsid w:val="00083EA7"/>
    <w:rsid w:val="000869FD"/>
    <w:rsid w:val="000875A1"/>
    <w:rsid w:val="00090ED4"/>
    <w:rsid w:val="000A427E"/>
    <w:rsid w:val="000B102D"/>
    <w:rsid w:val="000B312D"/>
    <w:rsid w:val="000B42E7"/>
    <w:rsid w:val="000B5D8A"/>
    <w:rsid w:val="000B7104"/>
    <w:rsid w:val="000C2EA4"/>
    <w:rsid w:val="000C3A14"/>
    <w:rsid w:val="000C7C74"/>
    <w:rsid w:val="000D33A6"/>
    <w:rsid w:val="000D55BC"/>
    <w:rsid w:val="000D6E48"/>
    <w:rsid w:val="000D70B2"/>
    <w:rsid w:val="000D7F3B"/>
    <w:rsid w:val="000E22AF"/>
    <w:rsid w:val="000E5454"/>
    <w:rsid w:val="000E5AF3"/>
    <w:rsid w:val="000E7B47"/>
    <w:rsid w:val="000F20A9"/>
    <w:rsid w:val="000F70BF"/>
    <w:rsid w:val="00101A80"/>
    <w:rsid w:val="00101D6A"/>
    <w:rsid w:val="001068D4"/>
    <w:rsid w:val="00113FD0"/>
    <w:rsid w:val="00114130"/>
    <w:rsid w:val="00114266"/>
    <w:rsid w:val="001143A7"/>
    <w:rsid w:val="00122DF2"/>
    <w:rsid w:val="001256FC"/>
    <w:rsid w:val="00126414"/>
    <w:rsid w:val="0013098F"/>
    <w:rsid w:val="00133149"/>
    <w:rsid w:val="00133398"/>
    <w:rsid w:val="001363F1"/>
    <w:rsid w:val="001366F5"/>
    <w:rsid w:val="001414ED"/>
    <w:rsid w:val="00144FF5"/>
    <w:rsid w:val="0014590E"/>
    <w:rsid w:val="00152636"/>
    <w:rsid w:val="0015392F"/>
    <w:rsid w:val="00156271"/>
    <w:rsid w:val="0015717E"/>
    <w:rsid w:val="001574EB"/>
    <w:rsid w:val="001614A7"/>
    <w:rsid w:val="0017372A"/>
    <w:rsid w:val="0017558A"/>
    <w:rsid w:val="00177445"/>
    <w:rsid w:val="00183790"/>
    <w:rsid w:val="00191690"/>
    <w:rsid w:val="001B60D6"/>
    <w:rsid w:val="001B7D6C"/>
    <w:rsid w:val="001C65E1"/>
    <w:rsid w:val="001D2C39"/>
    <w:rsid w:val="001D7141"/>
    <w:rsid w:val="001E6432"/>
    <w:rsid w:val="001F189E"/>
    <w:rsid w:val="001F4B28"/>
    <w:rsid w:val="00211415"/>
    <w:rsid w:val="00212960"/>
    <w:rsid w:val="00216DC6"/>
    <w:rsid w:val="00232C7F"/>
    <w:rsid w:val="00241CD8"/>
    <w:rsid w:val="00242C38"/>
    <w:rsid w:val="0024394D"/>
    <w:rsid w:val="002440C1"/>
    <w:rsid w:val="00244740"/>
    <w:rsid w:val="00247AB2"/>
    <w:rsid w:val="00252F22"/>
    <w:rsid w:val="002534BE"/>
    <w:rsid w:val="00256957"/>
    <w:rsid w:val="002651F3"/>
    <w:rsid w:val="00274F09"/>
    <w:rsid w:val="00282536"/>
    <w:rsid w:val="002877B4"/>
    <w:rsid w:val="0029071C"/>
    <w:rsid w:val="002965E3"/>
    <w:rsid w:val="00297313"/>
    <w:rsid w:val="00297380"/>
    <w:rsid w:val="002B25BF"/>
    <w:rsid w:val="002B3922"/>
    <w:rsid w:val="002C1F79"/>
    <w:rsid w:val="002C6504"/>
    <w:rsid w:val="002C7727"/>
    <w:rsid w:val="002E0F00"/>
    <w:rsid w:val="002E4AE4"/>
    <w:rsid w:val="002F0ED2"/>
    <w:rsid w:val="002F5C94"/>
    <w:rsid w:val="00304FD4"/>
    <w:rsid w:val="00306334"/>
    <w:rsid w:val="00313B90"/>
    <w:rsid w:val="0031499A"/>
    <w:rsid w:val="003171F4"/>
    <w:rsid w:val="00317752"/>
    <w:rsid w:val="003201D2"/>
    <w:rsid w:val="003226CE"/>
    <w:rsid w:val="00326C42"/>
    <w:rsid w:val="0032743C"/>
    <w:rsid w:val="00327CDC"/>
    <w:rsid w:val="00330EB7"/>
    <w:rsid w:val="00331BD2"/>
    <w:rsid w:val="00332E50"/>
    <w:rsid w:val="00343BED"/>
    <w:rsid w:val="00343C6C"/>
    <w:rsid w:val="00345002"/>
    <w:rsid w:val="00347E49"/>
    <w:rsid w:val="00352FBB"/>
    <w:rsid w:val="00354EBA"/>
    <w:rsid w:val="00373857"/>
    <w:rsid w:val="00373B21"/>
    <w:rsid w:val="00376ABF"/>
    <w:rsid w:val="003953D2"/>
    <w:rsid w:val="003A252F"/>
    <w:rsid w:val="003A5026"/>
    <w:rsid w:val="003B199E"/>
    <w:rsid w:val="003B1C99"/>
    <w:rsid w:val="003B2E9F"/>
    <w:rsid w:val="003C2D24"/>
    <w:rsid w:val="003C3123"/>
    <w:rsid w:val="003C5E21"/>
    <w:rsid w:val="003C605C"/>
    <w:rsid w:val="003C6E45"/>
    <w:rsid w:val="003D02D2"/>
    <w:rsid w:val="003D07CB"/>
    <w:rsid w:val="003D347B"/>
    <w:rsid w:val="003D6088"/>
    <w:rsid w:val="003D749E"/>
    <w:rsid w:val="003E3AA9"/>
    <w:rsid w:val="003E3FE1"/>
    <w:rsid w:val="003E4431"/>
    <w:rsid w:val="003E619A"/>
    <w:rsid w:val="003F48ED"/>
    <w:rsid w:val="003F6E85"/>
    <w:rsid w:val="003F7DD1"/>
    <w:rsid w:val="00402C21"/>
    <w:rsid w:val="004121EB"/>
    <w:rsid w:val="004141F5"/>
    <w:rsid w:val="00421874"/>
    <w:rsid w:val="0042620B"/>
    <w:rsid w:val="00426259"/>
    <w:rsid w:val="0042698F"/>
    <w:rsid w:val="00432013"/>
    <w:rsid w:val="004332A2"/>
    <w:rsid w:val="00434725"/>
    <w:rsid w:val="0045249D"/>
    <w:rsid w:val="0045307C"/>
    <w:rsid w:val="00454F5F"/>
    <w:rsid w:val="0045505A"/>
    <w:rsid w:val="0045780D"/>
    <w:rsid w:val="00462ACF"/>
    <w:rsid w:val="00467985"/>
    <w:rsid w:val="00467A1B"/>
    <w:rsid w:val="00471562"/>
    <w:rsid w:val="004731AE"/>
    <w:rsid w:val="004802AB"/>
    <w:rsid w:val="00484975"/>
    <w:rsid w:val="00493E7D"/>
    <w:rsid w:val="004A2413"/>
    <w:rsid w:val="004B4888"/>
    <w:rsid w:val="004B669B"/>
    <w:rsid w:val="004C263B"/>
    <w:rsid w:val="004C6676"/>
    <w:rsid w:val="004C7EE6"/>
    <w:rsid w:val="004D2D28"/>
    <w:rsid w:val="004D5234"/>
    <w:rsid w:val="004E2611"/>
    <w:rsid w:val="004E2BA2"/>
    <w:rsid w:val="004E3210"/>
    <w:rsid w:val="004E37A9"/>
    <w:rsid w:val="004F425C"/>
    <w:rsid w:val="004F545B"/>
    <w:rsid w:val="00500580"/>
    <w:rsid w:val="00500EB1"/>
    <w:rsid w:val="00503A92"/>
    <w:rsid w:val="005062F6"/>
    <w:rsid w:val="00511CFB"/>
    <w:rsid w:val="00513F7B"/>
    <w:rsid w:val="005153CF"/>
    <w:rsid w:val="00521798"/>
    <w:rsid w:val="0052333F"/>
    <w:rsid w:val="005302E5"/>
    <w:rsid w:val="00536261"/>
    <w:rsid w:val="00537C4D"/>
    <w:rsid w:val="00540EA4"/>
    <w:rsid w:val="00542704"/>
    <w:rsid w:val="00543A45"/>
    <w:rsid w:val="0054791C"/>
    <w:rsid w:val="005529BF"/>
    <w:rsid w:val="005659E9"/>
    <w:rsid w:val="0056680F"/>
    <w:rsid w:val="00567CAC"/>
    <w:rsid w:val="00570C97"/>
    <w:rsid w:val="005733AB"/>
    <w:rsid w:val="00573E34"/>
    <w:rsid w:val="0058018B"/>
    <w:rsid w:val="00580C3F"/>
    <w:rsid w:val="00584924"/>
    <w:rsid w:val="005878AD"/>
    <w:rsid w:val="005935B7"/>
    <w:rsid w:val="0059498F"/>
    <w:rsid w:val="005A12D5"/>
    <w:rsid w:val="005A5CFE"/>
    <w:rsid w:val="005B2D5A"/>
    <w:rsid w:val="005B328B"/>
    <w:rsid w:val="005C01F7"/>
    <w:rsid w:val="005C1C0B"/>
    <w:rsid w:val="005C483F"/>
    <w:rsid w:val="005C567F"/>
    <w:rsid w:val="005C58F5"/>
    <w:rsid w:val="005D3AEE"/>
    <w:rsid w:val="005E1078"/>
    <w:rsid w:val="005E418F"/>
    <w:rsid w:val="005F19A3"/>
    <w:rsid w:val="005F1DD3"/>
    <w:rsid w:val="005F6D3B"/>
    <w:rsid w:val="005F7DD4"/>
    <w:rsid w:val="00600689"/>
    <w:rsid w:val="00604266"/>
    <w:rsid w:val="006050FC"/>
    <w:rsid w:val="00605A92"/>
    <w:rsid w:val="00610B62"/>
    <w:rsid w:val="0062091D"/>
    <w:rsid w:val="00622B8D"/>
    <w:rsid w:val="00631852"/>
    <w:rsid w:val="006414B6"/>
    <w:rsid w:val="006428DC"/>
    <w:rsid w:val="00645F02"/>
    <w:rsid w:val="00650BDD"/>
    <w:rsid w:val="006522A7"/>
    <w:rsid w:val="0065277E"/>
    <w:rsid w:val="006529CC"/>
    <w:rsid w:val="00652EDD"/>
    <w:rsid w:val="00653419"/>
    <w:rsid w:val="006543F2"/>
    <w:rsid w:val="0066630B"/>
    <w:rsid w:val="0067157A"/>
    <w:rsid w:val="00672504"/>
    <w:rsid w:val="00674506"/>
    <w:rsid w:val="0067540A"/>
    <w:rsid w:val="00681211"/>
    <w:rsid w:val="00687B2A"/>
    <w:rsid w:val="006A4A37"/>
    <w:rsid w:val="006A52C1"/>
    <w:rsid w:val="006B1CF2"/>
    <w:rsid w:val="006B5E55"/>
    <w:rsid w:val="006C1897"/>
    <w:rsid w:val="006C1A0C"/>
    <w:rsid w:val="006C5C12"/>
    <w:rsid w:val="006C6567"/>
    <w:rsid w:val="006D4FFE"/>
    <w:rsid w:val="006D53AA"/>
    <w:rsid w:val="006D7A58"/>
    <w:rsid w:val="006E152E"/>
    <w:rsid w:val="006E6B0C"/>
    <w:rsid w:val="006F2712"/>
    <w:rsid w:val="006F2B9A"/>
    <w:rsid w:val="006F41E5"/>
    <w:rsid w:val="0070048D"/>
    <w:rsid w:val="00701D2D"/>
    <w:rsid w:val="00702DC4"/>
    <w:rsid w:val="007107D1"/>
    <w:rsid w:val="00715409"/>
    <w:rsid w:val="00721D48"/>
    <w:rsid w:val="007229CA"/>
    <w:rsid w:val="007239D2"/>
    <w:rsid w:val="00723D64"/>
    <w:rsid w:val="00725002"/>
    <w:rsid w:val="00736934"/>
    <w:rsid w:val="00741F70"/>
    <w:rsid w:val="0074682D"/>
    <w:rsid w:val="00755560"/>
    <w:rsid w:val="00756E02"/>
    <w:rsid w:val="00763B08"/>
    <w:rsid w:val="00765EED"/>
    <w:rsid w:val="007718BE"/>
    <w:rsid w:val="00775344"/>
    <w:rsid w:val="00777250"/>
    <w:rsid w:val="00777AD1"/>
    <w:rsid w:val="0079559A"/>
    <w:rsid w:val="00796211"/>
    <w:rsid w:val="007A7266"/>
    <w:rsid w:val="007A7C75"/>
    <w:rsid w:val="007B1536"/>
    <w:rsid w:val="007C1F1C"/>
    <w:rsid w:val="007C5896"/>
    <w:rsid w:val="007C67CA"/>
    <w:rsid w:val="007C6977"/>
    <w:rsid w:val="007D29EC"/>
    <w:rsid w:val="007D73F1"/>
    <w:rsid w:val="007E389F"/>
    <w:rsid w:val="007F0CBC"/>
    <w:rsid w:val="007F4595"/>
    <w:rsid w:val="007F7B17"/>
    <w:rsid w:val="00820301"/>
    <w:rsid w:val="008264A4"/>
    <w:rsid w:val="0083313E"/>
    <w:rsid w:val="00835284"/>
    <w:rsid w:val="00841EB5"/>
    <w:rsid w:val="00843C9D"/>
    <w:rsid w:val="00846AC9"/>
    <w:rsid w:val="00850D79"/>
    <w:rsid w:val="008531A0"/>
    <w:rsid w:val="00854743"/>
    <w:rsid w:val="00860CD6"/>
    <w:rsid w:val="00863747"/>
    <w:rsid w:val="00863D12"/>
    <w:rsid w:val="00863EE7"/>
    <w:rsid w:val="00866600"/>
    <w:rsid w:val="00866D5C"/>
    <w:rsid w:val="00871148"/>
    <w:rsid w:val="00872627"/>
    <w:rsid w:val="00873FAA"/>
    <w:rsid w:val="00882321"/>
    <w:rsid w:val="0088374A"/>
    <w:rsid w:val="0088495E"/>
    <w:rsid w:val="008872B9"/>
    <w:rsid w:val="0089169D"/>
    <w:rsid w:val="00897442"/>
    <w:rsid w:val="00897AE3"/>
    <w:rsid w:val="008A0136"/>
    <w:rsid w:val="008A2985"/>
    <w:rsid w:val="008A3E96"/>
    <w:rsid w:val="008A4476"/>
    <w:rsid w:val="008A476F"/>
    <w:rsid w:val="008A640C"/>
    <w:rsid w:val="008B3B83"/>
    <w:rsid w:val="008B563D"/>
    <w:rsid w:val="008C6B0A"/>
    <w:rsid w:val="008E479F"/>
    <w:rsid w:val="008F228A"/>
    <w:rsid w:val="00903633"/>
    <w:rsid w:val="009105A5"/>
    <w:rsid w:val="009114B7"/>
    <w:rsid w:val="009306EF"/>
    <w:rsid w:val="00952E8E"/>
    <w:rsid w:val="009604E3"/>
    <w:rsid w:val="009637BB"/>
    <w:rsid w:val="00963D2D"/>
    <w:rsid w:val="0097156D"/>
    <w:rsid w:val="00974514"/>
    <w:rsid w:val="009763EF"/>
    <w:rsid w:val="00987557"/>
    <w:rsid w:val="00987AFE"/>
    <w:rsid w:val="009A59D3"/>
    <w:rsid w:val="009B1809"/>
    <w:rsid w:val="009B526B"/>
    <w:rsid w:val="009B5BE2"/>
    <w:rsid w:val="009B602F"/>
    <w:rsid w:val="009B7984"/>
    <w:rsid w:val="009C62F1"/>
    <w:rsid w:val="009D2807"/>
    <w:rsid w:val="009D6C25"/>
    <w:rsid w:val="009D6CDE"/>
    <w:rsid w:val="009E4552"/>
    <w:rsid w:val="009E49F7"/>
    <w:rsid w:val="009F24B6"/>
    <w:rsid w:val="009F7313"/>
    <w:rsid w:val="00A02186"/>
    <w:rsid w:val="00A03E58"/>
    <w:rsid w:val="00A04151"/>
    <w:rsid w:val="00A1219A"/>
    <w:rsid w:val="00A201E8"/>
    <w:rsid w:val="00A225DC"/>
    <w:rsid w:val="00A339D4"/>
    <w:rsid w:val="00A35AB6"/>
    <w:rsid w:val="00A61486"/>
    <w:rsid w:val="00A62DE7"/>
    <w:rsid w:val="00A662EF"/>
    <w:rsid w:val="00A72460"/>
    <w:rsid w:val="00A72B63"/>
    <w:rsid w:val="00A743F7"/>
    <w:rsid w:val="00A843E2"/>
    <w:rsid w:val="00A8457C"/>
    <w:rsid w:val="00A918B9"/>
    <w:rsid w:val="00AA0DD1"/>
    <w:rsid w:val="00AA3448"/>
    <w:rsid w:val="00AA5E8F"/>
    <w:rsid w:val="00AB0093"/>
    <w:rsid w:val="00AB18CB"/>
    <w:rsid w:val="00AB2D24"/>
    <w:rsid w:val="00AB55D1"/>
    <w:rsid w:val="00AC037F"/>
    <w:rsid w:val="00AC1CB5"/>
    <w:rsid w:val="00AC3730"/>
    <w:rsid w:val="00AC4F1C"/>
    <w:rsid w:val="00AC590A"/>
    <w:rsid w:val="00AD1124"/>
    <w:rsid w:val="00AD284E"/>
    <w:rsid w:val="00AD63CA"/>
    <w:rsid w:val="00AE0B66"/>
    <w:rsid w:val="00AF0DB0"/>
    <w:rsid w:val="00AF0EA1"/>
    <w:rsid w:val="00AF4C93"/>
    <w:rsid w:val="00AF67A3"/>
    <w:rsid w:val="00AF7B80"/>
    <w:rsid w:val="00B126ED"/>
    <w:rsid w:val="00B1408A"/>
    <w:rsid w:val="00B17EAD"/>
    <w:rsid w:val="00B21BDA"/>
    <w:rsid w:val="00B23E3E"/>
    <w:rsid w:val="00B25C99"/>
    <w:rsid w:val="00B32154"/>
    <w:rsid w:val="00B3753D"/>
    <w:rsid w:val="00B41CA6"/>
    <w:rsid w:val="00B43F46"/>
    <w:rsid w:val="00B4684E"/>
    <w:rsid w:val="00B511D8"/>
    <w:rsid w:val="00B61F76"/>
    <w:rsid w:val="00B711C4"/>
    <w:rsid w:val="00B71621"/>
    <w:rsid w:val="00B739FB"/>
    <w:rsid w:val="00B86018"/>
    <w:rsid w:val="00B9410B"/>
    <w:rsid w:val="00B94433"/>
    <w:rsid w:val="00B961FA"/>
    <w:rsid w:val="00B966FA"/>
    <w:rsid w:val="00BA0FD6"/>
    <w:rsid w:val="00BA1B20"/>
    <w:rsid w:val="00BA3025"/>
    <w:rsid w:val="00BA6488"/>
    <w:rsid w:val="00BB60CC"/>
    <w:rsid w:val="00BC1358"/>
    <w:rsid w:val="00BC2034"/>
    <w:rsid w:val="00BC334B"/>
    <w:rsid w:val="00BC3E00"/>
    <w:rsid w:val="00BC7557"/>
    <w:rsid w:val="00BD26B5"/>
    <w:rsid w:val="00BD29C3"/>
    <w:rsid w:val="00BD34FC"/>
    <w:rsid w:val="00BE02C5"/>
    <w:rsid w:val="00BE0891"/>
    <w:rsid w:val="00BE489C"/>
    <w:rsid w:val="00BF616E"/>
    <w:rsid w:val="00C015F3"/>
    <w:rsid w:val="00C01DC7"/>
    <w:rsid w:val="00C025E5"/>
    <w:rsid w:val="00C04D40"/>
    <w:rsid w:val="00C0528A"/>
    <w:rsid w:val="00C07AE9"/>
    <w:rsid w:val="00C1018C"/>
    <w:rsid w:val="00C105BF"/>
    <w:rsid w:val="00C12812"/>
    <w:rsid w:val="00C22150"/>
    <w:rsid w:val="00C23A4A"/>
    <w:rsid w:val="00C23F01"/>
    <w:rsid w:val="00C33E5F"/>
    <w:rsid w:val="00C36F7B"/>
    <w:rsid w:val="00C475D9"/>
    <w:rsid w:val="00C51977"/>
    <w:rsid w:val="00C718F6"/>
    <w:rsid w:val="00C7222D"/>
    <w:rsid w:val="00C75C7C"/>
    <w:rsid w:val="00C878F9"/>
    <w:rsid w:val="00C93689"/>
    <w:rsid w:val="00CA5390"/>
    <w:rsid w:val="00CB35ED"/>
    <w:rsid w:val="00CC4911"/>
    <w:rsid w:val="00CC60F1"/>
    <w:rsid w:val="00CC785C"/>
    <w:rsid w:val="00CD0999"/>
    <w:rsid w:val="00CD1322"/>
    <w:rsid w:val="00CD7000"/>
    <w:rsid w:val="00CE15EF"/>
    <w:rsid w:val="00CE4890"/>
    <w:rsid w:val="00CF2D81"/>
    <w:rsid w:val="00CF5A67"/>
    <w:rsid w:val="00D0483E"/>
    <w:rsid w:val="00D06CAC"/>
    <w:rsid w:val="00D10668"/>
    <w:rsid w:val="00D12176"/>
    <w:rsid w:val="00D15AF4"/>
    <w:rsid w:val="00D17126"/>
    <w:rsid w:val="00D23856"/>
    <w:rsid w:val="00D2770B"/>
    <w:rsid w:val="00D27BFA"/>
    <w:rsid w:val="00D31370"/>
    <w:rsid w:val="00D32940"/>
    <w:rsid w:val="00D32BF8"/>
    <w:rsid w:val="00D34C0C"/>
    <w:rsid w:val="00D414AE"/>
    <w:rsid w:val="00D4257C"/>
    <w:rsid w:val="00D533FF"/>
    <w:rsid w:val="00D62DEF"/>
    <w:rsid w:val="00D65737"/>
    <w:rsid w:val="00D65CC4"/>
    <w:rsid w:val="00D74E6E"/>
    <w:rsid w:val="00D75540"/>
    <w:rsid w:val="00D7778D"/>
    <w:rsid w:val="00D77D87"/>
    <w:rsid w:val="00D81D3B"/>
    <w:rsid w:val="00D82D0E"/>
    <w:rsid w:val="00D84A34"/>
    <w:rsid w:val="00D91B67"/>
    <w:rsid w:val="00D91FCD"/>
    <w:rsid w:val="00D97DB7"/>
    <w:rsid w:val="00DA12B8"/>
    <w:rsid w:val="00DB19C2"/>
    <w:rsid w:val="00DB49C3"/>
    <w:rsid w:val="00DB7246"/>
    <w:rsid w:val="00DB7989"/>
    <w:rsid w:val="00DC1A8B"/>
    <w:rsid w:val="00DC22ED"/>
    <w:rsid w:val="00DC7994"/>
    <w:rsid w:val="00DD0AB2"/>
    <w:rsid w:val="00DD3311"/>
    <w:rsid w:val="00E0516A"/>
    <w:rsid w:val="00E07A1F"/>
    <w:rsid w:val="00E223A8"/>
    <w:rsid w:val="00E23A19"/>
    <w:rsid w:val="00E24147"/>
    <w:rsid w:val="00E308CB"/>
    <w:rsid w:val="00E36337"/>
    <w:rsid w:val="00E425B5"/>
    <w:rsid w:val="00E43247"/>
    <w:rsid w:val="00E459A1"/>
    <w:rsid w:val="00E629DE"/>
    <w:rsid w:val="00E63B63"/>
    <w:rsid w:val="00E66041"/>
    <w:rsid w:val="00E71C67"/>
    <w:rsid w:val="00E76C98"/>
    <w:rsid w:val="00E843DE"/>
    <w:rsid w:val="00E86503"/>
    <w:rsid w:val="00E86F37"/>
    <w:rsid w:val="00E9657D"/>
    <w:rsid w:val="00EA0906"/>
    <w:rsid w:val="00EA1DF8"/>
    <w:rsid w:val="00EA484F"/>
    <w:rsid w:val="00EA5F83"/>
    <w:rsid w:val="00EB04F5"/>
    <w:rsid w:val="00EC1B5A"/>
    <w:rsid w:val="00EC38DF"/>
    <w:rsid w:val="00ED2952"/>
    <w:rsid w:val="00EE1AF9"/>
    <w:rsid w:val="00EE1C16"/>
    <w:rsid w:val="00EE7C14"/>
    <w:rsid w:val="00EF1C33"/>
    <w:rsid w:val="00EF2E88"/>
    <w:rsid w:val="00F0489E"/>
    <w:rsid w:val="00F0645A"/>
    <w:rsid w:val="00F07D83"/>
    <w:rsid w:val="00F15348"/>
    <w:rsid w:val="00F1537F"/>
    <w:rsid w:val="00F344EE"/>
    <w:rsid w:val="00F424FE"/>
    <w:rsid w:val="00F50565"/>
    <w:rsid w:val="00F545B9"/>
    <w:rsid w:val="00F5487F"/>
    <w:rsid w:val="00F61986"/>
    <w:rsid w:val="00F6377C"/>
    <w:rsid w:val="00F641BA"/>
    <w:rsid w:val="00F72D2F"/>
    <w:rsid w:val="00F731AF"/>
    <w:rsid w:val="00F76688"/>
    <w:rsid w:val="00F772BA"/>
    <w:rsid w:val="00F83968"/>
    <w:rsid w:val="00F91167"/>
    <w:rsid w:val="00F93521"/>
    <w:rsid w:val="00F9577B"/>
    <w:rsid w:val="00F968D9"/>
    <w:rsid w:val="00F96F63"/>
    <w:rsid w:val="00FA34F9"/>
    <w:rsid w:val="00FB1704"/>
    <w:rsid w:val="00FB1F29"/>
    <w:rsid w:val="00FC52CF"/>
    <w:rsid w:val="00FD08B8"/>
    <w:rsid w:val="00FD52FB"/>
    <w:rsid w:val="00FD623C"/>
    <w:rsid w:val="00FE02EF"/>
    <w:rsid w:val="010923A1"/>
    <w:rsid w:val="010B22B0"/>
    <w:rsid w:val="012A0DD6"/>
    <w:rsid w:val="0157022D"/>
    <w:rsid w:val="01744B37"/>
    <w:rsid w:val="018B4E82"/>
    <w:rsid w:val="019C4E8A"/>
    <w:rsid w:val="01F9035B"/>
    <w:rsid w:val="02013F4A"/>
    <w:rsid w:val="020E4338"/>
    <w:rsid w:val="022C30FE"/>
    <w:rsid w:val="023024D8"/>
    <w:rsid w:val="02657F47"/>
    <w:rsid w:val="026C549F"/>
    <w:rsid w:val="02884147"/>
    <w:rsid w:val="02E84657"/>
    <w:rsid w:val="03412A1D"/>
    <w:rsid w:val="035D4F56"/>
    <w:rsid w:val="0391347B"/>
    <w:rsid w:val="03D73363"/>
    <w:rsid w:val="0415569C"/>
    <w:rsid w:val="04554218"/>
    <w:rsid w:val="04787C5D"/>
    <w:rsid w:val="047A658C"/>
    <w:rsid w:val="047F07C2"/>
    <w:rsid w:val="04A25C0E"/>
    <w:rsid w:val="04DD06FF"/>
    <w:rsid w:val="05050026"/>
    <w:rsid w:val="051F457C"/>
    <w:rsid w:val="053578FC"/>
    <w:rsid w:val="05A141DD"/>
    <w:rsid w:val="06195317"/>
    <w:rsid w:val="062429E9"/>
    <w:rsid w:val="064E336B"/>
    <w:rsid w:val="069F3BC7"/>
    <w:rsid w:val="07222102"/>
    <w:rsid w:val="07B138E1"/>
    <w:rsid w:val="08A96637"/>
    <w:rsid w:val="08AE6343"/>
    <w:rsid w:val="08B74ABA"/>
    <w:rsid w:val="08C90A87"/>
    <w:rsid w:val="08D627E1"/>
    <w:rsid w:val="08EE75CC"/>
    <w:rsid w:val="09434723"/>
    <w:rsid w:val="09880942"/>
    <w:rsid w:val="09C86F91"/>
    <w:rsid w:val="09C917B0"/>
    <w:rsid w:val="09D41DD9"/>
    <w:rsid w:val="0A6F5AAF"/>
    <w:rsid w:val="0AB8748F"/>
    <w:rsid w:val="0B653E82"/>
    <w:rsid w:val="0C0149DC"/>
    <w:rsid w:val="0C2A65A9"/>
    <w:rsid w:val="0C9D4AF7"/>
    <w:rsid w:val="0CA43CE5"/>
    <w:rsid w:val="0CB86585"/>
    <w:rsid w:val="0CCE51A1"/>
    <w:rsid w:val="0D3B3F1D"/>
    <w:rsid w:val="0D8B4057"/>
    <w:rsid w:val="0DBC0BBA"/>
    <w:rsid w:val="0DE96F59"/>
    <w:rsid w:val="0E010CC3"/>
    <w:rsid w:val="0E341562"/>
    <w:rsid w:val="0E6D2AA6"/>
    <w:rsid w:val="0E833200"/>
    <w:rsid w:val="0F6A7488"/>
    <w:rsid w:val="0F781C49"/>
    <w:rsid w:val="0F9A3672"/>
    <w:rsid w:val="0FF01755"/>
    <w:rsid w:val="101476C3"/>
    <w:rsid w:val="10205B2A"/>
    <w:rsid w:val="10656E79"/>
    <w:rsid w:val="107A5AC5"/>
    <w:rsid w:val="10922713"/>
    <w:rsid w:val="10A32505"/>
    <w:rsid w:val="10B93EBA"/>
    <w:rsid w:val="10E37C5E"/>
    <w:rsid w:val="10E75D27"/>
    <w:rsid w:val="10F27605"/>
    <w:rsid w:val="11365AD1"/>
    <w:rsid w:val="11385E57"/>
    <w:rsid w:val="1139154F"/>
    <w:rsid w:val="11CE35B2"/>
    <w:rsid w:val="12435D4E"/>
    <w:rsid w:val="126D4B79"/>
    <w:rsid w:val="127746E6"/>
    <w:rsid w:val="129C42C7"/>
    <w:rsid w:val="12C1552F"/>
    <w:rsid w:val="13230FB3"/>
    <w:rsid w:val="133B1986"/>
    <w:rsid w:val="134A0B53"/>
    <w:rsid w:val="13BA7734"/>
    <w:rsid w:val="13FC3737"/>
    <w:rsid w:val="14411428"/>
    <w:rsid w:val="14416FC6"/>
    <w:rsid w:val="1480169E"/>
    <w:rsid w:val="149C66E6"/>
    <w:rsid w:val="14DF7381"/>
    <w:rsid w:val="14FE41AE"/>
    <w:rsid w:val="150A0467"/>
    <w:rsid w:val="15107850"/>
    <w:rsid w:val="15231819"/>
    <w:rsid w:val="15424AD5"/>
    <w:rsid w:val="15A46314"/>
    <w:rsid w:val="15E75BB9"/>
    <w:rsid w:val="16147233"/>
    <w:rsid w:val="162278E8"/>
    <w:rsid w:val="168665BE"/>
    <w:rsid w:val="16A71111"/>
    <w:rsid w:val="16AF1002"/>
    <w:rsid w:val="170308A5"/>
    <w:rsid w:val="17173305"/>
    <w:rsid w:val="17A27593"/>
    <w:rsid w:val="17AB08EF"/>
    <w:rsid w:val="17AD5E42"/>
    <w:rsid w:val="17BB3CFC"/>
    <w:rsid w:val="17DC4D63"/>
    <w:rsid w:val="186E0565"/>
    <w:rsid w:val="18940A29"/>
    <w:rsid w:val="18A64941"/>
    <w:rsid w:val="18D42F14"/>
    <w:rsid w:val="18DE03FE"/>
    <w:rsid w:val="18E05B62"/>
    <w:rsid w:val="19057A9E"/>
    <w:rsid w:val="19486C22"/>
    <w:rsid w:val="198804EA"/>
    <w:rsid w:val="198F37EF"/>
    <w:rsid w:val="19BD4454"/>
    <w:rsid w:val="1A084B24"/>
    <w:rsid w:val="1A123D13"/>
    <w:rsid w:val="1A3A55D0"/>
    <w:rsid w:val="1A517A58"/>
    <w:rsid w:val="1A62479E"/>
    <w:rsid w:val="1A674BDF"/>
    <w:rsid w:val="1A695321"/>
    <w:rsid w:val="1AFB6B89"/>
    <w:rsid w:val="1B1B6055"/>
    <w:rsid w:val="1B645EC2"/>
    <w:rsid w:val="1B6B3A5B"/>
    <w:rsid w:val="1B7C7BDB"/>
    <w:rsid w:val="1B862807"/>
    <w:rsid w:val="1B974A15"/>
    <w:rsid w:val="1BE048EB"/>
    <w:rsid w:val="1BF73705"/>
    <w:rsid w:val="1C5A711F"/>
    <w:rsid w:val="1CCE25E4"/>
    <w:rsid w:val="1CE67A02"/>
    <w:rsid w:val="1CED69A1"/>
    <w:rsid w:val="1D1B6D13"/>
    <w:rsid w:val="1D4754C2"/>
    <w:rsid w:val="1E3576CC"/>
    <w:rsid w:val="1E9B0CC0"/>
    <w:rsid w:val="1EE461C3"/>
    <w:rsid w:val="1EF07D0A"/>
    <w:rsid w:val="1FB042F7"/>
    <w:rsid w:val="20254D46"/>
    <w:rsid w:val="20377D0D"/>
    <w:rsid w:val="208D2816"/>
    <w:rsid w:val="20D9567F"/>
    <w:rsid w:val="20F972A8"/>
    <w:rsid w:val="211B2BE5"/>
    <w:rsid w:val="214366FE"/>
    <w:rsid w:val="218D307E"/>
    <w:rsid w:val="21CC2FD5"/>
    <w:rsid w:val="21E336A7"/>
    <w:rsid w:val="21E848D6"/>
    <w:rsid w:val="21EB1EF2"/>
    <w:rsid w:val="220B7F0B"/>
    <w:rsid w:val="221C5C74"/>
    <w:rsid w:val="2241795E"/>
    <w:rsid w:val="22B15E31"/>
    <w:rsid w:val="230530F0"/>
    <w:rsid w:val="23130E25"/>
    <w:rsid w:val="23136501"/>
    <w:rsid w:val="231A6657"/>
    <w:rsid w:val="232710A3"/>
    <w:rsid w:val="233A48D7"/>
    <w:rsid w:val="23696C97"/>
    <w:rsid w:val="23904B7F"/>
    <w:rsid w:val="23AC7A14"/>
    <w:rsid w:val="23B7547B"/>
    <w:rsid w:val="23B92AE4"/>
    <w:rsid w:val="23D134DD"/>
    <w:rsid w:val="23E4352C"/>
    <w:rsid w:val="23EA312D"/>
    <w:rsid w:val="241A1A24"/>
    <w:rsid w:val="24417C14"/>
    <w:rsid w:val="24495BDC"/>
    <w:rsid w:val="24506E32"/>
    <w:rsid w:val="246B5966"/>
    <w:rsid w:val="250E3F9A"/>
    <w:rsid w:val="251B51D8"/>
    <w:rsid w:val="25600150"/>
    <w:rsid w:val="25794A0F"/>
    <w:rsid w:val="258864A1"/>
    <w:rsid w:val="25D54AB7"/>
    <w:rsid w:val="25EA08A1"/>
    <w:rsid w:val="26783C6E"/>
    <w:rsid w:val="26C60F76"/>
    <w:rsid w:val="273852FE"/>
    <w:rsid w:val="276429DF"/>
    <w:rsid w:val="277E29F7"/>
    <w:rsid w:val="27AD26C1"/>
    <w:rsid w:val="27C82E0F"/>
    <w:rsid w:val="2838132E"/>
    <w:rsid w:val="288D78CB"/>
    <w:rsid w:val="289553C7"/>
    <w:rsid w:val="28B5329F"/>
    <w:rsid w:val="28BC3D0D"/>
    <w:rsid w:val="28C02B57"/>
    <w:rsid w:val="29630195"/>
    <w:rsid w:val="29D52AD3"/>
    <w:rsid w:val="29E84150"/>
    <w:rsid w:val="29ED389E"/>
    <w:rsid w:val="2A8A2314"/>
    <w:rsid w:val="2A966041"/>
    <w:rsid w:val="2AA24C7A"/>
    <w:rsid w:val="2ABC4930"/>
    <w:rsid w:val="2AC84BEB"/>
    <w:rsid w:val="2B3247EE"/>
    <w:rsid w:val="2B7811E8"/>
    <w:rsid w:val="2B864BD2"/>
    <w:rsid w:val="2B8D0BCA"/>
    <w:rsid w:val="2B9D1BD3"/>
    <w:rsid w:val="2BAB357A"/>
    <w:rsid w:val="2C202AFE"/>
    <w:rsid w:val="2C372028"/>
    <w:rsid w:val="2C4936F8"/>
    <w:rsid w:val="2C4C09C7"/>
    <w:rsid w:val="2CB71E8E"/>
    <w:rsid w:val="2D5C2F9F"/>
    <w:rsid w:val="2D6E204D"/>
    <w:rsid w:val="2D7B164A"/>
    <w:rsid w:val="2D9E16CA"/>
    <w:rsid w:val="2DA15DB4"/>
    <w:rsid w:val="2DCF0344"/>
    <w:rsid w:val="2DE30898"/>
    <w:rsid w:val="2DEA1E14"/>
    <w:rsid w:val="2E1302A3"/>
    <w:rsid w:val="2E2B22F1"/>
    <w:rsid w:val="2E63050C"/>
    <w:rsid w:val="2E6E40B7"/>
    <w:rsid w:val="2E996C26"/>
    <w:rsid w:val="2EC67693"/>
    <w:rsid w:val="2EFE2CBD"/>
    <w:rsid w:val="2F551C4C"/>
    <w:rsid w:val="2F7E7075"/>
    <w:rsid w:val="2F875549"/>
    <w:rsid w:val="2FD91648"/>
    <w:rsid w:val="2FE06533"/>
    <w:rsid w:val="2FE83639"/>
    <w:rsid w:val="301C292E"/>
    <w:rsid w:val="305A4537"/>
    <w:rsid w:val="305C2AA5"/>
    <w:rsid w:val="30983CEE"/>
    <w:rsid w:val="30B005FB"/>
    <w:rsid w:val="30E16A06"/>
    <w:rsid w:val="318C4BC4"/>
    <w:rsid w:val="31E64C63"/>
    <w:rsid w:val="325F44F2"/>
    <w:rsid w:val="328F5951"/>
    <w:rsid w:val="331F3816"/>
    <w:rsid w:val="33411E9E"/>
    <w:rsid w:val="3366517B"/>
    <w:rsid w:val="336E7E90"/>
    <w:rsid w:val="33DB773D"/>
    <w:rsid w:val="342E6689"/>
    <w:rsid w:val="348C1FCB"/>
    <w:rsid w:val="35033479"/>
    <w:rsid w:val="350C1FCA"/>
    <w:rsid w:val="35227EC6"/>
    <w:rsid w:val="35507CB7"/>
    <w:rsid w:val="357B6707"/>
    <w:rsid w:val="36213401"/>
    <w:rsid w:val="362D3E3E"/>
    <w:rsid w:val="3640095E"/>
    <w:rsid w:val="3675200E"/>
    <w:rsid w:val="36813910"/>
    <w:rsid w:val="36F86B10"/>
    <w:rsid w:val="37152F66"/>
    <w:rsid w:val="37192788"/>
    <w:rsid w:val="373B14E6"/>
    <w:rsid w:val="37434887"/>
    <w:rsid w:val="38B247E4"/>
    <w:rsid w:val="38CF5396"/>
    <w:rsid w:val="39421F71"/>
    <w:rsid w:val="39B76FCB"/>
    <w:rsid w:val="39C013F2"/>
    <w:rsid w:val="3A027CF1"/>
    <w:rsid w:val="3A865F28"/>
    <w:rsid w:val="3AA92EF3"/>
    <w:rsid w:val="3AF57181"/>
    <w:rsid w:val="3B0E6B6D"/>
    <w:rsid w:val="3B5F6EA5"/>
    <w:rsid w:val="3B966657"/>
    <w:rsid w:val="3BC7733E"/>
    <w:rsid w:val="3BF55114"/>
    <w:rsid w:val="3BFD0179"/>
    <w:rsid w:val="3C6F178D"/>
    <w:rsid w:val="3CA54D8C"/>
    <w:rsid w:val="3CCC1C38"/>
    <w:rsid w:val="3D3E2D16"/>
    <w:rsid w:val="3D5E57D1"/>
    <w:rsid w:val="3D7309E6"/>
    <w:rsid w:val="3D862878"/>
    <w:rsid w:val="3DB509E9"/>
    <w:rsid w:val="3DFF2D27"/>
    <w:rsid w:val="3E23767B"/>
    <w:rsid w:val="3E3B61E0"/>
    <w:rsid w:val="3EA51885"/>
    <w:rsid w:val="3EAA5F30"/>
    <w:rsid w:val="3EC15D7C"/>
    <w:rsid w:val="3ECB6015"/>
    <w:rsid w:val="3ED63E82"/>
    <w:rsid w:val="3F301E44"/>
    <w:rsid w:val="3F917849"/>
    <w:rsid w:val="3F9A0FE5"/>
    <w:rsid w:val="3FAA3B4B"/>
    <w:rsid w:val="3FB3510C"/>
    <w:rsid w:val="3FD86DF9"/>
    <w:rsid w:val="3FEC54FC"/>
    <w:rsid w:val="3FF05D8A"/>
    <w:rsid w:val="401625B0"/>
    <w:rsid w:val="40616E07"/>
    <w:rsid w:val="408D1DBF"/>
    <w:rsid w:val="40D43E92"/>
    <w:rsid w:val="41076015"/>
    <w:rsid w:val="41096F15"/>
    <w:rsid w:val="414C7ECC"/>
    <w:rsid w:val="41502552"/>
    <w:rsid w:val="41506777"/>
    <w:rsid w:val="415E3A0E"/>
    <w:rsid w:val="41781697"/>
    <w:rsid w:val="41790595"/>
    <w:rsid w:val="419D38AB"/>
    <w:rsid w:val="41A1500F"/>
    <w:rsid w:val="41EE1526"/>
    <w:rsid w:val="42260399"/>
    <w:rsid w:val="426066DD"/>
    <w:rsid w:val="42711F71"/>
    <w:rsid w:val="42887C52"/>
    <w:rsid w:val="42C35F6C"/>
    <w:rsid w:val="43122A4F"/>
    <w:rsid w:val="432033BE"/>
    <w:rsid w:val="43447AEB"/>
    <w:rsid w:val="437E1A64"/>
    <w:rsid w:val="43C252AE"/>
    <w:rsid w:val="43CE5F83"/>
    <w:rsid w:val="43DC557C"/>
    <w:rsid w:val="43F4206D"/>
    <w:rsid w:val="44615A3C"/>
    <w:rsid w:val="44B916F6"/>
    <w:rsid w:val="44D01572"/>
    <w:rsid w:val="44E32678"/>
    <w:rsid w:val="455B1BC2"/>
    <w:rsid w:val="455D7C22"/>
    <w:rsid w:val="45B847AC"/>
    <w:rsid w:val="45C03FB5"/>
    <w:rsid w:val="45D34853"/>
    <w:rsid w:val="45EF0E26"/>
    <w:rsid w:val="460E39A2"/>
    <w:rsid w:val="461A4A96"/>
    <w:rsid w:val="469926ED"/>
    <w:rsid w:val="469E2394"/>
    <w:rsid w:val="47013507"/>
    <w:rsid w:val="47902643"/>
    <w:rsid w:val="47F941DE"/>
    <w:rsid w:val="4812704D"/>
    <w:rsid w:val="48311F1C"/>
    <w:rsid w:val="484034AE"/>
    <w:rsid w:val="49170DBF"/>
    <w:rsid w:val="4A62052C"/>
    <w:rsid w:val="4AE56C4C"/>
    <w:rsid w:val="4B073D34"/>
    <w:rsid w:val="4B12015C"/>
    <w:rsid w:val="4B1239A8"/>
    <w:rsid w:val="4B8A0B0C"/>
    <w:rsid w:val="4BE551A5"/>
    <w:rsid w:val="4BFD4F77"/>
    <w:rsid w:val="4C126CDE"/>
    <w:rsid w:val="4C1573C4"/>
    <w:rsid w:val="4CB45121"/>
    <w:rsid w:val="4DD93E92"/>
    <w:rsid w:val="4E141D71"/>
    <w:rsid w:val="4E157897"/>
    <w:rsid w:val="4E791BD4"/>
    <w:rsid w:val="4E7F11C3"/>
    <w:rsid w:val="4EB831B7"/>
    <w:rsid w:val="4EF66A17"/>
    <w:rsid w:val="4F0B7446"/>
    <w:rsid w:val="4F207FB2"/>
    <w:rsid w:val="4F261F0C"/>
    <w:rsid w:val="4F6B59C1"/>
    <w:rsid w:val="4F8F62E7"/>
    <w:rsid w:val="4FA17635"/>
    <w:rsid w:val="4FD317B8"/>
    <w:rsid w:val="4FE97426"/>
    <w:rsid w:val="50355FCF"/>
    <w:rsid w:val="50A20D78"/>
    <w:rsid w:val="50F25B8D"/>
    <w:rsid w:val="513047D2"/>
    <w:rsid w:val="5189695A"/>
    <w:rsid w:val="51B15B29"/>
    <w:rsid w:val="51BE02C1"/>
    <w:rsid w:val="51D04F44"/>
    <w:rsid w:val="51E33405"/>
    <w:rsid w:val="51FD4C22"/>
    <w:rsid w:val="523B1411"/>
    <w:rsid w:val="526A01B2"/>
    <w:rsid w:val="528079D5"/>
    <w:rsid w:val="52814A66"/>
    <w:rsid w:val="529E09D7"/>
    <w:rsid w:val="52A5568F"/>
    <w:rsid w:val="52BF5674"/>
    <w:rsid w:val="531C6FD2"/>
    <w:rsid w:val="533E60EA"/>
    <w:rsid w:val="53605111"/>
    <w:rsid w:val="53795FC5"/>
    <w:rsid w:val="53AA2830"/>
    <w:rsid w:val="53CF54F2"/>
    <w:rsid w:val="54330845"/>
    <w:rsid w:val="54354FEE"/>
    <w:rsid w:val="54752E3E"/>
    <w:rsid w:val="54796C2E"/>
    <w:rsid w:val="549403B5"/>
    <w:rsid w:val="54BC3236"/>
    <w:rsid w:val="54FC5286"/>
    <w:rsid w:val="55226A64"/>
    <w:rsid w:val="55392A77"/>
    <w:rsid w:val="559E6ECE"/>
    <w:rsid w:val="56285457"/>
    <w:rsid w:val="567B1EEE"/>
    <w:rsid w:val="56864A04"/>
    <w:rsid w:val="56AC02AF"/>
    <w:rsid w:val="56C313D7"/>
    <w:rsid w:val="56FB1D20"/>
    <w:rsid w:val="574F5BC8"/>
    <w:rsid w:val="576C677A"/>
    <w:rsid w:val="57910261"/>
    <w:rsid w:val="57BC3D6B"/>
    <w:rsid w:val="57D63BF4"/>
    <w:rsid w:val="57E379FD"/>
    <w:rsid w:val="58740EBC"/>
    <w:rsid w:val="589145BF"/>
    <w:rsid w:val="594F0101"/>
    <w:rsid w:val="5A1A348E"/>
    <w:rsid w:val="5A613AEE"/>
    <w:rsid w:val="5A7B680B"/>
    <w:rsid w:val="5AAC6F50"/>
    <w:rsid w:val="5B0B52BB"/>
    <w:rsid w:val="5B0E2582"/>
    <w:rsid w:val="5B4F654B"/>
    <w:rsid w:val="5B575D5D"/>
    <w:rsid w:val="5B773940"/>
    <w:rsid w:val="5B872B20"/>
    <w:rsid w:val="5BF4056C"/>
    <w:rsid w:val="5C1C1FFC"/>
    <w:rsid w:val="5CA00A1A"/>
    <w:rsid w:val="5CA34E84"/>
    <w:rsid w:val="5CF20FB7"/>
    <w:rsid w:val="5D2A26E5"/>
    <w:rsid w:val="5D3436B4"/>
    <w:rsid w:val="5D704D3A"/>
    <w:rsid w:val="5DB511CE"/>
    <w:rsid w:val="5DE3706A"/>
    <w:rsid w:val="5E1F6299"/>
    <w:rsid w:val="5E3D4148"/>
    <w:rsid w:val="5E3D4AE4"/>
    <w:rsid w:val="5E4D4561"/>
    <w:rsid w:val="5E6152EE"/>
    <w:rsid w:val="5E6F59BE"/>
    <w:rsid w:val="5E9E3EAD"/>
    <w:rsid w:val="5EC450EE"/>
    <w:rsid w:val="5ED115B9"/>
    <w:rsid w:val="5F247D89"/>
    <w:rsid w:val="5F6146B0"/>
    <w:rsid w:val="5FAC4374"/>
    <w:rsid w:val="6037369D"/>
    <w:rsid w:val="60952EF1"/>
    <w:rsid w:val="60961AB3"/>
    <w:rsid w:val="60BB416C"/>
    <w:rsid w:val="60D05FDE"/>
    <w:rsid w:val="60EC6677"/>
    <w:rsid w:val="61377DF9"/>
    <w:rsid w:val="61E479FD"/>
    <w:rsid w:val="61E53771"/>
    <w:rsid w:val="621450DD"/>
    <w:rsid w:val="62361E5F"/>
    <w:rsid w:val="6292663C"/>
    <w:rsid w:val="63072E16"/>
    <w:rsid w:val="63106841"/>
    <w:rsid w:val="63462FD4"/>
    <w:rsid w:val="63486485"/>
    <w:rsid w:val="63B20BA0"/>
    <w:rsid w:val="65194D3B"/>
    <w:rsid w:val="652F6DFE"/>
    <w:rsid w:val="65472D16"/>
    <w:rsid w:val="6582181F"/>
    <w:rsid w:val="658A426F"/>
    <w:rsid w:val="665E10E4"/>
    <w:rsid w:val="66740F95"/>
    <w:rsid w:val="667D42EE"/>
    <w:rsid w:val="66A4124A"/>
    <w:rsid w:val="66CF6D7D"/>
    <w:rsid w:val="675608AD"/>
    <w:rsid w:val="676818B7"/>
    <w:rsid w:val="67AD3AB0"/>
    <w:rsid w:val="67B362ED"/>
    <w:rsid w:val="67D1624A"/>
    <w:rsid w:val="682E2957"/>
    <w:rsid w:val="683E1DD2"/>
    <w:rsid w:val="685B76F7"/>
    <w:rsid w:val="68B619C3"/>
    <w:rsid w:val="68B8177D"/>
    <w:rsid w:val="68BA747F"/>
    <w:rsid w:val="68E54F0D"/>
    <w:rsid w:val="68F13C0B"/>
    <w:rsid w:val="690031C6"/>
    <w:rsid w:val="6930374C"/>
    <w:rsid w:val="693D1CF7"/>
    <w:rsid w:val="69405812"/>
    <w:rsid w:val="69412B74"/>
    <w:rsid w:val="697E058F"/>
    <w:rsid w:val="69916F81"/>
    <w:rsid w:val="69BE2348"/>
    <w:rsid w:val="69C615E3"/>
    <w:rsid w:val="69DC68F4"/>
    <w:rsid w:val="6A3010D5"/>
    <w:rsid w:val="6A3368E3"/>
    <w:rsid w:val="6A8C42A6"/>
    <w:rsid w:val="6AAA163C"/>
    <w:rsid w:val="6B52585C"/>
    <w:rsid w:val="6B6F4633"/>
    <w:rsid w:val="6B956C1B"/>
    <w:rsid w:val="6BB64010"/>
    <w:rsid w:val="6C0E20C9"/>
    <w:rsid w:val="6C3C4515"/>
    <w:rsid w:val="6C785415"/>
    <w:rsid w:val="6CCB467D"/>
    <w:rsid w:val="6CDA167F"/>
    <w:rsid w:val="6CDA5C14"/>
    <w:rsid w:val="6CF272CA"/>
    <w:rsid w:val="6D372F2F"/>
    <w:rsid w:val="6D716441"/>
    <w:rsid w:val="6DC778DE"/>
    <w:rsid w:val="6DE247E6"/>
    <w:rsid w:val="6E72047E"/>
    <w:rsid w:val="6EA24DEB"/>
    <w:rsid w:val="6EB75803"/>
    <w:rsid w:val="6EEC39B9"/>
    <w:rsid w:val="6F2D283B"/>
    <w:rsid w:val="6F983DC8"/>
    <w:rsid w:val="6F9A2F16"/>
    <w:rsid w:val="6FC00161"/>
    <w:rsid w:val="70510105"/>
    <w:rsid w:val="70761FC0"/>
    <w:rsid w:val="70D51179"/>
    <w:rsid w:val="716F071F"/>
    <w:rsid w:val="717F7927"/>
    <w:rsid w:val="718A71E0"/>
    <w:rsid w:val="719426FE"/>
    <w:rsid w:val="71E739A6"/>
    <w:rsid w:val="72062ED0"/>
    <w:rsid w:val="7209548D"/>
    <w:rsid w:val="7265712E"/>
    <w:rsid w:val="726B5B8B"/>
    <w:rsid w:val="726E11A1"/>
    <w:rsid w:val="7298621E"/>
    <w:rsid w:val="72D50249"/>
    <w:rsid w:val="73602EA4"/>
    <w:rsid w:val="736B748E"/>
    <w:rsid w:val="73A0265B"/>
    <w:rsid w:val="73B652B3"/>
    <w:rsid w:val="74093A29"/>
    <w:rsid w:val="74CA3F6B"/>
    <w:rsid w:val="74CE6AB9"/>
    <w:rsid w:val="75466117"/>
    <w:rsid w:val="758B302F"/>
    <w:rsid w:val="75B53679"/>
    <w:rsid w:val="75FB30BB"/>
    <w:rsid w:val="768E2855"/>
    <w:rsid w:val="769D2054"/>
    <w:rsid w:val="76BF2DB6"/>
    <w:rsid w:val="76D4359C"/>
    <w:rsid w:val="76D74912"/>
    <w:rsid w:val="777E4AC2"/>
    <w:rsid w:val="77B21941"/>
    <w:rsid w:val="77B774AC"/>
    <w:rsid w:val="77DE53B0"/>
    <w:rsid w:val="77F07E77"/>
    <w:rsid w:val="788623B9"/>
    <w:rsid w:val="78DB2911"/>
    <w:rsid w:val="790E4D17"/>
    <w:rsid w:val="791F33FC"/>
    <w:rsid w:val="79565183"/>
    <w:rsid w:val="79726057"/>
    <w:rsid w:val="79935991"/>
    <w:rsid w:val="79A01CD1"/>
    <w:rsid w:val="79AC702F"/>
    <w:rsid w:val="7A1359E3"/>
    <w:rsid w:val="7A200681"/>
    <w:rsid w:val="7A6A13E6"/>
    <w:rsid w:val="7A965EBE"/>
    <w:rsid w:val="7AE37339"/>
    <w:rsid w:val="7B292109"/>
    <w:rsid w:val="7B3E6737"/>
    <w:rsid w:val="7BEF2896"/>
    <w:rsid w:val="7C7F1D14"/>
    <w:rsid w:val="7C914409"/>
    <w:rsid w:val="7CD60623"/>
    <w:rsid w:val="7CDA7628"/>
    <w:rsid w:val="7D3F340F"/>
    <w:rsid w:val="7D820780"/>
    <w:rsid w:val="7DB27958"/>
    <w:rsid w:val="7E132BFC"/>
    <w:rsid w:val="7E6F6413"/>
    <w:rsid w:val="7E7F636F"/>
    <w:rsid w:val="7E865D93"/>
    <w:rsid w:val="7EA85A3A"/>
    <w:rsid w:val="7EB616C2"/>
    <w:rsid w:val="7ED623AA"/>
    <w:rsid w:val="7EED4BDD"/>
    <w:rsid w:val="7F286B7B"/>
    <w:rsid w:val="7F4734A5"/>
    <w:rsid w:val="7F4B59D6"/>
    <w:rsid w:val="7F4D32C3"/>
    <w:rsid w:val="7F9F224E"/>
    <w:rsid w:val="7FCA075B"/>
    <w:rsid w:val="7FE7802C"/>
    <w:rsid w:val="7FF015C4"/>
    <w:rsid w:val="D75F36F6"/>
    <w:rsid w:val="EF1BDAFA"/>
    <w:rsid w:val="FB9FA652"/>
    <w:rsid w:val="FF37F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仿宋"/>
      <w:sz w:val="32"/>
      <w:szCs w:val="32"/>
      <w:lang w:val="en-US" w:eastAsia="zh-CN" w:bidi="ar-SA"/>
    </w:rPr>
  </w:style>
  <w:style w:type="paragraph" w:styleId="6">
    <w:name w:val="heading 1"/>
    <w:basedOn w:val="1"/>
    <w:next w:val="1"/>
    <w:link w:val="39"/>
    <w:qFormat/>
    <w:uiPriority w:val="0"/>
    <w:pPr>
      <w:keepNext/>
      <w:keepLines/>
      <w:outlineLvl w:val="0"/>
    </w:pPr>
    <w:rPr>
      <w:rFonts w:ascii="Times New Roman" w:hAnsi="Times New Roman" w:eastAsia="黑体" w:cs="黑体"/>
      <w:bCs/>
      <w:snapToGrid w:val="0"/>
      <w:color w:val="000000"/>
      <w:kern w:val="44"/>
      <w:sz w:val="32"/>
      <w:szCs w:val="36"/>
    </w:rPr>
  </w:style>
  <w:style w:type="paragraph" w:styleId="7">
    <w:name w:val="heading 2"/>
    <w:basedOn w:val="1"/>
    <w:next w:val="1"/>
    <w:link w:val="40"/>
    <w:unhideWhenUsed/>
    <w:qFormat/>
    <w:uiPriority w:val="0"/>
    <w:pPr>
      <w:keepNext/>
      <w:keepLines/>
      <w:outlineLvl w:val="1"/>
    </w:pPr>
    <w:rPr>
      <w:rFonts w:eastAsia="楷体_GB2312" w:asciiTheme="majorAscii" w:hAnsiTheme="majorAscii" w:cstheme="majorBidi"/>
      <w:szCs w:val="40"/>
    </w:rPr>
  </w:style>
  <w:style w:type="paragraph" w:styleId="8">
    <w:name w:val="heading 3"/>
    <w:basedOn w:val="1"/>
    <w:next w:val="1"/>
    <w:link w:val="42"/>
    <w:unhideWhenUsed/>
    <w:qFormat/>
    <w:uiPriority w:val="0"/>
    <w:pPr>
      <w:keepNext/>
      <w:keepLines/>
      <w:ind w:firstLine="643"/>
      <w:outlineLvl w:val="2"/>
    </w:pPr>
    <w:rPr>
      <w:rFonts w:asciiTheme="majorAscii" w:hAnsiTheme="majorAscii" w:cstheme="majorBidi"/>
      <w:b/>
      <w:bCs/>
      <w:color w:val="auto"/>
    </w:rPr>
  </w:style>
  <w:style w:type="paragraph" w:styleId="9">
    <w:name w:val="heading 4"/>
    <w:basedOn w:val="1"/>
    <w:next w:val="1"/>
    <w:link w:val="4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10">
    <w:name w:val="heading 5"/>
    <w:basedOn w:val="1"/>
    <w:next w:val="1"/>
    <w:link w:val="4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11">
    <w:name w:val="heading 6"/>
    <w:basedOn w:val="1"/>
    <w:next w:val="1"/>
    <w:link w:val="44"/>
    <w:semiHidden/>
    <w:unhideWhenUsed/>
    <w:qFormat/>
    <w:uiPriority w:val="9"/>
    <w:pPr>
      <w:keepNext/>
      <w:keepLines/>
      <w:spacing w:before="40"/>
      <w:outlineLvl w:val="5"/>
    </w:pPr>
    <w:rPr>
      <w:rFonts w:cstheme="majorBidi"/>
      <w:b/>
      <w:bCs/>
      <w:color w:val="2F5597" w:themeColor="accent1" w:themeShade="BF"/>
    </w:rPr>
  </w:style>
  <w:style w:type="paragraph" w:styleId="12">
    <w:name w:val="heading 7"/>
    <w:basedOn w:val="1"/>
    <w:next w:val="1"/>
    <w:link w:val="4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3">
    <w:name w:val="heading 8"/>
    <w:basedOn w:val="1"/>
    <w:next w:val="1"/>
    <w:link w:val="4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4">
    <w:name w:val="heading 9"/>
    <w:basedOn w:val="1"/>
    <w:next w:val="1"/>
    <w:link w:val="47"/>
    <w:semiHidden/>
    <w:unhideWhenUsed/>
    <w:qFormat/>
    <w:uiPriority w:val="9"/>
    <w:pPr>
      <w:keepNext/>
      <w:keepLines/>
      <w:outlineLvl w:val="8"/>
    </w:pPr>
    <w:rPr>
      <w:rFonts w:cstheme="majorBidi"/>
      <w:color w:val="595959" w:themeColor="text1" w:themeTint="A6"/>
      <w14:textFill>
        <w14:solidFill>
          <w14:schemeClr w14:val="tx1">
            <w14:lumMod w14:val="65000"/>
            <w14:lumOff w14:val="35000"/>
          </w14:schemeClr>
        </w14:solidFill>
      </w14:textFill>
    </w:rPr>
  </w:style>
  <w:style w:type="character" w:default="1" w:styleId="35">
    <w:name w:val="Default Paragraph Font"/>
    <w:semiHidden/>
    <w:unhideWhenUsed/>
    <w:qFormat/>
    <w:uiPriority w:val="1"/>
  </w:style>
  <w:style w:type="table" w:default="1" w:styleId="33">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customStyle="1" w:styleId="2">
    <w:name w:val="Default"/>
    <w:basedOn w:val="3"/>
    <w:next w:val="5"/>
    <w:unhideWhenUsed/>
    <w:qFormat/>
    <w:uiPriority w:val="99"/>
    <w:pPr>
      <w:autoSpaceDE w:val="0"/>
      <w:autoSpaceDN w:val="0"/>
      <w:adjustRightInd w:val="0"/>
    </w:pPr>
    <w:rPr>
      <w:rFonts w:ascii="仿宋_GB2312" w:hAnsi="仿宋_GB2312" w:eastAsia="仿宋_GB2312"/>
      <w:sz w:val="24"/>
      <w:lang w:bidi="ar-SA"/>
    </w:rPr>
  </w:style>
  <w:style w:type="paragraph" w:customStyle="1" w:styleId="3">
    <w:name w:val="正文1"/>
    <w:next w:val="4"/>
    <w:qFormat/>
    <w:uiPriority w:val="0"/>
    <w:pPr>
      <w:widowControl w:val="0"/>
      <w:jc w:val="both"/>
    </w:pPr>
    <w:rPr>
      <w:rFonts w:ascii="Calibri;Segoe UI" w:hAnsi="Calibri;Segoe UI" w:eastAsia="等线;微软雅黑" w:cs="Times New Roman"/>
      <w:color w:val="000000"/>
      <w:kern w:val="2"/>
      <w:sz w:val="21"/>
      <w:szCs w:val="24"/>
      <w:lang w:val="en-US" w:eastAsia="zh-CN" w:bidi="hi-IN"/>
    </w:rPr>
  </w:style>
  <w:style w:type="paragraph" w:customStyle="1" w:styleId="4">
    <w:name w:val="页脚1"/>
    <w:basedOn w:val="3"/>
    <w:qFormat/>
    <w:uiPriority w:val="0"/>
    <w:pPr>
      <w:tabs>
        <w:tab w:val="center" w:pos="4153"/>
        <w:tab w:val="right" w:pos="8306"/>
      </w:tabs>
      <w:snapToGrid w:val="0"/>
      <w:jc w:val="left"/>
    </w:pPr>
    <w:rPr>
      <w:sz w:val="18"/>
      <w:szCs w:val="18"/>
    </w:rPr>
  </w:style>
  <w:style w:type="paragraph" w:styleId="5">
    <w:name w:val="Subtitle"/>
    <w:basedOn w:val="1"/>
    <w:next w:val="1"/>
    <w:link w:val="49"/>
    <w:qFormat/>
    <w:uiPriority w:val="0"/>
    <w:pPr>
      <w:spacing w:after="160"/>
      <w:jc w:val="center"/>
    </w:pPr>
    <w:rPr>
      <w:rFonts w:asciiTheme="majorHAnsi" w:hAnsiTheme="majorHAnsi"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oc 7"/>
    <w:basedOn w:val="1"/>
    <w:next w:val="1"/>
    <w:autoRedefine/>
    <w:unhideWhenUsed/>
    <w:qFormat/>
    <w:uiPriority w:val="39"/>
    <w:pPr>
      <w:spacing w:after="160" w:line="278" w:lineRule="auto"/>
      <w:ind w:left="2520" w:leftChars="1200" w:firstLine="0" w:firstLineChars="0"/>
      <w:jc w:val="left"/>
    </w:pPr>
    <w:rPr>
      <w:rFonts w:asciiTheme="minorHAnsi" w:hAnsiTheme="minorHAnsi" w:eastAsiaTheme="minorEastAsia" w:cstheme="minorBidi"/>
      <w:kern w:val="2"/>
      <w:sz w:val="22"/>
      <w:szCs w:val="24"/>
      <w14:ligatures w14:val="standardContextual"/>
    </w:rPr>
  </w:style>
  <w:style w:type="paragraph" w:styleId="16">
    <w:name w:val="Normal Indent"/>
    <w:basedOn w:val="1"/>
    <w:qFormat/>
    <w:uiPriority w:val="0"/>
    <w:pPr>
      <w:ind w:firstLine="420"/>
    </w:pPr>
    <w:rPr>
      <w:rFonts w:ascii="Calibri" w:hAnsi="Calibri" w:eastAsia="宋体" w:cs="Times New Roman"/>
      <w:kern w:val="2"/>
      <w:sz w:val="21"/>
      <w:szCs w:val="24"/>
    </w:rPr>
  </w:style>
  <w:style w:type="paragraph" w:styleId="17">
    <w:name w:val="annotation text"/>
    <w:basedOn w:val="1"/>
    <w:semiHidden/>
    <w:unhideWhenUsed/>
    <w:qFormat/>
    <w:uiPriority w:val="99"/>
    <w:pPr>
      <w:jc w:val="left"/>
    </w:pPr>
  </w:style>
  <w:style w:type="paragraph" w:styleId="18">
    <w:name w:val="Body Text"/>
    <w:basedOn w:val="1"/>
    <w:next w:val="1"/>
    <w:link w:val="57"/>
    <w:qFormat/>
    <w:uiPriority w:val="1"/>
    <w:pPr>
      <w:adjustRightInd w:val="0"/>
      <w:snapToGrid w:val="0"/>
      <w:ind w:firstLine="632"/>
    </w:pPr>
    <w:rPr>
      <w:sz w:val="24"/>
    </w:rPr>
  </w:style>
  <w:style w:type="paragraph" w:styleId="19">
    <w:name w:val="Body Text Indent"/>
    <w:basedOn w:val="1"/>
    <w:link w:val="66"/>
    <w:semiHidden/>
    <w:unhideWhenUsed/>
    <w:qFormat/>
    <w:uiPriority w:val="99"/>
    <w:pPr>
      <w:spacing w:after="120"/>
      <w:ind w:left="420" w:leftChars="200"/>
    </w:pPr>
  </w:style>
  <w:style w:type="paragraph" w:styleId="20">
    <w:name w:val="toc 5"/>
    <w:basedOn w:val="1"/>
    <w:next w:val="1"/>
    <w:autoRedefine/>
    <w:unhideWhenUsed/>
    <w:qFormat/>
    <w:uiPriority w:val="39"/>
    <w:pPr>
      <w:spacing w:after="160" w:line="278" w:lineRule="auto"/>
      <w:ind w:left="1680" w:leftChars="800" w:firstLine="0" w:firstLineChars="0"/>
      <w:jc w:val="left"/>
    </w:pPr>
    <w:rPr>
      <w:rFonts w:asciiTheme="minorHAnsi" w:hAnsiTheme="minorHAnsi" w:eastAsiaTheme="minorEastAsia" w:cstheme="minorBidi"/>
      <w:kern w:val="2"/>
      <w:sz w:val="22"/>
      <w:szCs w:val="24"/>
      <w14:ligatures w14:val="standardContextual"/>
    </w:rPr>
  </w:style>
  <w:style w:type="paragraph" w:styleId="21">
    <w:name w:val="toc 3"/>
    <w:basedOn w:val="1"/>
    <w:next w:val="1"/>
    <w:qFormat/>
    <w:uiPriority w:val="39"/>
    <w:pPr>
      <w:ind w:left="840" w:leftChars="400" w:firstLine="0" w:firstLineChars="0"/>
    </w:pPr>
    <w:rPr>
      <w:rFonts w:ascii="Times New Roman" w:hAnsi="Times New Roman"/>
      <w:sz w:val="32"/>
    </w:rPr>
  </w:style>
  <w:style w:type="paragraph" w:styleId="22">
    <w:name w:val="toc 8"/>
    <w:basedOn w:val="1"/>
    <w:next w:val="1"/>
    <w:autoRedefine/>
    <w:unhideWhenUsed/>
    <w:qFormat/>
    <w:uiPriority w:val="39"/>
    <w:pPr>
      <w:spacing w:after="160" w:line="278" w:lineRule="auto"/>
      <w:ind w:left="2940" w:leftChars="1400" w:firstLine="0" w:firstLineChars="0"/>
      <w:jc w:val="left"/>
    </w:pPr>
    <w:rPr>
      <w:rFonts w:asciiTheme="minorHAnsi" w:hAnsiTheme="minorHAnsi" w:eastAsiaTheme="minorEastAsia" w:cstheme="minorBidi"/>
      <w:kern w:val="2"/>
      <w:sz w:val="22"/>
      <w:szCs w:val="24"/>
      <w14:ligatures w14:val="standardContextual"/>
    </w:rPr>
  </w:style>
  <w:style w:type="paragraph" w:styleId="23">
    <w:name w:val="footer"/>
    <w:basedOn w:val="1"/>
    <w:link w:val="58"/>
    <w:unhideWhenUsed/>
    <w:qFormat/>
    <w:uiPriority w:val="99"/>
    <w:pPr>
      <w:tabs>
        <w:tab w:val="center" w:pos="4153"/>
        <w:tab w:val="right" w:pos="8306"/>
      </w:tabs>
      <w:jc w:val="left"/>
    </w:pPr>
    <w:rPr>
      <w:sz w:val="18"/>
    </w:rPr>
  </w:style>
  <w:style w:type="paragraph" w:styleId="24">
    <w:name w:val="header"/>
    <w:basedOn w:val="1"/>
    <w:link w:val="59"/>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25">
    <w:name w:val="toc 1"/>
    <w:basedOn w:val="1"/>
    <w:next w:val="1"/>
    <w:qFormat/>
    <w:uiPriority w:val="39"/>
    <w:pPr>
      <w:ind w:firstLine="0" w:firstLineChars="0"/>
    </w:pPr>
    <w:rPr>
      <w:rFonts w:ascii="Times New Roman" w:hAnsi="Times New Roman" w:eastAsia="黑体" w:cs="黑体"/>
    </w:rPr>
  </w:style>
  <w:style w:type="paragraph" w:styleId="26">
    <w:name w:val="toc 4"/>
    <w:basedOn w:val="1"/>
    <w:next w:val="1"/>
    <w:autoRedefine/>
    <w:unhideWhenUsed/>
    <w:qFormat/>
    <w:uiPriority w:val="39"/>
    <w:pPr>
      <w:spacing w:after="160" w:line="278" w:lineRule="auto"/>
      <w:ind w:left="1260" w:leftChars="600" w:firstLine="0" w:firstLineChars="0"/>
      <w:jc w:val="left"/>
    </w:pPr>
    <w:rPr>
      <w:rFonts w:asciiTheme="minorHAnsi" w:hAnsiTheme="minorHAnsi" w:eastAsiaTheme="minorEastAsia" w:cstheme="minorBidi"/>
      <w:kern w:val="2"/>
      <w:sz w:val="22"/>
      <w:szCs w:val="24"/>
      <w14:ligatures w14:val="standardContextual"/>
    </w:rPr>
  </w:style>
  <w:style w:type="paragraph" w:styleId="27">
    <w:name w:val="toc 6"/>
    <w:basedOn w:val="1"/>
    <w:next w:val="1"/>
    <w:autoRedefine/>
    <w:unhideWhenUsed/>
    <w:qFormat/>
    <w:uiPriority w:val="39"/>
    <w:pPr>
      <w:spacing w:after="160" w:line="278" w:lineRule="auto"/>
      <w:ind w:left="2100" w:leftChars="1000" w:firstLine="0" w:firstLineChars="0"/>
      <w:jc w:val="left"/>
    </w:pPr>
    <w:rPr>
      <w:rFonts w:asciiTheme="minorHAnsi" w:hAnsiTheme="minorHAnsi" w:eastAsiaTheme="minorEastAsia" w:cstheme="minorBidi"/>
      <w:kern w:val="2"/>
      <w:sz w:val="22"/>
      <w:szCs w:val="24"/>
      <w14:ligatures w14:val="standardContextual"/>
    </w:rPr>
  </w:style>
  <w:style w:type="paragraph" w:styleId="28">
    <w:name w:val="toc 2"/>
    <w:basedOn w:val="1"/>
    <w:next w:val="1"/>
    <w:qFormat/>
    <w:uiPriority w:val="39"/>
    <w:pPr>
      <w:spacing w:line="240" w:lineRule="auto"/>
      <w:ind w:left="420" w:leftChars="200" w:firstLine="0" w:firstLineChars="0"/>
    </w:pPr>
    <w:rPr>
      <w:rFonts w:ascii="Times New Roman" w:hAnsi="Times New Roman" w:eastAsia="楷体" w:cs="楷体"/>
    </w:rPr>
  </w:style>
  <w:style w:type="paragraph" w:styleId="29">
    <w:name w:val="toc 9"/>
    <w:basedOn w:val="1"/>
    <w:next w:val="1"/>
    <w:autoRedefine/>
    <w:unhideWhenUsed/>
    <w:qFormat/>
    <w:uiPriority w:val="39"/>
    <w:pPr>
      <w:spacing w:after="160" w:line="278" w:lineRule="auto"/>
      <w:ind w:left="3360" w:leftChars="1600" w:firstLine="0" w:firstLineChars="0"/>
      <w:jc w:val="left"/>
    </w:pPr>
    <w:rPr>
      <w:rFonts w:asciiTheme="minorHAnsi" w:hAnsiTheme="minorHAnsi" w:eastAsiaTheme="minorEastAsia" w:cstheme="minorBidi"/>
      <w:kern w:val="2"/>
      <w:sz w:val="22"/>
      <w:szCs w:val="24"/>
      <w14:ligatures w14:val="standardContextual"/>
    </w:rPr>
  </w:style>
  <w:style w:type="paragraph" w:styleId="30">
    <w:name w:val="Normal (Web)"/>
    <w:basedOn w:val="1"/>
    <w:qFormat/>
    <w:uiPriority w:val="99"/>
    <w:pPr>
      <w:spacing w:beforeAutospacing="1" w:afterAutospacing="1"/>
      <w:jc w:val="left"/>
    </w:pPr>
    <w:rPr>
      <w:rFonts w:cs="Times New Roman"/>
      <w:sz w:val="24"/>
    </w:rPr>
  </w:style>
  <w:style w:type="paragraph" w:styleId="31">
    <w:name w:val="Title"/>
    <w:basedOn w:val="1"/>
    <w:next w:val="1"/>
    <w:link w:val="48"/>
    <w:qFormat/>
    <w:uiPriority w:val="10"/>
    <w:pPr>
      <w:spacing w:after="80"/>
      <w:contextualSpacing/>
      <w:jc w:val="center"/>
    </w:pPr>
    <w:rPr>
      <w:rFonts w:asciiTheme="majorHAnsi" w:hAnsiTheme="majorHAnsi" w:cstheme="majorBidi"/>
      <w:spacing w:val="-10"/>
      <w:kern w:val="28"/>
      <w:sz w:val="56"/>
      <w:szCs w:val="56"/>
    </w:rPr>
  </w:style>
  <w:style w:type="paragraph" w:styleId="32">
    <w:name w:val="Body Text First Indent 2"/>
    <w:basedOn w:val="19"/>
    <w:link w:val="67"/>
    <w:unhideWhenUsed/>
    <w:qFormat/>
    <w:uiPriority w:val="99"/>
    <w:pPr>
      <w:ind w:firstLine="420"/>
    </w:pPr>
  </w:style>
  <w:style w:type="table" w:styleId="34">
    <w:name w:val="Table Grid"/>
    <w:basedOn w:val="3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Emphasis"/>
    <w:basedOn w:val="35"/>
    <w:qFormat/>
    <w:uiPriority w:val="0"/>
    <w:rPr>
      <w:i/>
    </w:rPr>
  </w:style>
  <w:style w:type="character" w:styleId="38">
    <w:name w:val="Hyperlink"/>
    <w:basedOn w:val="35"/>
    <w:unhideWhenUsed/>
    <w:qFormat/>
    <w:uiPriority w:val="99"/>
    <w:rPr>
      <w:color w:val="0563C1" w:themeColor="hyperlink"/>
      <w:u w:val="single"/>
      <w14:textFill>
        <w14:solidFill>
          <w14:schemeClr w14:val="hlink"/>
        </w14:solidFill>
      </w14:textFill>
    </w:rPr>
  </w:style>
  <w:style w:type="character" w:customStyle="1" w:styleId="39">
    <w:name w:val="标题 1 字符"/>
    <w:link w:val="6"/>
    <w:qFormat/>
    <w:uiPriority w:val="0"/>
    <w:rPr>
      <w:rFonts w:ascii="Times New Roman" w:hAnsi="Times New Roman" w:eastAsia="黑体" w:cs="黑体"/>
      <w:bCs/>
      <w:snapToGrid w:val="0"/>
      <w:color w:val="000000"/>
      <w:kern w:val="44"/>
      <w:sz w:val="32"/>
      <w:szCs w:val="36"/>
      <w:lang w:val="en-US" w:eastAsia="zh-CN" w:bidi="ar-SA"/>
    </w:rPr>
  </w:style>
  <w:style w:type="character" w:customStyle="1" w:styleId="40">
    <w:name w:val="标题 2 字符"/>
    <w:basedOn w:val="35"/>
    <w:link w:val="7"/>
    <w:qFormat/>
    <w:uiPriority w:val="0"/>
    <w:rPr>
      <w:rFonts w:eastAsia="楷体_GB2312" w:asciiTheme="majorAscii" w:hAnsiTheme="majorAscii" w:cstheme="majorBidi"/>
      <w:sz w:val="32"/>
      <w:szCs w:val="40"/>
    </w:rPr>
  </w:style>
  <w:style w:type="character" w:customStyle="1" w:styleId="41">
    <w:name w:val="标题 4 字符"/>
    <w:basedOn w:val="35"/>
    <w:link w:val="9"/>
    <w:semiHidden/>
    <w:qFormat/>
    <w:uiPriority w:val="9"/>
    <w:rPr>
      <w:rFonts w:cstheme="majorBidi"/>
      <w:color w:val="2F5597" w:themeColor="accent1" w:themeShade="BF"/>
      <w:sz w:val="28"/>
      <w:szCs w:val="28"/>
    </w:rPr>
  </w:style>
  <w:style w:type="character" w:customStyle="1" w:styleId="42">
    <w:name w:val="标题 3 字符"/>
    <w:link w:val="8"/>
    <w:qFormat/>
    <w:uiPriority w:val="0"/>
    <w:rPr>
      <w:rFonts w:eastAsia="仿宋_GB2312" w:asciiTheme="majorAscii" w:hAnsiTheme="majorAscii" w:cstheme="majorBidi"/>
      <w:b/>
      <w:bCs/>
      <w:color w:val="auto"/>
      <w:sz w:val="32"/>
      <w:szCs w:val="32"/>
      <w:lang w:val="en-US" w:eastAsia="zh-CN" w:bidi="ar-SA"/>
    </w:rPr>
  </w:style>
  <w:style w:type="character" w:customStyle="1" w:styleId="43">
    <w:name w:val="标题 5 字符"/>
    <w:basedOn w:val="35"/>
    <w:link w:val="10"/>
    <w:semiHidden/>
    <w:qFormat/>
    <w:uiPriority w:val="9"/>
    <w:rPr>
      <w:rFonts w:cstheme="majorBidi"/>
      <w:color w:val="2F5597" w:themeColor="accent1" w:themeShade="BF"/>
      <w:sz w:val="24"/>
      <w:szCs w:val="24"/>
    </w:rPr>
  </w:style>
  <w:style w:type="character" w:customStyle="1" w:styleId="44">
    <w:name w:val="标题 6 字符"/>
    <w:basedOn w:val="35"/>
    <w:link w:val="11"/>
    <w:semiHidden/>
    <w:qFormat/>
    <w:uiPriority w:val="9"/>
    <w:rPr>
      <w:rFonts w:cstheme="majorBidi"/>
      <w:b/>
      <w:bCs/>
      <w:color w:val="2F5597" w:themeColor="accent1" w:themeShade="BF"/>
    </w:rPr>
  </w:style>
  <w:style w:type="character" w:customStyle="1" w:styleId="45">
    <w:name w:val="标题 7 字符"/>
    <w:basedOn w:val="35"/>
    <w:link w:val="12"/>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6">
    <w:name w:val="标题 8 字符"/>
    <w:basedOn w:val="35"/>
    <w:link w:val="13"/>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7">
    <w:name w:val="标题 9 字符"/>
    <w:basedOn w:val="35"/>
    <w:link w:val="14"/>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8">
    <w:name w:val="标题 字符"/>
    <w:basedOn w:val="35"/>
    <w:link w:val="31"/>
    <w:qFormat/>
    <w:uiPriority w:val="10"/>
    <w:rPr>
      <w:rFonts w:asciiTheme="majorHAnsi" w:hAnsiTheme="majorHAnsi" w:eastAsiaTheme="majorEastAsia" w:cstheme="majorBidi"/>
      <w:spacing w:val="-10"/>
      <w:kern w:val="28"/>
      <w:sz w:val="56"/>
      <w:szCs w:val="56"/>
    </w:rPr>
  </w:style>
  <w:style w:type="character" w:customStyle="1" w:styleId="49">
    <w:name w:val="副标题 字符"/>
    <w:basedOn w:val="35"/>
    <w:link w:val="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0">
    <w:name w:val="Quote"/>
    <w:basedOn w:val="1"/>
    <w:next w:val="1"/>
    <w:link w:val="5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51">
    <w:name w:val="引用 字符"/>
    <w:basedOn w:val="35"/>
    <w:link w:val="50"/>
    <w:qFormat/>
    <w:uiPriority w:val="29"/>
    <w:rPr>
      <w:i/>
      <w:iCs/>
      <w:color w:val="404040" w:themeColor="text1" w:themeTint="BF"/>
      <w14:textFill>
        <w14:solidFill>
          <w14:schemeClr w14:val="tx1">
            <w14:lumMod w14:val="75000"/>
            <w14:lumOff w14:val="25000"/>
          </w14:schemeClr>
        </w14:solidFill>
      </w14:textFill>
    </w:rPr>
  </w:style>
  <w:style w:type="paragraph" w:styleId="52">
    <w:name w:val="List Paragraph"/>
    <w:basedOn w:val="1"/>
    <w:qFormat/>
    <w:uiPriority w:val="34"/>
    <w:pPr>
      <w:ind w:left="720"/>
      <w:contextualSpacing/>
    </w:pPr>
  </w:style>
  <w:style w:type="character" w:customStyle="1" w:styleId="53">
    <w:name w:val="明显强调1"/>
    <w:basedOn w:val="35"/>
    <w:qFormat/>
    <w:uiPriority w:val="21"/>
    <w:rPr>
      <w:i/>
      <w:iCs/>
      <w:color w:val="2F5597" w:themeColor="accent1" w:themeShade="BF"/>
    </w:rPr>
  </w:style>
  <w:style w:type="paragraph" w:styleId="54">
    <w:name w:val="Intense Quote"/>
    <w:basedOn w:val="1"/>
    <w:next w:val="1"/>
    <w:link w:val="5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5">
    <w:name w:val="明显引用 字符"/>
    <w:basedOn w:val="35"/>
    <w:link w:val="54"/>
    <w:qFormat/>
    <w:uiPriority w:val="30"/>
    <w:rPr>
      <w:i/>
      <w:iCs/>
      <w:color w:val="2F5597" w:themeColor="accent1" w:themeShade="BF"/>
    </w:rPr>
  </w:style>
  <w:style w:type="character" w:customStyle="1" w:styleId="56">
    <w:name w:val="明显参考1"/>
    <w:basedOn w:val="35"/>
    <w:qFormat/>
    <w:uiPriority w:val="32"/>
    <w:rPr>
      <w:b/>
      <w:bCs/>
      <w:smallCaps/>
      <w:color w:val="2F5597" w:themeColor="accent1" w:themeShade="BF"/>
      <w:spacing w:val="5"/>
    </w:rPr>
  </w:style>
  <w:style w:type="character" w:customStyle="1" w:styleId="57">
    <w:name w:val="正文文本 字符"/>
    <w:basedOn w:val="35"/>
    <w:link w:val="18"/>
    <w:qFormat/>
    <w:uiPriority w:val="1"/>
    <w:rPr>
      <w:rFonts w:ascii="Times New Roman" w:hAnsi="Times New Roman" w:eastAsia="仿宋_GB2312" w:cs="仿宋"/>
      <w:kern w:val="0"/>
      <w:sz w:val="24"/>
      <w:szCs w:val="32"/>
    </w:rPr>
  </w:style>
  <w:style w:type="character" w:customStyle="1" w:styleId="58">
    <w:name w:val="页脚 字符"/>
    <w:basedOn w:val="35"/>
    <w:link w:val="23"/>
    <w:qFormat/>
    <w:uiPriority w:val="99"/>
    <w:rPr>
      <w:rFonts w:ascii="Times New Roman" w:hAnsi="Times New Roman" w:eastAsia="仿宋_GB2312" w:cs="仿宋"/>
      <w:kern w:val="0"/>
      <w:sz w:val="18"/>
      <w:szCs w:val="32"/>
    </w:rPr>
  </w:style>
  <w:style w:type="character" w:customStyle="1" w:styleId="59">
    <w:name w:val="页眉 字符"/>
    <w:basedOn w:val="35"/>
    <w:link w:val="24"/>
    <w:qFormat/>
    <w:uiPriority w:val="99"/>
    <w:rPr>
      <w:rFonts w:ascii="Times New Roman" w:hAnsi="Times New Roman" w:eastAsia="仿宋_GB2312" w:cs="仿宋"/>
      <w:kern w:val="0"/>
      <w:sz w:val="18"/>
      <w:szCs w:val="32"/>
    </w:rPr>
  </w:style>
  <w:style w:type="paragraph" w:customStyle="1" w:styleId="60">
    <w:name w:val="正文文本 21"/>
    <w:basedOn w:val="1"/>
    <w:qFormat/>
    <w:uiPriority w:val="0"/>
    <w:pPr>
      <w:spacing w:line="480" w:lineRule="auto"/>
    </w:pPr>
  </w:style>
  <w:style w:type="paragraph" w:customStyle="1" w:styleId="61">
    <w:name w:val="BodyTextChinese"/>
    <w:qFormat/>
    <w:uiPriority w:val="0"/>
    <w:pPr>
      <w:spacing w:line="560" w:lineRule="exact"/>
      <w:ind w:firstLine="567"/>
      <w:jc w:val="both"/>
    </w:pPr>
    <w:rPr>
      <w:rFonts w:ascii="仿宋" w:hAnsi="仿宋" w:eastAsia="仿宋" w:cs="仿宋"/>
      <w:sz w:val="32"/>
      <w:szCs w:val="32"/>
      <w:lang w:val="en-US" w:eastAsia="zh-CN" w:bidi="ar-SA"/>
    </w:rPr>
  </w:style>
  <w:style w:type="paragraph" w:customStyle="1" w:styleId="62">
    <w:name w:val="BodyTextEnglish"/>
    <w:qFormat/>
    <w:uiPriority w:val="0"/>
    <w:pPr>
      <w:spacing w:line="560" w:lineRule="exact"/>
      <w:ind w:firstLine="567"/>
      <w:jc w:val="both"/>
    </w:pPr>
    <w:rPr>
      <w:rFonts w:ascii="Times New Roman" w:hAnsi="Times New Roman" w:eastAsia="Times New Roman" w:cs="Times New Roman"/>
      <w:sz w:val="32"/>
      <w:szCs w:val="32"/>
      <w:lang w:val="en-US" w:eastAsia="zh-CN" w:bidi="ar-SA"/>
    </w:rPr>
  </w:style>
  <w:style w:type="table" w:customStyle="1" w:styleId="63">
    <w:name w:val="Table Normal"/>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64">
    <w:name w:val="Table Text"/>
    <w:basedOn w:val="1"/>
    <w:semiHidden/>
    <w:qFormat/>
    <w:uiPriority w:val="0"/>
    <w:rPr>
      <w:rFonts w:ascii="仿宋" w:hAnsi="仿宋"/>
      <w:sz w:val="24"/>
      <w:szCs w:val="24"/>
      <w:lang w:eastAsia="en-US"/>
    </w:rPr>
  </w:style>
  <w:style w:type="character" w:customStyle="1" w:styleId="65">
    <w:name w:val="未处理的提及1"/>
    <w:basedOn w:val="35"/>
    <w:semiHidden/>
    <w:unhideWhenUsed/>
    <w:qFormat/>
    <w:uiPriority w:val="99"/>
    <w:rPr>
      <w:color w:val="605E5C"/>
      <w:shd w:val="clear" w:color="auto" w:fill="E1DFDD"/>
    </w:rPr>
  </w:style>
  <w:style w:type="character" w:customStyle="1" w:styleId="66">
    <w:name w:val="正文文本缩进 字符"/>
    <w:basedOn w:val="35"/>
    <w:link w:val="19"/>
    <w:semiHidden/>
    <w:qFormat/>
    <w:uiPriority w:val="99"/>
    <w:rPr>
      <w:rFonts w:ascii="Times New Roman" w:hAnsi="Times New Roman" w:eastAsia="仿宋_GB2312" w:cs="仿宋"/>
      <w:kern w:val="0"/>
      <w:sz w:val="32"/>
      <w:szCs w:val="32"/>
    </w:rPr>
  </w:style>
  <w:style w:type="character" w:customStyle="1" w:styleId="67">
    <w:name w:val="正文文本首行缩进 2 字符"/>
    <w:basedOn w:val="66"/>
    <w:link w:val="32"/>
    <w:qFormat/>
    <w:uiPriority w:val="99"/>
    <w:rPr>
      <w:rFonts w:ascii="Times New Roman" w:hAnsi="Times New Roman" w:eastAsia="仿宋_GB2312" w:cs="仿宋"/>
      <w:kern w:val="0"/>
      <w:sz w:val="32"/>
      <w:szCs w:val="32"/>
    </w:rPr>
  </w:style>
  <w:style w:type="paragraph" w:customStyle="1" w:styleId="68">
    <w:name w:val="HtmlNormal"/>
    <w:basedOn w:val="1"/>
    <w:qFormat/>
    <w:uiPriority w:val="0"/>
    <w:pPr>
      <w:widowControl/>
      <w:spacing w:before="100" w:after="100" w:line="276" w:lineRule="auto"/>
      <w:ind w:firstLine="0" w:firstLineChars="0"/>
      <w:jc w:val="left"/>
      <w:textAlignment w:val="baseline"/>
    </w:pPr>
    <w:rPr>
      <w:rFonts w:ascii="Calibri" w:hAnsi="Calibri" w:eastAsia="Calibri" w:cs="Times New Roman"/>
      <w:color w:val="000000"/>
      <w:sz w:val="24"/>
      <w:szCs w:val="24"/>
    </w:rPr>
  </w:style>
  <w:style w:type="character" w:customStyle="1" w:styleId="69">
    <w:name w:val="未处理的提及2"/>
    <w:basedOn w:val="35"/>
    <w:semiHidden/>
    <w:unhideWhenUsed/>
    <w:qFormat/>
    <w:uiPriority w:val="99"/>
    <w:rPr>
      <w:color w:val="605E5C"/>
      <w:shd w:val="clear" w:color="auto" w:fill="E1DFDD"/>
    </w:rPr>
  </w:style>
  <w:style w:type="character" w:customStyle="1" w:styleId="70">
    <w:name w:val="未处理的提及3"/>
    <w:basedOn w:val="35"/>
    <w:semiHidden/>
    <w:unhideWhenUsed/>
    <w:qFormat/>
    <w:uiPriority w:val="99"/>
    <w:rPr>
      <w:color w:val="605E5C"/>
      <w:shd w:val="clear" w:color="auto" w:fill="E1DFDD"/>
    </w:rPr>
  </w:style>
  <w:style w:type="character" w:customStyle="1" w:styleId="71">
    <w:name w:val="未处理的提及4"/>
    <w:basedOn w:val="35"/>
    <w:semiHidden/>
    <w:unhideWhenUsed/>
    <w:qFormat/>
    <w:uiPriority w:val="99"/>
    <w:rPr>
      <w:color w:val="605E5C"/>
      <w:shd w:val="clear" w:color="auto" w:fill="E1DFDD"/>
    </w:rPr>
  </w:style>
  <w:style w:type="character" w:customStyle="1" w:styleId="72">
    <w:name w:val="Unresolved Mention"/>
    <w:basedOn w:val="3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559fd3f5-2ae0-44cd-8d25-c4933b918056</errorID>
      <errorWord>人大政协</errorWord>
      <group>L1_Political</group>
      <groupName>政治性问题</groupName>
      <ability>L2_Unpolitical</ability>
      <abilityName>政治敏感错误</abilityName>
      <candidateList>
        <item>人大、政协</item>
      </candidateList>
      <explain/>
      <paraID>3C1FE9D8</paraID>
      <start>35</start>
      <end>39</end>
      <status>ignored</status>
      <modifiedWord/>
      <trackRevisions>false</trackRevisions>
    </reviewItem>
    <reviewItem>
      <errorID>a0a5147c-427f-4511-beab-1a30273e88ad</errorID>
      <errorWord>导</errorWord>
      <group>L1_Word</group>
      <groupName>字词问题</groupName>
      <ability>L2_Typo</ability>
      <abilityName>字词错误</abilityName>
      <candidateList>
        <item>导和</item>
      </candidateList>
      <explain/>
      <paraID>1ED68ABA</paraID>
      <start>127</start>
      <end>128</end>
      <status>ignored</status>
      <modifiedWord/>
      <trackRevisions>false</trackRevisions>
    </reviewItem>
    <reviewItem>
      <errorID>48fa698a-6c4c-4943-95a4-bcb1d94fee91</errorID>
      <errorWord>融入服务新发展格局和</errorWord>
      <group>L1_Political</group>
      <groupName>政治性问题</groupName>
      <ability>L2_Keyword</ability>
      <abilityName>固定表述</abilityName>
      <candidateList>
        <item>服务和融入新发展格局</item>
      </candidateList>
      <explain>词汇“服务和融入新发展格局”在特定场景下为固定表述形式，请确认此处的“融入服务新发展格局和”是否存在不当。</explain>
      <paraID> D5AFBF7</paraID>
      <start>69</start>
      <end>79</end>
      <status>ignored</status>
      <modifiedWord/>
      <trackRevisions>false</trackRevisions>
    </reviewItem>
    <reviewItem>
      <errorID>8824c65c-ef8e-49a0-b881-e438b5d42478</errorID>
      <errorWord>融入服务新发展格局和</errorWord>
      <group>L1_Political</group>
      <groupName>政治性问题</groupName>
      <ability>L2_Keyword</ability>
      <abilityName>固定表述</abilityName>
      <candidateList>
        <item>服务和融入新发展格局</item>
      </candidateList>
      <explain>词汇“服务和融入新发展格局”在特定场景下为固定表述形式，请确认此处的“融入服务新发展格局和”是否存在不当。</explain>
      <paraID>21AC2420</paraID>
      <start>304</start>
      <end>314</end>
      <status>ignored</status>
      <modifiedWord/>
      <trackRevisions>false</trackRevisions>
    </reviewItem>
    <reviewItem>
      <errorID>5784e454-12ec-4450-8a13-1e4ed089f5c0</errorID>
      <errorWord>、和</errorWord>
      <group>L1_Punc</group>
      <groupName>标点问题</groupName>
      <ability>L2_Punc_CN</ability>
      <abilityName>标点符号问题</abilityName>
      <candidateList>
        <item>和</item>
      </candidateList>
      <explain>“及”“和”“等”连词前不宜使用顿号，建议删除（或使用逗号）。</explain>
      <paraID>7539D5F3</paraID>
      <start>26</start>
      <end>28</end>
      <status>ignored</status>
      <modifiedWord/>
      <trackRevisions>false</trackRevisions>
    </reviewItem>
    <reviewItem>
      <errorID>e70616cb-dd7c-4adc-89a5-c84d42c94dae</errorID>
      <errorWord>基本实现治理体系和治理能力现代化</errorWord>
      <group>L1_Political</group>
      <groupName>政治性问题</groupName>
      <ability>L2_Keyword</ability>
      <abilityName>固定表述</abilityName>
      <candidateList>
        <item>基本实现国家治理体系和治理能力现代化</item>
      </candidateList>
      <explain>词汇“基本实现国家治理体系和治理能力现代化”在特定场景下为固定表述形式，请确认此处的“基本实现治理体系和治理能力现代化”是否存在不当。</explain>
      <paraID>7539D5F3</paraID>
      <start>168</start>
      <end>184</end>
      <status>ignored</status>
      <modifiedWord/>
      <trackRevisions>false</trackRevisions>
    </reviewItem>
    <reviewItem>
      <errorID>6fb3c385-0b86-4367-ba3f-9d9c3b696a9a</errorID>
      <errorWord>核心技术难关</errorWord>
      <group>L1_Political</group>
      <groupName>政治性问题</groupName>
      <ability>L2_Keyword</ability>
      <abilityName>固定表述</abilityName>
      <candidateList>
        <item>核心技术攻关</item>
      </candidateList>
      <explain>词汇“核心技术攻关”在特定场景下为固定表述形式，请确认此处的“核心技术难关”是否存在不当。</explain>
      <paraID>3179372E</paraID>
      <start>96</start>
      <end>102</end>
      <status>ignored</status>
      <modifiedWord/>
      <trackRevisions>false</trackRevisions>
    </reviewItem>
    <reviewItem>
      <errorID>7c4e8932-97b8-41fe-b14d-0a227380b838</errorID>
      <errorWord>乡镇特色产业</errorWord>
      <group>L1_Political</group>
      <groupName>政治性问题</groupName>
      <ability>L2_Keyword</ability>
      <abilityName>固定表述</abilityName>
      <candidateList>
        <item>乡村特色产业</item>
      </candidateList>
      <explain>词汇“乡村特色产业”在特定场景下为固定表述形式，请确认此处的“乡镇特色产业”是否存在不当。</explain>
      <paraID>5A795AD9</paraID>
      <start>24</start>
      <end>30</end>
      <status>ignored</status>
      <modifiedWord/>
      <trackRevisions>false</trackRevisions>
    </reviewItem>
    <reviewItem>
      <errorID>0f2aa289-03c6-4ddb-9639-6931628cfaf3</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12347ED9</paraID>
      <start>312</start>
      <end>316</end>
      <status>ignored</status>
      <modifiedWord/>
      <trackRevisions>false</trackRevisions>
    </reviewItem>
    <reviewItem>
      <errorID>fc8cacb1-eb22-4e50-9625-c7fc5784290c</errorID>
      <errorWord>儿童友好型城市</errorWord>
      <group>L1_Political</group>
      <groupName>政治性问题</groupName>
      <ability>L2_Keyword</ability>
      <abilityName>固定表述</abilityName>
      <candidateList>
        <item>儿童友好城市</item>
      </candidateList>
      <explain>词汇“儿童友好城市”在特定场景下为固定表述形式，请确认此处的“儿童友好型城市”是否存在不当。</explain>
      <paraID>7CA6B44D</paraID>
      <start>156</start>
      <end>163</end>
      <status>ignored</status>
      <modifiedWord/>
      <trackRevisions>false</trackRevisions>
    </reviewItem>
    <reviewItem>
      <errorID>62f445be-f562-4111-80e4-5bdd9c9e03c2</errorID>
      <errorWord>无废城市</errorWord>
      <group>L1_Political</group>
      <groupName>政治性问题</groupName>
      <ability>L2_Keyword</ability>
      <abilityName>固定表述</abilityName>
      <candidateList>
        <item>“无废城市”</item>
      </candidateList>
      <explain>注意检查当前固定表述标点是否使用规范。</explain>
      <paraID>36BF892B</paraID>
      <start>4</start>
      <end>8</end>
      <status>ignored</status>
      <modifiedWord/>
      <trackRevisions>false</trackRevisions>
    </reviewItem>
    <reviewItem>
      <errorID>a67258ec-60a7-4047-a7dd-530b0ea0ac67</errorID>
      <errorWord>府检联动</errorWord>
      <group>L1_Political</group>
      <groupName>政治性问题</groupName>
      <ability>L2_Keyword</ability>
      <abilityName>固定表述</abilityName>
      <candidateList>
        <item>“府检联动”</item>
      </candidateList>
      <explain>注意检查当前固定表述标点是否使用规范。</explain>
      <paraID>325C1DBE</paraID>
      <start>264</start>
      <end>268</end>
      <status>ignored</status>
      <modifiedWord/>
      <trackRevisions>false</trackRevisions>
    </reviewItem>
    <reviewItem>
      <errorID>b8de9107-37f1-4d81-a07f-ded2d9bcd555</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7BB97CD2</paraID>
      <start>45</start>
      <end>49</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e11d93-7a0f-414e-b346-05042b87c130}">
  <ds:schemaRefs/>
</ds:datastoreItem>
</file>

<file path=customXml/itemProps3.xml><?xml version="1.0" encoding="utf-8"?>
<ds:datastoreItem xmlns:ds="http://schemas.openxmlformats.org/officeDocument/2006/customXml" ds:itemID="{A261988A-4F43-404B-A2C3-84889FAEB263}">
  <ds:schemaRefs/>
</ds:datastoreItem>
</file>

<file path=docProps/app.xml><?xml version="1.0" encoding="utf-8"?>
<Properties xmlns="http://schemas.openxmlformats.org/officeDocument/2006/extended-properties" xmlns:vt="http://schemas.openxmlformats.org/officeDocument/2006/docPropsVTypes">
  <Template>Normal</Template>
  <Pages>108</Pages>
  <Words>9535</Words>
  <Characters>9763</Characters>
  <Lines>499</Lines>
  <Paragraphs>140</Paragraphs>
  <TotalTime>58</TotalTime>
  <ScaleCrop>false</ScaleCrop>
  <LinksUpToDate>false</LinksUpToDate>
  <CharactersWithSpaces>9835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2025-11-12T21:01:00Z</dcterms:created>
  <dc:creator>清扬 周</dc:creator>
  <cp:lastModifiedBy>周小贤</cp:lastModifiedBy>
  <cp:lastPrinted>2026-07-29T09:54:00Z</cp:lastPrinted>
  <dcterms:modified xsi:type="dcterms:W3CDTF">2026-07-31T09:25:44Z</dcterms:modified>
  <cp:revision>460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eyJoZGlkIjoiYjMzMGVlYTE4NjcxMTJjZjY2YmM5NjcxOGU0YTk4MDEiLCJ1c2VySWQiOiIyMDM4NzQ3MzkifQ==</vt:lpwstr>
  </property>
  <property fmtid="{D5CDD505-2E9C-101B-9397-08002B2CF9AE}" pid="3" name="KSOProductBuildVer">
    <vt:lpwstr>2052-12.1.0.26895</vt:lpwstr>
  </property>
  <property fmtid="{D5CDD505-2E9C-101B-9397-08002B2CF9AE}" pid="4" name="ICV">
    <vt:lpwstr>E421F804E8E44C38943C3F8DECF8A414_13</vt:lpwstr>
  </property>
</Properties>
</file>