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A307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kern w:val="0"/>
          <w:sz w:val="44"/>
          <w:szCs w:val="44"/>
          <w:lang w:bidi="ar"/>
        </w:rPr>
      </w:pPr>
    </w:p>
    <w:p w14:paraId="69A2CFF1">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lang w:eastAsia="zh-CN"/>
        </w:rPr>
        <w:t>伊川</w:t>
      </w:r>
      <w:r>
        <w:rPr>
          <w:rFonts w:hint="eastAsia" w:ascii="Times New Roman" w:hAnsi="Times New Roman" w:eastAsia="方正小标宋简体"/>
          <w:color w:val="auto"/>
          <w:sz w:val="44"/>
          <w:szCs w:val="44"/>
        </w:rPr>
        <w:t>县政府投资项目工程变更管理办法</w:t>
      </w:r>
    </w:p>
    <w:p w14:paraId="40FF86BD">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olor w:val="auto"/>
          <w:sz w:val="44"/>
          <w:szCs w:val="44"/>
        </w:rPr>
      </w:pPr>
    </w:p>
    <w:p w14:paraId="2979BB53">
      <w:pPr>
        <w:keepNext w:val="0"/>
        <w:keepLines w:val="0"/>
        <w:pageBreakBefore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第一章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总则</w:t>
      </w:r>
    </w:p>
    <w:p w14:paraId="179046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rPr>
      </w:pPr>
      <w:r>
        <w:rPr>
          <w:rFonts w:hint="eastAsia" w:ascii="仿宋_GB2312" w:hAnsi="仿宋_GB2312" w:eastAsia="仿宋_GB2312" w:cs="仿宋_GB2312"/>
          <w:b/>
          <w:color w:val="auto"/>
          <w:sz w:val="32"/>
          <w:szCs w:val="32"/>
        </w:rPr>
        <w:t>第一条</w:t>
      </w:r>
      <w:r>
        <w:rPr>
          <w:rFonts w:hint="eastAsia" w:ascii="仿宋_GB2312" w:hAnsi="仿宋_GB2312" w:eastAsia="仿宋_GB2312" w:cs="仿宋_GB2312"/>
          <w:b/>
          <w:color w:val="auto"/>
          <w:sz w:val="32"/>
          <w:szCs w:val="32"/>
          <w:lang w:val="en-US" w:eastAsia="zh-CN"/>
        </w:rPr>
        <w:t xml:space="preserve">  </w:t>
      </w:r>
      <w:r>
        <w:rPr>
          <w:rFonts w:hint="eastAsia" w:ascii="Times New Roman" w:hAnsi="Times New Roman" w:eastAsia="仿宋_GB2312" w:cs="Times New Roman"/>
          <w:sz w:val="32"/>
          <w:szCs w:val="32"/>
        </w:rPr>
        <w:t>为</w:t>
      </w:r>
      <w:r>
        <w:rPr>
          <w:rFonts w:hint="eastAsia" w:ascii="Times New Roman" w:hAnsi="Times New Roman" w:eastAsia="仿宋_GB2312" w:cs="Times New Roman"/>
          <w:sz w:val="32"/>
          <w:szCs w:val="32"/>
          <w:lang w:val="en-US" w:eastAsia="zh-CN"/>
        </w:rPr>
        <w:t>进一步</w:t>
      </w:r>
      <w:r>
        <w:rPr>
          <w:rFonts w:hint="eastAsia" w:ascii="Times New Roman" w:hAnsi="Times New Roman" w:eastAsia="仿宋_GB2312" w:cs="Times New Roman"/>
          <w:sz w:val="32"/>
          <w:szCs w:val="32"/>
        </w:rPr>
        <w:t>规范政府投资项目工程变更</w:t>
      </w:r>
      <w:r>
        <w:rPr>
          <w:rFonts w:hint="eastAsia" w:ascii="Times New Roman" w:hAnsi="Times New Roman" w:eastAsia="仿宋_GB2312" w:cs="Times New Roman"/>
          <w:sz w:val="32"/>
          <w:szCs w:val="32"/>
          <w:lang w:val="en-US" w:eastAsia="zh-CN"/>
        </w:rPr>
        <w:t>管理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保障</w:t>
      </w:r>
      <w:r>
        <w:rPr>
          <w:rFonts w:hint="eastAsia" w:ascii="Times New Roman" w:hAnsi="Times New Roman" w:eastAsia="仿宋_GB2312" w:cs="Times New Roman"/>
          <w:sz w:val="32"/>
          <w:szCs w:val="32"/>
          <w:lang w:val="en-US" w:eastAsia="zh-CN"/>
        </w:rPr>
        <w:t>工程</w:t>
      </w:r>
      <w:r>
        <w:rPr>
          <w:rFonts w:hint="eastAsia" w:ascii="Times New Roman" w:hAnsi="Times New Roman" w:eastAsia="仿宋_GB2312" w:cs="Times New Roman"/>
          <w:sz w:val="32"/>
          <w:szCs w:val="32"/>
        </w:rPr>
        <w:t>质量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合理控制</w:t>
      </w:r>
      <w:r>
        <w:rPr>
          <w:rFonts w:hint="eastAsia" w:ascii="Times New Roman" w:hAnsi="Times New Roman" w:eastAsia="仿宋_GB2312" w:cs="Times New Roman"/>
          <w:sz w:val="32"/>
          <w:szCs w:val="32"/>
        </w:rPr>
        <w:t>投资</w:t>
      </w:r>
      <w:r>
        <w:rPr>
          <w:rFonts w:hint="eastAsia" w:ascii="Times New Roman" w:hAnsi="Times New Roman" w:eastAsia="仿宋_GB2312" w:cs="Times New Roman"/>
          <w:sz w:val="32"/>
          <w:szCs w:val="32"/>
          <w:lang w:val="en-US" w:eastAsia="zh-CN"/>
        </w:rPr>
        <w:t>成本，</w:t>
      </w:r>
      <w:r>
        <w:rPr>
          <w:rFonts w:hint="eastAsia" w:ascii="Times New Roman" w:hAnsi="Times New Roman" w:eastAsia="仿宋_GB2312" w:cs="Times New Roman"/>
          <w:sz w:val="32"/>
          <w:szCs w:val="32"/>
        </w:rPr>
        <w:t>确保工程建设顺利实施，依据</w:t>
      </w:r>
      <w:r>
        <w:rPr>
          <w:rFonts w:hint="eastAsia" w:ascii="Times New Roman" w:hAnsi="Times New Roman" w:eastAsia="仿宋_GB2312" w:cs="Times New Roman"/>
          <w:sz w:val="32"/>
          <w:szCs w:val="32"/>
          <w:lang w:val="en-US" w:eastAsia="zh-CN"/>
        </w:rPr>
        <w:t>《关于印发洛阳市政府投资项目工程变更管理办法的通知》（洛政办〔2024〕26号）相关规定，</w:t>
      </w:r>
      <w:r>
        <w:rPr>
          <w:rFonts w:hint="eastAsia" w:ascii="Times New Roman" w:hAnsi="Times New Roman" w:eastAsia="仿宋_GB2312" w:cs="Times New Roman"/>
          <w:sz w:val="32"/>
          <w:szCs w:val="32"/>
        </w:rPr>
        <w:t>结合</w:t>
      </w:r>
      <w:r>
        <w:rPr>
          <w:rFonts w:hint="eastAsia" w:ascii="Times New Roman" w:hAnsi="Times New Roman" w:eastAsia="仿宋_GB2312" w:cs="Times New Roman"/>
          <w:sz w:val="32"/>
          <w:szCs w:val="32"/>
          <w:lang w:val="en-US" w:eastAsia="zh-CN"/>
        </w:rPr>
        <w:t>伊川</w:t>
      </w:r>
      <w:r>
        <w:rPr>
          <w:rFonts w:hint="eastAsia" w:ascii="Times New Roman" w:hAnsi="Times New Roman" w:eastAsia="仿宋_GB2312" w:cs="Times New Roman"/>
          <w:sz w:val="32"/>
          <w:szCs w:val="32"/>
        </w:rPr>
        <w:t>县实际，制定本办法。</w:t>
      </w:r>
    </w:p>
    <w:p w14:paraId="4DD9707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b/>
          <w:color w:val="auto"/>
          <w:sz w:val="32"/>
          <w:szCs w:val="32"/>
        </w:rPr>
        <w:t>第二条</w:t>
      </w:r>
      <w:r>
        <w:rPr>
          <w:rFonts w:hint="eastAsia" w:ascii="仿宋_GB2312" w:hAnsi="仿宋_GB2312" w:eastAsia="仿宋_GB2312" w:cs="仿宋_GB2312"/>
          <w:b/>
          <w:color w:val="auto"/>
          <w:sz w:val="32"/>
          <w:szCs w:val="32"/>
          <w:lang w:val="en-US" w:eastAsia="zh-CN"/>
        </w:rPr>
        <w:t xml:space="preserve">  </w:t>
      </w:r>
      <w:r>
        <w:rPr>
          <w:rFonts w:hint="eastAsia" w:ascii="Times New Roman" w:hAnsi="Times New Roman" w:eastAsia="仿宋_GB2312" w:cs="Times New Roman"/>
          <w:sz w:val="32"/>
          <w:szCs w:val="32"/>
        </w:rPr>
        <w:t>本办法适用于本县行政区域内，使用财政预算资金、政府专项债、国有资金及其他政府性资金实施的新建、扩建、改建、技术改造等固定资产投资项目（以下简称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）的工程变更管理</w:t>
      </w:r>
      <w:r>
        <w:rPr>
          <w:rFonts w:hint="eastAsia" w:ascii="Times New Roman" w:hAnsi="Times New Roman" w:eastAsia="仿宋_GB2312" w:cs="Times New Roman"/>
          <w:sz w:val="32"/>
          <w:szCs w:val="32"/>
          <w:lang w:eastAsia="zh-CN"/>
        </w:rPr>
        <w:t>。</w:t>
      </w:r>
    </w:p>
    <w:p w14:paraId="5E42C0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第三条</w:t>
      </w:r>
      <w:r>
        <w:rPr>
          <w:rFonts w:hint="eastAsia" w:ascii="仿宋_GB2312" w:hAnsi="仿宋_GB2312" w:eastAsia="仿宋_GB2312" w:cs="仿宋_GB2312"/>
          <w:b/>
          <w:color w:val="auto"/>
          <w:sz w:val="32"/>
          <w:szCs w:val="32"/>
          <w:lang w:val="en-US" w:eastAsia="zh-CN"/>
        </w:rPr>
        <w:t xml:space="preserve">  </w:t>
      </w:r>
      <w:r>
        <w:rPr>
          <w:rFonts w:hint="eastAsia" w:ascii="Times New Roman" w:hAnsi="Times New Roman" w:eastAsia="仿宋_GB2312" w:cs="Times New Roman"/>
          <w:sz w:val="32"/>
          <w:szCs w:val="32"/>
        </w:rPr>
        <w:t>本办法所称工程变更，是指项目自工程施工合同签订之日起至通过交工或竣工验收之日止，对已批准的技术设计文件或施工图设计文件在实施阶段所发生的工程规模、技术标准、工作内容、工程数量、结构形式等进行的调整和修改。</w:t>
      </w:r>
    </w:p>
    <w:p w14:paraId="3F63D1A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四</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color w:val="auto"/>
          <w:sz w:val="32"/>
          <w:szCs w:val="32"/>
        </w:rPr>
        <w:t>政府投资项目投资设计经审查部门</w:t>
      </w:r>
      <w:r>
        <w:rPr>
          <w:rFonts w:hint="eastAsia" w:ascii="仿宋_GB2312" w:hAnsi="仿宋_GB2312" w:eastAsia="仿宋_GB2312" w:cs="仿宋_GB2312"/>
          <w:color w:val="auto"/>
          <w:sz w:val="32"/>
          <w:szCs w:val="32"/>
          <w:lang w:eastAsia="zh-CN"/>
        </w:rPr>
        <w:t>确认后</w:t>
      </w:r>
      <w:r>
        <w:rPr>
          <w:rFonts w:hint="eastAsia" w:ascii="仿宋_GB2312" w:hAnsi="仿宋_GB2312" w:eastAsia="仿宋_GB2312" w:cs="仿宋_GB2312"/>
          <w:color w:val="auto"/>
          <w:sz w:val="32"/>
          <w:szCs w:val="32"/>
        </w:rPr>
        <w:t>，任何单位不得擅自扩大建设规模、增加建设内容、提高建设标准。作为组织项目建设的责任单位，</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要严把前期工作关口，图纸设计、工程量清单编制等应当一次性到位，确保各分项工程控制在相应</w:t>
      </w:r>
      <w:r>
        <w:rPr>
          <w:rFonts w:hint="eastAsia" w:ascii="仿宋_GB2312" w:hAnsi="仿宋_GB2312" w:eastAsia="仿宋_GB2312" w:cs="仿宋_GB2312"/>
          <w:color w:val="auto"/>
          <w:sz w:val="32"/>
          <w:szCs w:val="32"/>
          <w:lang w:eastAsia="zh-CN"/>
        </w:rPr>
        <w:t>预</w:t>
      </w:r>
      <w:r>
        <w:rPr>
          <w:rFonts w:hint="eastAsia" w:ascii="仿宋_GB2312" w:hAnsi="仿宋_GB2312" w:eastAsia="仿宋_GB2312" w:cs="仿宋_GB2312"/>
          <w:color w:val="auto"/>
          <w:sz w:val="32"/>
          <w:szCs w:val="32"/>
        </w:rPr>
        <w:t>算之内，要制定工程变更内控制度，严格履行工作职责，确保工程变更管理规范有序。</w:t>
      </w:r>
    </w:p>
    <w:p w14:paraId="3D06E1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五</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color w:val="auto"/>
          <w:sz w:val="32"/>
          <w:szCs w:val="32"/>
        </w:rPr>
        <w:t>政府投资项目应严格按照经审查批准的设计文件组织实施，任何单位不得擅自变更，不得肢解工程变更规避审批。工程建设中确需变更的，应当按照本办法规定的程序进行申报、审批。</w:t>
      </w:r>
    </w:p>
    <w:p w14:paraId="3CC5B37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六</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工程变更按照变更造价分为一般、较大、重大变更，变更造价以</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提交的变更预算为准。</w:t>
      </w:r>
    </w:p>
    <w:p w14:paraId="108933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（一）单项工程变更增</w:t>
      </w:r>
      <w:r>
        <w:rPr>
          <w:rFonts w:hint="eastAsia" w:ascii="仿宋_GB2312" w:hAnsi="仿宋_GB2312" w:eastAsia="仿宋_GB2312" w:cs="仿宋_GB2312"/>
          <w:color w:val="auto"/>
          <w:sz w:val="32"/>
          <w:szCs w:val="32"/>
          <w:lang w:val="en-US" w:eastAsia="zh-CN"/>
        </w:rPr>
        <w:t>加</w:t>
      </w:r>
      <w:r>
        <w:rPr>
          <w:rFonts w:hint="eastAsia" w:ascii="仿宋_GB2312" w:hAnsi="仿宋_GB2312" w:eastAsia="仿宋_GB2312" w:cs="仿宋_GB2312"/>
          <w:color w:val="auto"/>
          <w:sz w:val="32"/>
          <w:szCs w:val="32"/>
        </w:rPr>
        <w:t>造价在10万元以下（不含本数，下同）的为一般工程变更；</w:t>
      </w:r>
    </w:p>
    <w:p w14:paraId="57BF8F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（二）单项工程变更增</w:t>
      </w:r>
      <w:r>
        <w:rPr>
          <w:rFonts w:hint="eastAsia" w:ascii="仿宋_GB2312" w:hAnsi="仿宋_GB2312" w:eastAsia="仿宋_GB2312" w:cs="仿宋_GB2312"/>
          <w:color w:val="auto"/>
          <w:sz w:val="32"/>
          <w:szCs w:val="32"/>
          <w:lang w:val="en-US" w:eastAsia="zh-CN"/>
        </w:rPr>
        <w:t>加</w:t>
      </w:r>
      <w:r>
        <w:rPr>
          <w:rFonts w:hint="eastAsia" w:ascii="仿宋_GB2312" w:hAnsi="仿宋_GB2312" w:eastAsia="仿宋_GB2312" w:cs="仿宋_GB2312"/>
          <w:color w:val="auto"/>
          <w:sz w:val="32"/>
          <w:szCs w:val="32"/>
        </w:rPr>
        <w:t>造价在10万元以上、50万元以下的为较大工程变更；</w:t>
      </w:r>
    </w:p>
    <w:p w14:paraId="4E1537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（三）单项工程变更增</w:t>
      </w:r>
      <w:r>
        <w:rPr>
          <w:rFonts w:hint="eastAsia" w:ascii="仿宋_GB2312" w:hAnsi="仿宋_GB2312" w:eastAsia="仿宋_GB2312" w:cs="仿宋_GB2312"/>
          <w:color w:val="auto"/>
          <w:sz w:val="32"/>
          <w:szCs w:val="32"/>
          <w:lang w:val="en-US" w:eastAsia="zh-CN"/>
        </w:rPr>
        <w:t>加</w:t>
      </w:r>
      <w:r>
        <w:rPr>
          <w:rFonts w:hint="eastAsia" w:ascii="仿宋_GB2312" w:hAnsi="仿宋_GB2312" w:eastAsia="仿宋_GB2312" w:cs="仿宋_GB2312"/>
          <w:color w:val="auto"/>
          <w:sz w:val="32"/>
          <w:szCs w:val="32"/>
        </w:rPr>
        <w:t>造价在50万元以上的为重大工程变更。</w:t>
      </w:r>
    </w:p>
    <w:p w14:paraId="7BE46AF4">
      <w:pPr>
        <w:keepNext w:val="0"/>
        <w:keepLines w:val="0"/>
        <w:pageBreakBefore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第二章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 xml:space="preserve"> 职责和分工</w:t>
      </w:r>
    </w:p>
    <w:p w14:paraId="66C4B2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七</w:t>
      </w:r>
      <w:r>
        <w:rPr>
          <w:rFonts w:hint="eastAsia" w:ascii="Times New Roman" w:hAnsi="Times New Roman" w:eastAsia="仿宋_GB2312"/>
          <w:b/>
          <w:color w:val="auto"/>
          <w:sz w:val="32"/>
          <w:szCs w:val="32"/>
        </w:rPr>
        <w:t>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一般</w:t>
      </w:r>
      <w:r>
        <w:rPr>
          <w:rFonts w:hint="eastAsia" w:ascii="仿宋_GB2312" w:hAnsi="仿宋_GB2312" w:eastAsia="仿宋_GB2312" w:cs="仿宋_GB2312"/>
          <w:color w:val="auto"/>
          <w:sz w:val="32"/>
          <w:szCs w:val="32"/>
        </w:rPr>
        <w:t>工程变更</w:t>
      </w:r>
      <w:r>
        <w:rPr>
          <w:rFonts w:hint="eastAsia" w:ascii="仿宋_GB2312" w:hAnsi="仿宋_GB2312" w:eastAsia="仿宋_GB2312" w:cs="仿宋_GB2312"/>
          <w:color w:val="auto"/>
          <w:sz w:val="32"/>
          <w:szCs w:val="32"/>
          <w:lang w:val="en-US" w:eastAsia="zh-CN"/>
        </w:rPr>
        <w:t>和较大工程变更</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项目行政主管部门组织审查。重大工程变更由项目行政主管部门</w:t>
      </w:r>
      <w:r>
        <w:rPr>
          <w:rFonts w:hint="eastAsia" w:ascii="仿宋_GB2312" w:hAnsi="仿宋_GB2312" w:eastAsia="仿宋_GB2312" w:cs="仿宋_GB2312"/>
          <w:color w:val="auto"/>
          <w:sz w:val="32"/>
          <w:szCs w:val="32"/>
        </w:rPr>
        <w:t>作为牵头单位组织会审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县发展改革委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财政局为</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工程变更会审的固定参加单位，其余参加单位由项目行政主管部门根据工程性质和职能分工确定。必要时组织专家论证。</w:t>
      </w:r>
    </w:p>
    <w:p w14:paraId="1919AF4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八</w:t>
      </w:r>
      <w:r>
        <w:rPr>
          <w:rFonts w:hint="eastAsia" w:ascii="Times New Roman" w:hAnsi="Times New Roman" w:eastAsia="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是政府投资项目管理的责任主体，负责对项目工程变更进行有效控制、管理、审核及上报，督促工程变更审查意见的落实，负责各类工程变更资料的台账整理和管理。</w:t>
      </w:r>
    </w:p>
    <w:p w14:paraId="71F89D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和勘察、设计、监理、施工等单位应保证所提交变更资料的真实性、完整性和准确性。</w:t>
      </w:r>
    </w:p>
    <w:p w14:paraId="5D1FAAF7">
      <w:pPr>
        <w:keepNext w:val="0"/>
        <w:keepLines w:val="0"/>
        <w:pageBreakBefore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第三章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变更内容</w:t>
      </w:r>
    </w:p>
    <w:p w14:paraId="431750F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九</w:t>
      </w:r>
      <w:r>
        <w:rPr>
          <w:rFonts w:hint="eastAsia" w:ascii="Times New Roman" w:hAnsi="Times New Roman" w:eastAsia="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Times New Roman" w:hAnsi="Times New Roman" w:eastAsia="仿宋_GB2312"/>
          <w:color w:val="auto"/>
          <w:sz w:val="32"/>
          <w:szCs w:val="32"/>
        </w:rPr>
        <w:t>工程变更主要包括以下内容：</w:t>
      </w:r>
    </w:p>
    <w:p w14:paraId="35B743F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(一)设计文件中错、漏、缺项引起的调整；</w:t>
      </w:r>
    </w:p>
    <w:p w14:paraId="694C50B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(二)施工现场条件等实际情况与勘察报告等技术资料不符 引起的现场签证及变更；</w:t>
      </w:r>
    </w:p>
    <w:p w14:paraId="2861F00E">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(三)因建设单位原因造成施工方案的变更；</w:t>
      </w:r>
    </w:p>
    <w:p w14:paraId="245A2AD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(四)重要材料与设备的改变；</w:t>
      </w:r>
    </w:p>
    <w:p w14:paraId="69DF8B6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(五)经</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本级政府投资主管部门认可的其他情形产生的工程变更。</w:t>
      </w:r>
    </w:p>
    <w:p w14:paraId="48CFD44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因国家法律法规和政策性调整、合同约定的材料价格调整导致的工程造价增加，不属于本办法所称的工程变更范围，应按照国家有关规定和合同约定执行，不计入工程变更的总金额。</w:t>
      </w:r>
    </w:p>
    <w:p w14:paraId="328A37E4">
      <w:pPr>
        <w:keepNext w:val="0"/>
        <w:keepLines w:val="0"/>
        <w:pageBreakBefore w:val="0"/>
        <w:kinsoku/>
        <w:wordWrap/>
        <w:overflowPunct/>
        <w:topLinePunct w:val="0"/>
        <w:autoSpaceDE/>
        <w:autoSpaceDN/>
        <w:bidi w:val="0"/>
        <w:adjustRightInd/>
        <w:snapToGrid/>
        <w:spacing w:beforeLines="70" w:afterLines="60" w:line="560" w:lineRule="exact"/>
        <w:jc w:val="center"/>
        <w:textAlignment w:val="auto"/>
        <w:rPr>
          <w:rFonts w:ascii="Times New Roman" w:hAnsi="Times New Roman" w:eastAsia="黑体"/>
          <w:color w:val="auto"/>
          <w:sz w:val="32"/>
          <w:szCs w:val="32"/>
        </w:rPr>
      </w:pPr>
      <w:r>
        <w:rPr>
          <w:rFonts w:hint="eastAsia" w:ascii="Times New Roman" w:hAnsi="Times New Roman" w:eastAsia="黑体"/>
          <w:color w:val="auto"/>
          <w:sz w:val="32"/>
          <w:szCs w:val="32"/>
        </w:rPr>
        <w:t>第四章</w:t>
      </w:r>
      <w:r>
        <w:rPr>
          <w:rFonts w:ascii="Times New Roman" w:hAnsi="Times New Roman" w:eastAsia="黑体"/>
          <w:color w:val="auto"/>
          <w:sz w:val="32"/>
          <w:szCs w:val="32"/>
        </w:rPr>
        <w:tab/>
      </w:r>
      <w:r>
        <w:rPr>
          <w:rFonts w:hint="eastAsia" w:ascii="Times New Roman" w:hAnsi="Times New Roman" w:eastAsia="黑体"/>
          <w:color w:val="auto"/>
          <w:sz w:val="32"/>
          <w:szCs w:val="32"/>
        </w:rPr>
        <w:t>变更申报、会审和审批</w:t>
      </w:r>
    </w:p>
    <w:p w14:paraId="76231CEC">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申报程序</w:t>
      </w:r>
    </w:p>
    <w:p w14:paraId="650A591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应组织勘察、设计单位完成变更的施工图设计，并组织勘察、设计、施工、监理等单位对工程变更的方案、内容、造价等进行初审。初审通过后，</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建设单位向行政主管部门提交以下资料：</w:t>
      </w:r>
    </w:p>
    <w:p w14:paraId="45883814">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经项目建设单位签章的工程变更申报表；经监理单位和设计单位、项目建设单位审核同意的工程变更的工程量清单、计价表、预算书等。</w:t>
      </w:r>
    </w:p>
    <w:p w14:paraId="11F997E2">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）工程变更部分的工程地质勘察资料，工程变更部分的原施工图纸和变更后的设计方案、图纸、工程联系单或技术核定单等。</w:t>
      </w:r>
    </w:p>
    <w:p w14:paraId="46094AB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）招投标文件、施工合同、工程变更现场影像图片资料等。</w:t>
      </w:r>
    </w:p>
    <w:p w14:paraId="42D2BF9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）会议纪要及预算复核报告等。工程变更由项目建设单位对变更方案的必要性和经济性进行论证，形成会议纪要，并委托结算造价咨询机构对变更预算进行复核。</w:t>
      </w:r>
    </w:p>
    <w:p w14:paraId="65011C4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责任追究意见。非客观原因造成的工程变更，须附对相关单位的责任追究意见。</w:t>
      </w:r>
    </w:p>
    <w:p w14:paraId="0E611E4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）其他必要的补充资料。</w:t>
      </w:r>
    </w:p>
    <w:p w14:paraId="062C7E69">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一</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color w:val="auto"/>
          <w:sz w:val="32"/>
          <w:szCs w:val="32"/>
          <w:lang w:val="en-US" w:eastAsia="zh-CN"/>
        </w:rPr>
        <w:t xml:space="preserve">  审查及</w:t>
      </w:r>
      <w:r>
        <w:rPr>
          <w:rFonts w:hint="eastAsia" w:ascii="仿宋_GB2312" w:hAnsi="仿宋_GB2312" w:eastAsia="仿宋_GB2312" w:cs="仿宋_GB2312"/>
          <w:color w:val="auto"/>
          <w:sz w:val="32"/>
          <w:szCs w:val="32"/>
        </w:rPr>
        <w:t>会审程序</w:t>
      </w:r>
    </w:p>
    <w:p w14:paraId="73657DEA">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（一）工程变更</w:t>
      </w:r>
      <w:r>
        <w:rPr>
          <w:rFonts w:hint="eastAsia" w:ascii="仿宋_GB2312" w:hAnsi="仿宋_GB2312" w:eastAsia="仿宋_GB2312" w:cs="仿宋_GB2312"/>
          <w:color w:val="auto"/>
          <w:sz w:val="32"/>
          <w:szCs w:val="32"/>
          <w:lang w:val="en-US" w:eastAsia="zh-CN"/>
        </w:rPr>
        <w:t>审查及</w:t>
      </w:r>
      <w:r>
        <w:rPr>
          <w:rFonts w:hint="eastAsia" w:ascii="仿宋_GB2312" w:hAnsi="仿宋_GB2312" w:eastAsia="仿宋_GB2312" w:cs="仿宋_GB2312"/>
          <w:color w:val="auto"/>
          <w:sz w:val="32"/>
          <w:szCs w:val="32"/>
        </w:rPr>
        <w:t>会审由</w:t>
      </w:r>
      <w:r>
        <w:rPr>
          <w:rFonts w:hint="eastAsia" w:ascii="仿宋_GB2312" w:hAnsi="仿宋_GB2312" w:eastAsia="仿宋_GB2312" w:cs="仿宋_GB2312"/>
          <w:color w:val="auto"/>
          <w:sz w:val="32"/>
          <w:szCs w:val="32"/>
          <w:lang w:val="en-US" w:eastAsia="zh-CN"/>
        </w:rPr>
        <w:t>项目行政主管部门牵头组织。</w:t>
      </w:r>
    </w:p>
    <w:p w14:paraId="28011D6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（二）工程变更会审主要就申请变更内容的必要性、合理性</w:t>
      </w:r>
      <w:r>
        <w:rPr>
          <w:rFonts w:hint="eastAsia" w:ascii="仿宋_GB2312" w:hAnsi="仿宋_GB2312" w:eastAsia="仿宋_GB2312" w:cs="仿宋_GB2312"/>
          <w:color w:val="auto"/>
          <w:sz w:val="32"/>
          <w:szCs w:val="32"/>
          <w:lang w:val="en-US" w:eastAsia="zh-CN"/>
        </w:rPr>
        <w:t>及变更责任追究等情况</w:t>
      </w:r>
      <w:r>
        <w:rPr>
          <w:rFonts w:hint="eastAsia" w:ascii="仿宋_GB2312" w:hAnsi="仿宋_GB2312" w:eastAsia="仿宋_GB2312" w:cs="仿宋_GB2312"/>
          <w:color w:val="auto"/>
          <w:sz w:val="32"/>
          <w:szCs w:val="32"/>
        </w:rPr>
        <w:t>进行审查</w:t>
      </w:r>
      <w:r>
        <w:rPr>
          <w:rFonts w:hint="eastAsia" w:ascii="仿宋_GB2312" w:hAnsi="仿宋_GB2312" w:eastAsia="仿宋_GB2312" w:cs="仿宋_GB2312"/>
          <w:color w:val="auto"/>
          <w:sz w:val="32"/>
          <w:szCs w:val="32"/>
          <w:lang w:eastAsia="zh-CN"/>
        </w:rPr>
        <w:t>。需要进行现场确认的，</w:t>
      </w:r>
      <w:r>
        <w:rPr>
          <w:rFonts w:hint="eastAsia" w:ascii="仿宋_GB2312" w:hAnsi="仿宋_GB2312" w:eastAsia="仿宋_GB2312" w:cs="仿宋_GB2312"/>
          <w:color w:val="auto"/>
          <w:sz w:val="32"/>
          <w:szCs w:val="32"/>
          <w:lang w:val="en-US" w:eastAsia="zh-CN"/>
        </w:rPr>
        <w:t>会审单位应当</w:t>
      </w:r>
      <w:r>
        <w:rPr>
          <w:rFonts w:hint="eastAsia" w:ascii="仿宋_GB2312" w:hAnsi="仿宋_GB2312" w:eastAsia="仿宋_GB2312" w:cs="仿宋_GB2312"/>
          <w:color w:val="auto"/>
          <w:sz w:val="32"/>
          <w:szCs w:val="32"/>
        </w:rPr>
        <w:t>进行现场踏勘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工程变更的工程量和造价，最终以竣工结算审核结果为准，竣工结算审核结果应不超过申报数额。</w:t>
      </w:r>
      <w:r>
        <w:rPr>
          <w:rFonts w:hint="eastAsia" w:ascii="仿宋_GB2312" w:hAnsi="仿宋_GB2312" w:eastAsia="仿宋_GB2312" w:cs="仿宋_GB2312"/>
          <w:color w:val="auto"/>
          <w:spacing w:val="-8"/>
          <w:sz w:val="32"/>
          <w:szCs w:val="32"/>
        </w:rPr>
        <w:t>建安工程费中，各分项工程原则上不得超过相对应的</w:t>
      </w:r>
      <w:r>
        <w:rPr>
          <w:rFonts w:hint="eastAsia" w:ascii="仿宋_GB2312" w:hAnsi="仿宋_GB2312" w:eastAsia="仿宋_GB2312" w:cs="仿宋_GB2312"/>
          <w:color w:val="auto"/>
          <w:spacing w:val="-8"/>
          <w:sz w:val="32"/>
          <w:szCs w:val="32"/>
          <w:lang w:val="en-US" w:eastAsia="zh-CN"/>
        </w:rPr>
        <w:t>估</w:t>
      </w:r>
      <w:r>
        <w:rPr>
          <w:rFonts w:hint="eastAsia" w:ascii="仿宋_GB2312" w:hAnsi="仿宋_GB2312" w:eastAsia="仿宋_GB2312" w:cs="仿宋_GB2312"/>
          <w:color w:val="auto"/>
          <w:spacing w:val="-8"/>
          <w:sz w:val="32"/>
          <w:szCs w:val="32"/>
        </w:rPr>
        <w:t>概算批复金额。</w:t>
      </w:r>
    </w:p>
    <w:p w14:paraId="2D23673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（三）会审牵头单位应当在受理变更申请之日起</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个工作日内组织会审会议。会审单位的审查意见应在会审会议后2个工作日内反馈会审牵头单位。会审单位半数以上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含）不同意的，变更不予认可。</w:t>
      </w:r>
    </w:p>
    <w:p w14:paraId="75217779">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（四）对于会审单位会审通过的工程变更项目，需</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重新复核或另行补充资料的，</w:t>
      </w:r>
      <w:r>
        <w:rPr>
          <w:rFonts w:hint="eastAsia" w:ascii="仿宋_GB2312" w:hAnsi="仿宋_GB2312" w:eastAsia="仿宋_GB2312" w:cs="仿宋_GB2312"/>
          <w:color w:val="auto"/>
          <w:sz w:val="32"/>
          <w:szCs w:val="32"/>
          <w:lang w:eastAsia="zh-CN"/>
        </w:rPr>
        <w:t>项目行政主管部门</w:t>
      </w:r>
      <w:r>
        <w:rPr>
          <w:rFonts w:hint="eastAsia" w:ascii="仿宋_GB2312" w:hAnsi="仿宋_GB2312" w:eastAsia="仿宋_GB2312" w:cs="仿宋_GB2312"/>
          <w:color w:val="auto"/>
          <w:sz w:val="32"/>
          <w:szCs w:val="32"/>
        </w:rPr>
        <w:t>应在15个工作日内予以完善，逾期不予受理。</w:t>
      </w:r>
    </w:p>
    <w:p w14:paraId="5294688B">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二</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审批程序</w:t>
      </w:r>
    </w:p>
    <w:p w14:paraId="225010F6">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一般工程变更由</w:t>
      </w:r>
      <w:r>
        <w:rPr>
          <w:rFonts w:hint="eastAsia" w:ascii="仿宋_GB2312" w:hAnsi="仿宋_GB2312" w:eastAsia="仿宋_GB2312" w:cs="仿宋_GB2312"/>
          <w:color w:val="auto"/>
          <w:sz w:val="32"/>
          <w:szCs w:val="32"/>
          <w:lang w:eastAsia="zh-CN"/>
        </w:rPr>
        <w:t>项目行政主管部门</w:t>
      </w:r>
      <w:r>
        <w:rPr>
          <w:rFonts w:hint="eastAsia" w:ascii="仿宋_GB2312" w:hAnsi="仿宋_GB2312" w:eastAsia="仿宋_GB2312" w:cs="仿宋_GB2312"/>
          <w:color w:val="auto"/>
          <w:sz w:val="32"/>
          <w:szCs w:val="32"/>
        </w:rPr>
        <w:t>组织工程变更</w:t>
      </w:r>
      <w:r>
        <w:rPr>
          <w:rFonts w:hint="eastAsia" w:ascii="仿宋_GB2312" w:hAnsi="仿宋_GB2312" w:eastAsia="仿宋_GB2312" w:cs="仿宋_GB2312"/>
          <w:color w:val="auto"/>
          <w:sz w:val="32"/>
          <w:szCs w:val="32"/>
          <w:lang w:val="en-US" w:eastAsia="zh-CN"/>
        </w:rPr>
        <w:t>审查</w:t>
      </w:r>
      <w:r>
        <w:rPr>
          <w:rFonts w:hint="eastAsia" w:ascii="仿宋_GB2312" w:hAnsi="仿宋_GB2312" w:eastAsia="仿宋_GB2312" w:cs="仿宋_GB2312"/>
          <w:color w:val="auto"/>
          <w:sz w:val="32"/>
          <w:szCs w:val="32"/>
        </w:rPr>
        <w:t>，并将审</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rPr>
        <w:t>结果报分管副县长审</w:t>
      </w:r>
      <w:r>
        <w:rPr>
          <w:rFonts w:hint="eastAsia" w:ascii="仿宋_GB2312" w:hAnsi="仿宋_GB2312" w:eastAsia="仿宋_GB2312" w:cs="仿宋_GB2312"/>
          <w:color w:val="auto"/>
          <w:sz w:val="32"/>
          <w:szCs w:val="32"/>
          <w:lang w:eastAsia="zh-CN"/>
        </w:rPr>
        <w:t>批后</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报常务副县长审批。</w:t>
      </w:r>
    </w:p>
    <w:p w14:paraId="4EFAA75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较大工程变更由</w:t>
      </w:r>
      <w:r>
        <w:rPr>
          <w:rFonts w:hint="eastAsia" w:ascii="仿宋_GB2312" w:hAnsi="仿宋_GB2312" w:eastAsia="仿宋_GB2312" w:cs="仿宋_GB2312"/>
          <w:color w:val="auto"/>
          <w:sz w:val="32"/>
          <w:szCs w:val="32"/>
          <w:lang w:eastAsia="zh-CN"/>
        </w:rPr>
        <w:t>项目行政主管部门</w:t>
      </w:r>
      <w:r>
        <w:rPr>
          <w:rFonts w:hint="eastAsia" w:ascii="仿宋_GB2312" w:hAnsi="仿宋_GB2312" w:eastAsia="仿宋_GB2312" w:cs="仿宋_GB2312"/>
          <w:color w:val="auto"/>
          <w:sz w:val="32"/>
          <w:szCs w:val="32"/>
        </w:rPr>
        <w:t>组织工程变更</w:t>
      </w:r>
      <w:r>
        <w:rPr>
          <w:rFonts w:hint="eastAsia" w:ascii="仿宋_GB2312" w:hAnsi="仿宋_GB2312" w:eastAsia="仿宋_GB2312" w:cs="仿宋_GB2312"/>
          <w:color w:val="auto"/>
          <w:sz w:val="32"/>
          <w:szCs w:val="32"/>
          <w:lang w:val="en-US" w:eastAsia="zh-CN"/>
        </w:rPr>
        <w:t>审查</w:t>
      </w:r>
      <w:r>
        <w:rPr>
          <w:rFonts w:hint="eastAsia" w:ascii="仿宋_GB2312" w:hAnsi="仿宋_GB2312" w:eastAsia="仿宋_GB2312" w:cs="仿宋_GB2312"/>
          <w:color w:val="auto"/>
          <w:sz w:val="32"/>
          <w:szCs w:val="32"/>
        </w:rPr>
        <w:t>，并将审</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rPr>
        <w:t>结果</w:t>
      </w:r>
      <w:r>
        <w:rPr>
          <w:rFonts w:hint="eastAsia" w:ascii="仿宋_GB2312" w:hAnsi="仿宋_GB2312" w:eastAsia="仿宋_GB2312" w:cs="仿宋_GB2312"/>
          <w:color w:val="auto"/>
          <w:sz w:val="32"/>
          <w:szCs w:val="32"/>
          <w:lang w:val="en-US" w:eastAsia="zh-CN"/>
        </w:rPr>
        <w:t>向县政府报告</w:t>
      </w:r>
      <w:r>
        <w:rPr>
          <w:rFonts w:hint="eastAsia" w:ascii="仿宋_GB2312" w:hAnsi="仿宋_GB2312" w:eastAsia="仿宋_GB2312" w:cs="仿宋_GB2312"/>
          <w:color w:val="auto"/>
          <w:sz w:val="32"/>
          <w:szCs w:val="32"/>
        </w:rPr>
        <w:t>，由分管副县长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常务副县长审批</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报县长审批。</w:t>
      </w:r>
    </w:p>
    <w:p w14:paraId="660D25A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重大工程变更由项目行政主管部门组织</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发展改革委、</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住建局、</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财政局和其他相关单位会审，会审结果由项目行政主管部门向</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政府报告，由分管副县长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常务副县长审批</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报县长审批。</w:t>
      </w:r>
    </w:p>
    <w:p w14:paraId="15BDC5CA">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第十</w:t>
      </w:r>
      <w:r>
        <w:rPr>
          <w:rFonts w:hint="eastAsia" w:ascii="仿宋_GB2312" w:hAnsi="仿宋_GB2312" w:eastAsia="仿宋_GB2312" w:cs="仿宋_GB2312"/>
          <w:b/>
          <w:color w:val="auto"/>
          <w:sz w:val="32"/>
          <w:szCs w:val="32"/>
          <w:lang w:val="en-US" w:eastAsia="zh-CN"/>
        </w:rPr>
        <w:t>三</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工程变更减少，按行业部门相关规定，以实际发生数量计量为准，由建设单位负责，经监理单位、施工单位签字共同确认后，报行政主管部门审批。</w:t>
      </w:r>
    </w:p>
    <w:p w14:paraId="7F9E9F76">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rPr>
      </w:pPr>
      <w:r>
        <w:rPr>
          <w:rFonts w:hint="eastAsia"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四</w:t>
      </w:r>
      <w:r>
        <w:rPr>
          <w:rFonts w:hint="eastAsia" w:ascii="Times New Roman" w:hAnsi="Times New Roman" w:eastAsia="仿宋_GB2312"/>
          <w:b/>
          <w:color w:val="auto"/>
          <w:sz w:val="32"/>
          <w:szCs w:val="32"/>
        </w:rPr>
        <w:t>条</w:t>
      </w:r>
      <w:r>
        <w:rPr>
          <w:rFonts w:hint="eastAsia" w:ascii="Times New Roman" w:hAnsi="Times New Roman" w:eastAsia="仿宋_GB2312"/>
          <w:b/>
          <w:color w:val="auto"/>
          <w:sz w:val="32"/>
          <w:szCs w:val="32"/>
          <w:lang w:val="en-US" w:eastAsia="zh-CN"/>
        </w:rPr>
        <w:t xml:space="preserve"> </w:t>
      </w:r>
      <w:r>
        <w:rPr>
          <w:rFonts w:hint="eastAsia" w:ascii="仿宋_GB2312" w:hAnsi="仿宋_GB2312" w:eastAsia="仿宋_GB2312" w:cs="仿宋_GB2312"/>
          <w:color w:val="auto"/>
          <w:sz w:val="32"/>
          <w:szCs w:val="32"/>
        </w:rPr>
        <w:t>根据审批意见，</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建设单位</w:t>
      </w:r>
      <w:r>
        <w:rPr>
          <w:rFonts w:hint="eastAsia" w:ascii="仿宋_GB2312" w:hAnsi="仿宋_GB2312" w:eastAsia="仿宋_GB2312" w:cs="仿宋_GB2312"/>
          <w:color w:val="auto"/>
          <w:sz w:val="32"/>
          <w:szCs w:val="32"/>
        </w:rPr>
        <w:t>负责组织实施工程变更，并留存施工影像、图片等相应资料。</w:t>
      </w:r>
    </w:p>
    <w:p w14:paraId="057FB7A4">
      <w:pPr>
        <w:keepNext w:val="0"/>
        <w:keepLines w:val="0"/>
        <w:pageBreakBefore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第五章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相关要求</w:t>
      </w:r>
    </w:p>
    <w:p w14:paraId="0438DEC5">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五</w:t>
      </w:r>
      <w:r>
        <w:rPr>
          <w:rFonts w:hint="eastAsia" w:ascii="Times New Roman" w:hAnsi="Times New Roman" w:eastAsia="仿宋_GB2312"/>
          <w:b/>
          <w:color w:val="auto"/>
          <w:sz w:val="32"/>
          <w:szCs w:val="32"/>
        </w:rPr>
        <w:t>条</w:t>
      </w:r>
      <w:r>
        <w:rPr>
          <w:rFonts w:hint="eastAsia" w:ascii="Times New Roman" w:hAnsi="Times New Roman" w:eastAsia="仿宋_GB2312"/>
          <w:b/>
          <w:color w:val="auto"/>
          <w:sz w:val="32"/>
          <w:szCs w:val="32"/>
          <w:lang w:val="en-US" w:eastAsia="zh-CN"/>
        </w:rPr>
        <w:t xml:space="preserve">  </w:t>
      </w:r>
      <w:r>
        <w:rPr>
          <w:rFonts w:hint="eastAsia" w:ascii="仿宋_GB2312" w:hAnsi="仿宋_GB2312" w:eastAsia="仿宋_GB2312" w:cs="仿宋_GB2312"/>
          <w:color w:val="auto"/>
          <w:sz w:val="32"/>
          <w:szCs w:val="32"/>
        </w:rPr>
        <w:t>对遇到自然灾害紧急情况，或出现危及人身、重大财产、项目安全及其他不可抗力事件时，可参照应急抢险工程相关规定执行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并保留影像资料。建设单位应在事件发生之日起</w:t>
      </w:r>
      <w:r>
        <w:rPr>
          <w:rFonts w:hint="eastAsia" w:ascii="仿宋_GB2312" w:hAnsi="仿宋_GB2312" w:eastAsia="仿宋_GB2312" w:cs="仿宋_GB2312"/>
          <w:color w:val="auto"/>
          <w:sz w:val="32"/>
          <w:szCs w:val="32"/>
          <w:lang w:val="en-US" w:eastAsia="zh-CN"/>
        </w:rPr>
        <w:t xml:space="preserve">  20</w:t>
      </w:r>
      <w:r>
        <w:rPr>
          <w:rFonts w:hint="eastAsia" w:ascii="仿宋_GB2312" w:hAnsi="仿宋_GB2312" w:eastAsia="仿宋_GB2312" w:cs="仿宋_GB2312"/>
          <w:color w:val="auto"/>
          <w:sz w:val="32"/>
          <w:szCs w:val="32"/>
        </w:rPr>
        <w:t>个工作日内，按本办法规定补办相关手续。</w:t>
      </w:r>
    </w:p>
    <w:p w14:paraId="42A7CB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六</w:t>
      </w:r>
      <w:r>
        <w:rPr>
          <w:rFonts w:hint="eastAsia" w:ascii="Times New Roman" w:hAnsi="Times New Roman" w:eastAsia="仿宋_GB2312"/>
          <w:b/>
          <w:color w:val="auto"/>
          <w:sz w:val="32"/>
          <w:szCs w:val="32"/>
        </w:rPr>
        <w:t>条</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未按本办法规定程序进行的工程变更，原则上不予认可。会审通过的同一项目，原则上不予再次变更。严禁将工程变更内容进行拆分申报。</w:t>
      </w:r>
    </w:p>
    <w:p w14:paraId="20214F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七</w:t>
      </w:r>
      <w:r>
        <w:rPr>
          <w:rFonts w:hint="eastAsia" w:ascii="Times New Roman" w:hAnsi="Times New Roman" w:eastAsia="仿宋_GB2312"/>
          <w:b/>
          <w:color w:val="auto"/>
          <w:sz w:val="32"/>
          <w:szCs w:val="32"/>
        </w:rPr>
        <w:t>条</w:t>
      </w:r>
      <w:r>
        <w:rPr>
          <w:rFonts w:ascii="Times New Roman" w:hAnsi="Times New Roman" w:eastAsia="仿宋_GB2312"/>
          <w:color w:val="auto"/>
          <w:sz w:val="32"/>
          <w:szCs w:val="32"/>
        </w:rPr>
        <w:tab/>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工程变更涉及重大方案变化及概算调整的，</w:t>
      </w:r>
      <w:r>
        <w:rPr>
          <w:rFonts w:hint="eastAsia" w:ascii="Times New Roman" w:hAnsi="Times New Roman" w:eastAsia="仿宋_GB2312"/>
          <w:color w:val="auto"/>
          <w:sz w:val="32"/>
          <w:szCs w:val="32"/>
          <w:lang w:eastAsia="zh-CN"/>
        </w:rPr>
        <w:t>项目行政主管部门</w:t>
      </w:r>
      <w:r>
        <w:rPr>
          <w:rFonts w:hint="eastAsia" w:ascii="Times New Roman" w:hAnsi="Times New Roman" w:eastAsia="仿宋_GB2312"/>
          <w:color w:val="auto"/>
          <w:sz w:val="32"/>
          <w:szCs w:val="32"/>
        </w:rPr>
        <w:t>需将重大方案变化报请县政府同意后，按照相关要求由县发展改革委进行概算调整。</w:t>
      </w:r>
    </w:p>
    <w:p w14:paraId="306D51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第十八条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工程变更未按程序批准的，概算审批部门不得调整概算；在办理工程价款结算时，其变更引起的相关费用，县财政局不予认可。</w:t>
      </w:r>
    </w:p>
    <w:p w14:paraId="59A8D58B">
      <w:pPr>
        <w:keepNext w:val="0"/>
        <w:keepLines w:val="0"/>
        <w:pageBreakBefore w:val="0"/>
        <w:widowControl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第六章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责任追究</w:t>
      </w:r>
    </w:p>
    <w:p w14:paraId="299A80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第十九条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按照先追责、后审批的原则，凡非客观原因造成的工程变更，</w:t>
      </w:r>
      <w:r>
        <w:rPr>
          <w:rFonts w:hint="eastAsia" w:ascii="Times New Roman" w:hAnsi="Times New Roman" w:eastAsia="仿宋_GB2312"/>
          <w:color w:val="auto"/>
          <w:sz w:val="32"/>
          <w:szCs w:val="32"/>
          <w:lang w:eastAsia="zh-CN"/>
        </w:rPr>
        <w:t>项目</w:t>
      </w:r>
      <w:r>
        <w:rPr>
          <w:rFonts w:hint="eastAsia" w:ascii="Times New Roman" w:hAnsi="Times New Roman" w:eastAsia="仿宋_GB2312"/>
          <w:color w:val="auto"/>
          <w:sz w:val="32"/>
          <w:szCs w:val="32"/>
          <w:lang w:val="en-US" w:eastAsia="zh-CN"/>
        </w:rPr>
        <w:t>建设单位</w:t>
      </w:r>
      <w:r>
        <w:rPr>
          <w:rFonts w:hint="eastAsia" w:ascii="Times New Roman" w:hAnsi="Times New Roman" w:eastAsia="仿宋_GB2312"/>
          <w:color w:val="auto"/>
          <w:sz w:val="32"/>
          <w:szCs w:val="32"/>
        </w:rPr>
        <w:t>须分析原因，依据相关规定提出责任追究意见，明确对相关责任单位的处理措施后，方可履行变更手续。</w:t>
      </w:r>
    </w:p>
    <w:p w14:paraId="5F3B9F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第二十条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lang w:eastAsia="zh-CN"/>
        </w:rPr>
        <w:t>项目</w:t>
      </w:r>
      <w:r>
        <w:rPr>
          <w:rFonts w:hint="eastAsia" w:ascii="Times New Roman" w:hAnsi="Times New Roman" w:eastAsia="仿宋_GB2312"/>
          <w:color w:val="auto"/>
          <w:sz w:val="32"/>
          <w:szCs w:val="32"/>
          <w:lang w:val="en-US" w:eastAsia="zh-CN"/>
        </w:rPr>
        <w:t>建设单位</w:t>
      </w:r>
      <w:r>
        <w:rPr>
          <w:rFonts w:hint="eastAsia" w:ascii="Times New Roman" w:hAnsi="Times New Roman" w:eastAsia="仿宋_GB2312"/>
          <w:color w:val="auto"/>
          <w:sz w:val="32"/>
          <w:szCs w:val="32"/>
        </w:rPr>
        <w:t>应参照《建设工程勘察</w:t>
      </w:r>
      <w:r>
        <w:rPr>
          <w:rFonts w:hint="eastAsia" w:ascii="Times New Roman" w:hAnsi="Times New Roman" w:eastAsia="仿宋_GB2312" w:cs="Times New Roman"/>
          <w:sz w:val="32"/>
          <w:szCs w:val="32"/>
          <w:lang w:val="en-US" w:eastAsia="zh-CN"/>
        </w:rPr>
        <w:t>设计管理条例》及有关规定，在合同中约定对勘察设计单位责任的追责措</w:t>
      </w:r>
      <w:r>
        <w:rPr>
          <w:rFonts w:hint="eastAsia" w:ascii="Times New Roman" w:hAnsi="Times New Roman" w:eastAsia="仿宋_GB2312"/>
          <w:color w:val="auto"/>
          <w:sz w:val="32"/>
          <w:szCs w:val="32"/>
        </w:rPr>
        <w:t>施。</w:t>
      </w:r>
    </w:p>
    <w:p w14:paraId="1FEA0B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第二十</w:t>
      </w:r>
      <w:r>
        <w:rPr>
          <w:rFonts w:hint="eastAsia" w:ascii="Times New Roman" w:hAnsi="Times New Roman" w:eastAsia="仿宋_GB2312"/>
          <w:b/>
          <w:color w:val="auto"/>
          <w:sz w:val="32"/>
          <w:szCs w:val="32"/>
          <w:lang w:val="en-US" w:eastAsia="zh-CN"/>
        </w:rPr>
        <w:t>一</w:t>
      </w:r>
      <w:r>
        <w:rPr>
          <w:rFonts w:hint="eastAsia" w:ascii="Times New Roman" w:hAnsi="Times New Roman" w:eastAsia="仿宋_GB2312"/>
          <w:b/>
          <w:color w:val="auto"/>
          <w:sz w:val="32"/>
          <w:szCs w:val="32"/>
        </w:rPr>
        <w:t>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lang w:eastAsia="zh-CN"/>
        </w:rPr>
        <w:t>项目</w:t>
      </w:r>
      <w:r>
        <w:rPr>
          <w:rFonts w:hint="eastAsia" w:ascii="Times New Roman" w:hAnsi="Times New Roman" w:eastAsia="仿宋_GB2312"/>
          <w:color w:val="auto"/>
          <w:sz w:val="32"/>
          <w:szCs w:val="32"/>
          <w:lang w:val="en-US" w:eastAsia="zh-CN"/>
        </w:rPr>
        <w:t>建设单位</w:t>
      </w:r>
      <w:r>
        <w:rPr>
          <w:rFonts w:hint="eastAsia" w:ascii="Times New Roman" w:hAnsi="Times New Roman" w:eastAsia="仿宋_GB2312"/>
          <w:color w:val="auto"/>
          <w:sz w:val="32"/>
          <w:szCs w:val="32"/>
        </w:rPr>
        <w:t>、施工单位、监理单位、设计单位、工程造价咨询机构相互串通，采取弄虚作假等手段谋取非法利益的，由建设行政主管部门依法追究责任；构成犯罪的，移交司法机关处理；涉及国家工作人员违纪的，由行政主管部门和监察机关给予政务处分。</w:t>
      </w:r>
    </w:p>
    <w:p w14:paraId="545D14A5">
      <w:pPr>
        <w:keepNext w:val="0"/>
        <w:keepLines w:val="0"/>
        <w:pageBreakBefore w:val="0"/>
        <w:widowControl w:val="0"/>
        <w:kinsoku/>
        <w:wordWrap/>
        <w:overflowPunct/>
        <w:topLinePunct w:val="0"/>
        <w:autoSpaceDE/>
        <w:autoSpaceDN/>
        <w:bidi w:val="0"/>
        <w:adjustRightInd/>
        <w:snapToGrid/>
        <w:spacing w:beforeLines="70" w:afterLines="60" w:line="560" w:lineRule="exact"/>
        <w:jc w:val="center"/>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第七章</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附</w:t>
      </w:r>
      <w:r>
        <w:rPr>
          <w:rFonts w:hint="eastAsia" w:ascii="Times New Roman" w:hAnsi="Times New Roman" w:eastAsia="黑体" w:cs="Times New Roman"/>
          <w:color w:val="auto"/>
          <w:sz w:val="32"/>
          <w:szCs w:val="32"/>
        </w:rPr>
        <w:tab/>
      </w:r>
      <w:r>
        <w:rPr>
          <w:rFonts w:hint="eastAsia" w:ascii="Times New Roman" w:hAnsi="Times New Roman" w:eastAsia="黑体" w:cs="Times New Roman"/>
          <w:color w:val="auto"/>
          <w:sz w:val="32"/>
          <w:szCs w:val="32"/>
        </w:rPr>
        <w:t>则</w:t>
      </w:r>
    </w:p>
    <w:p w14:paraId="2AEA15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第二十二条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使用中央</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省</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市</w:t>
      </w:r>
      <w:r>
        <w:rPr>
          <w:rFonts w:hint="eastAsia" w:ascii="Times New Roman" w:hAnsi="Times New Roman" w:eastAsia="仿宋_GB2312"/>
          <w:color w:val="auto"/>
          <w:sz w:val="32"/>
          <w:szCs w:val="32"/>
        </w:rPr>
        <w:t>级财政资金的项目，另有规定的，从其规定。</w:t>
      </w:r>
    </w:p>
    <w:p w14:paraId="751B90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color w:val="auto"/>
          <w:sz w:val="32"/>
          <w:szCs w:val="32"/>
        </w:rPr>
        <w:t>第二十</w:t>
      </w:r>
      <w:r>
        <w:rPr>
          <w:rFonts w:hint="eastAsia" w:ascii="Times New Roman" w:hAnsi="Times New Roman" w:eastAsia="仿宋_GB2312"/>
          <w:b/>
          <w:color w:val="auto"/>
          <w:sz w:val="32"/>
          <w:szCs w:val="32"/>
          <w:lang w:val="en-US" w:eastAsia="zh-CN"/>
        </w:rPr>
        <w:t>三</w:t>
      </w:r>
      <w:r>
        <w:rPr>
          <w:rFonts w:hint="eastAsia" w:ascii="Times New Roman" w:hAnsi="Times New Roman" w:eastAsia="仿宋_GB2312"/>
          <w:b/>
          <w:color w:val="auto"/>
          <w:sz w:val="32"/>
          <w:szCs w:val="32"/>
        </w:rPr>
        <w:t>条</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本办法自公布之日起施行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有效期三年</w:t>
      </w:r>
      <w:r>
        <w:rPr>
          <w:rFonts w:hint="eastAsia" w:ascii="Times New Roman" w:hAnsi="Times New Roman" w:eastAsia="仿宋_GB2312"/>
          <w:color w:val="auto"/>
          <w:sz w:val="32"/>
          <w:szCs w:val="32"/>
        </w:rPr>
        <w:t>。</w:t>
      </w:r>
    </w:p>
    <w:p w14:paraId="2AA7AE7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rPr>
      </w:pPr>
    </w:p>
    <w:p w14:paraId="11E31F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olor w:val="auto"/>
          <w:sz w:val="32"/>
          <w:szCs w:val="32"/>
        </w:rPr>
        <w:t>附件：</w:t>
      </w:r>
      <w:r>
        <w:rPr>
          <w:rFonts w:hint="eastAsia" w:ascii="Times New Roman" w:hAnsi="Times New Roman" w:eastAsia="仿宋_GB2312" w:cs="Times New Roman"/>
          <w:color w:val="auto"/>
          <w:sz w:val="32"/>
          <w:szCs w:val="32"/>
          <w:lang w:val="en-US" w:eastAsia="zh-CN"/>
        </w:rPr>
        <w:t>伊川县政府投资项目变更签证审查意见表</w:t>
      </w:r>
    </w:p>
    <w:p w14:paraId="73A0D473">
      <w:pPr>
        <w:spacing w:line="592" w:lineRule="exact"/>
        <w:ind w:firstLine="640" w:firstLineChars="200"/>
        <w:rPr>
          <w:rFonts w:hint="eastAsia" w:ascii="Times New Roman" w:hAnsi="Times New Roman" w:eastAsia="仿宋_GB2312" w:cs="Times New Roman"/>
          <w:color w:val="auto"/>
          <w:sz w:val="32"/>
          <w:szCs w:val="32"/>
          <w:lang w:val="en-US" w:eastAsia="zh-CN"/>
        </w:rPr>
      </w:pPr>
    </w:p>
    <w:p w14:paraId="772ED4D5">
      <w:pPr>
        <w:spacing w:line="592" w:lineRule="exact"/>
        <w:ind w:firstLine="640" w:firstLineChars="200"/>
        <w:rPr>
          <w:rFonts w:hint="eastAsia" w:ascii="Times New Roman" w:hAnsi="Times New Roman" w:eastAsia="仿宋_GB2312" w:cs="Times New Roman"/>
          <w:color w:val="auto"/>
          <w:sz w:val="32"/>
          <w:szCs w:val="32"/>
          <w:lang w:val="en-US" w:eastAsia="zh-CN"/>
        </w:rPr>
      </w:pPr>
    </w:p>
    <w:p w14:paraId="0A044541">
      <w:pPr>
        <w:spacing w:line="592" w:lineRule="exact"/>
        <w:ind w:firstLine="640" w:firstLineChars="200"/>
        <w:rPr>
          <w:rFonts w:hint="eastAsia" w:ascii="Times New Roman" w:hAnsi="Times New Roman" w:eastAsia="仿宋_GB2312" w:cs="Times New Roman"/>
          <w:color w:val="auto"/>
          <w:sz w:val="32"/>
          <w:szCs w:val="32"/>
          <w:lang w:val="en-US" w:eastAsia="zh-CN"/>
        </w:rPr>
      </w:pPr>
      <w:bookmarkStart w:id="0" w:name="_GoBack"/>
      <w:bookmarkEnd w:id="0"/>
    </w:p>
    <w:p w14:paraId="62F56B7D">
      <w:pPr>
        <w:widowControl/>
        <w:spacing w:before="468" w:beforeLines="150" w:line="560" w:lineRule="exact"/>
        <w:jc w:val="left"/>
        <w:rPr>
          <w:rFonts w:hint="eastAsia"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rPr>
        <w:t>附件</w:t>
      </w:r>
      <w:r>
        <w:rPr>
          <w:rFonts w:hint="eastAsia" w:ascii="Times New Roman" w:hAnsi="Times New Roman" w:eastAsia="仿宋_GB2312" w:cs="Times New Roman"/>
          <w:b/>
          <w:bCs/>
          <w:sz w:val="32"/>
          <w:szCs w:val="32"/>
          <w:lang w:eastAsia="zh-CN"/>
        </w:rPr>
        <w:t>：</w:t>
      </w:r>
    </w:p>
    <w:p w14:paraId="2D17D65C">
      <w:pPr>
        <w:spacing w:line="520" w:lineRule="exact"/>
        <w:jc w:val="center"/>
        <w:rPr>
          <w:rFonts w:hint="eastAsia" w:ascii="Times New Roman" w:hAnsi="Times New Roman" w:eastAsia="方正小标宋简体" w:cs="Times New Roman"/>
          <w:kern w:val="0"/>
          <w:sz w:val="36"/>
          <w:szCs w:val="36"/>
          <w:lang w:val="en-US" w:eastAsia="zh-CN"/>
        </w:rPr>
      </w:pPr>
      <w:r>
        <w:rPr>
          <w:rFonts w:ascii="Times New Roman" w:hAnsi="Times New Roman" w:eastAsia="方正小标宋简体" w:cs="Times New Roman"/>
          <w:kern w:val="0"/>
          <w:sz w:val="36"/>
          <w:szCs w:val="36"/>
        </w:rPr>
        <w:t>伊川县政府投资项目变更签证审查意见</w:t>
      </w:r>
      <w:r>
        <w:rPr>
          <w:rFonts w:hint="eastAsia" w:ascii="Times New Roman" w:hAnsi="Times New Roman" w:eastAsia="方正小标宋简体" w:cs="Times New Roman"/>
          <w:kern w:val="0"/>
          <w:sz w:val="36"/>
          <w:szCs w:val="36"/>
          <w:lang w:val="en-US" w:eastAsia="zh-CN"/>
        </w:rPr>
        <w:t>表</w:t>
      </w:r>
    </w:p>
    <w:p w14:paraId="3EEF6A08">
      <w:pPr>
        <w:spacing w:before="14"/>
        <w:rPr>
          <w:color w:val="auto"/>
        </w:rPr>
      </w:pPr>
    </w:p>
    <w:tbl>
      <w:tblPr>
        <w:tblStyle w:val="36"/>
        <w:tblW w:w="9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92"/>
        <w:gridCol w:w="2457"/>
        <w:gridCol w:w="2069"/>
        <w:gridCol w:w="1061"/>
        <w:gridCol w:w="1061"/>
        <w:gridCol w:w="1061"/>
      </w:tblGrid>
      <w:tr w14:paraId="1468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0" w:hRule="atLeast"/>
          <w:jc w:val="center"/>
        </w:trPr>
        <w:tc>
          <w:tcPr>
            <w:tcW w:w="1492" w:type="dxa"/>
            <w:tcBorders>
              <w:top w:val="single" w:color="000000" w:sz="14" w:space="0"/>
              <w:left w:val="single" w:color="000000" w:sz="14" w:space="0"/>
            </w:tcBorders>
            <w:noWrap w:val="0"/>
            <w:vAlign w:val="top"/>
          </w:tcPr>
          <w:p w14:paraId="201F2FE8">
            <w:pPr>
              <w:spacing w:before="268" w:line="221" w:lineRule="auto"/>
              <w:jc w:val="center"/>
              <w:rPr>
                <w:rFonts w:ascii="仿宋" w:hAnsi="仿宋" w:eastAsia="仿宋" w:cs="仿宋"/>
                <w:color w:val="auto"/>
                <w:sz w:val="24"/>
                <w:szCs w:val="24"/>
              </w:rPr>
            </w:pPr>
            <w:r>
              <w:rPr>
                <w:rFonts w:ascii="仿宋" w:hAnsi="仿宋" w:eastAsia="仿宋" w:cs="仿宋"/>
                <w:color w:val="auto"/>
                <w:spacing w:val="-5"/>
                <w:sz w:val="24"/>
                <w:szCs w:val="24"/>
              </w:rPr>
              <w:t>项目名称</w:t>
            </w:r>
          </w:p>
        </w:tc>
        <w:tc>
          <w:tcPr>
            <w:tcW w:w="7709" w:type="dxa"/>
            <w:gridSpan w:val="5"/>
            <w:tcBorders>
              <w:top w:val="single" w:color="000000" w:sz="14" w:space="0"/>
              <w:right w:val="single" w:color="000000" w:sz="14" w:space="0"/>
            </w:tcBorders>
            <w:noWrap w:val="0"/>
            <w:vAlign w:val="top"/>
          </w:tcPr>
          <w:p w14:paraId="75FD745A">
            <w:pPr>
              <w:pStyle w:val="37"/>
              <w:rPr>
                <w:color w:val="auto"/>
              </w:rPr>
            </w:pPr>
          </w:p>
        </w:tc>
      </w:tr>
      <w:tr w14:paraId="607F0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3" w:hRule="atLeast"/>
          <w:jc w:val="center"/>
        </w:trPr>
        <w:tc>
          <w:tcPr>
            <w:tcW w:w="1492" w:type="dxa"/>
            <w:tcBorders>
              <w:left w:val="single" w:color="000000" w:sz="14" w:space="0"/>
            </w:tcBorders>
            <w:noWrap w:val="0"/>
            <w:vAlign w:val="top"/>
          </w:tcPr>
          <w:p w14:paraId="4E0C1706">
            <w:pPr>
              <w:spacing w:before="243" w:line="221" w:lineRule="auto"/>
              <w:jc w:val="center"/>
              <w:rPr>
                <w:rFonts w:ascii="仿宋" w:hAnsi="仿宋" w:eastAsia="仿宋" w:cs="仿宋"/>
                <w:color w:val="auto"/>
                <w:sz w:val="24"/>
                <w:szCs w:val="24"/>
              </w:rPr>
            </w:pPr>
            <w:r>
              <w:rPr>
                <w:rFonts w:ascii="仿宋" w:hAnsi="仿宋" w:eastAsia="仿宋" w:cs="仿宋"/>
                <w:color w:val="auto"/>
                <w:spacing w:val="-4"/>
                <w:sz w:val="24"/>
                <w:szCs w:val="24"/>
              </w:rPr>
              <w:t>建设单位</w:t>
            </w:r>
          </w:p>
        </w:tc>
        <w:tc>
          <w:tcPr>
            <w:tcW w:w="2457" w:type="dxa"/>
            <w:noWrap w:val="0"/>
            <w:vAlign w:val="top"/>
          </w:tcPr>
          <w:p w14:paraId="515AD0D3">
            <w:pPr>
              <w:pStyle w:val="37"/>
              <w:rPr>
                <w:color w:val="auto"/>
              </w:rPr>
            </w:pPr>
          </w:p>
        </w:tc>
        <w:tc>
          <w:tcPr>
            <w:tcW w:w="2069" w:type="dxa"/>
            <w:noWrap w:val="0"/>
            <w:vAlign w:val="top"/>
          </w:tcPr>
          <w:p w14:paraId="745897C5">
            <w:pPr>
              <w:spacing w:before="243" w:line="221" w:lineRule="auto"/>
              <w:ind w:left="68"/>
              <w:jc w:val="center"/>
              <w:rPr>
                <w:rFonts w:ascii="仿宋" w:hAnsi="仿宋" w:eastAsia="仿宋" w:cs="仿宋"/>
                <w:color w:val="auto"/>
                <w:sz w:val="24"/>
                <w:szCs w:val="24"/>
              </w:rPr>
            </w:pPr>
            <w:r>
              <w:rPr>
                <w:rFonts w:ascii="仿宋" w:hAnsi="仿宋" w:eastAsia="仿宋" w:cs="仿宋"/>
                <w:color w:val="auto"/>
                <w:spacing w:val="-3"/>
                <w:sz w:val="24"/>
                <w:szCs w:val="24"/>
              </w:rPr>
              <w:t>项目行政主管部门</w:t>
            </w:r>
          </w:p>
        </w:tc>
        <w:tc>
          <w:tcPr>
            <w:tcW w:w="3183" w:type="dxa"/>
            <w:gridSpan w:val="3"/>
            <w:tcBorders>
              <w:right w:val="single" w:color="000000" w:sz="14" w:space="0"/>
            </w:tcBorders>
            <w:noWrap w:val="0"/>
            <w:vAlign w:val="top"/>
          </w:tcPr>
          <w:p w14:paraId="705FFFDF">
            <w:pPr>
              <w:pStyle w:val="37"/>
              <w:rPr>
                <w:color w:val="auto"/>
              </w:rPr>
            </w:pPr>
          </w:p>
        </w:tc>
      </w:tr>
      <w:tr w14:paraId="3FCF1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jc w:val="center"/>
        </w:trPr>
        <w:tc>
          <w:tcPr>
            <w:tcW w:w="1492" w:type="dxa"/>
            <w:vMerge w:val="restart"/>
            <w:tcBorders>
              <w:left w:val="single" w:color="000000" w:sz="14" w:space="0"/>
              <w:bottom w:val="nil"/>
            </w:tcBorders>
            <w:noWrap w:val="0"/>
            <w:vAlign w:val="top"/>
          </w:tcPr>
          <w:p w14:paraId="3BFA7FF9">
            <w:pPr>
              <w:spacing w:before="260" w:line="222" w:lineRule="auto"/>
              <w:ind w:left="63"/>
              <w:jc w:val="center"/>
              <w:rPr>
                <w:rFonts w:ascii="仿宋" w:hAnsi="仿宋" w:eastAsia="仿宋" w:cs="仿宋"/>
                <w:color w:val="auto"/>
                <w:sz w:val="24"/>
                <w:szCs w:val="24"/>
              </w:rPr>
            </w:pPr>
            <w:r>
              <w:rPr>
                <w:rFonts w:ascii="仿宋" w:hAnsi="仿宋" w:eastAsia="仿宋" w:cs="仿宋"/>
                <w:color w:val="auto"/>
                <w:spacing w:val="-3"/>
                <w:sz w:val="24"/>
                <w:szCs w:val="24"/>
              </w:rPr>
              <w:t>变更预算金额(万</w:t>
            </w:r>
            <w:r>
              <w:rPr>
                <w:rFonts w:ascii="仿宋" w:hAnsi="仿宋" w:eastAsia="仿宋" w:cs="仿宋"/>
                <w:color w:val="auto"/>
                <w:spacing w:val="-10"/>
                <w:sz w:val="24"/>
                <w:szCs w:val="24"/>
              </w:rPr>
              <w:t>元)</w:t>
            </w:r>
          </w:p>
        </w:tc>
        <w:tc>
          <w:tcPr>
            <w:tcW w:w="2457" w:type="dxa"/>
            <w:vMerge w:val="restart"/>
            <w:tcBorders>
              <w:bottom w:val="nil"/>
            </w:tcBorders>
            <w:noWrap w:val="0"/>
            <w:vAlign w:val="top"/>
          </w:tcPr>
          <w:p w14:paraId="365D04D5">
            <w:pPr>
              <w:pStyle w:val="37"/>
              <w:rPr>
                <w:color w:val="auto"/>
              </w:rPr>
            </w:pPr>
          </w:p>
        </w:tc>
        <w:tc>
          <w:tcPr>
            <w:tcW w:w="2069" w:type="dxa"/>
            <w:vMerge w:val="restart"/>
            <w:tcBorders>
              <w:bottom w:val="nil"/>
            </w:tcBorders>
            <w:noWrap w:val="0"/>
            <w:vAlign w:val="center"/>
          </w:tcPr>
          <w:p w14:paraId="5F0B532D">
            <w:pPr>
              <w:spacing w:before="78" w:line="224" w:lineRule="auto"/>
              <w:jc w:val="center"/>
              <w:rPr>
                <w:rFonts w:ascii="仿宋" w:hAnsi="仿宋" w:eastAsia="仿宋" w:cs="仿宋"/>
                <w:color w:val="auto"/>
                <w:sz w:val="24"/>
                <w:szCs w:val="24"/>
              </w:rPr>
            </w:pPr>
            <w:r>
              <w:rPr>
                <w:rFonts w:ascii="仿宋" w:hAnsi="仿宋" w:eastAsia="仿宋" w:cs="仿宋"/>
                <w:color w:val="auto"/>
                <w:spacing w:val="-6"/>
                <w:sz w:val="24"/>
                <w:szCs w:val="24"/>
              </w:rPr>
              <w:t>变更类型</w:t>
            </w:r>
          </w:p>
        </w:tc>
        <w:tc>
          <w:tcPr>
            <w:tcW w:w="1061" w:type="dxa"/>
            <w:noWrap w:val="0"/>
            <w:vAlign w:val="top"/>
          </w:tcPr>
          <w:p w14:paraId="3FF793DF">
            <w:pPr>
              <w:spacing w:before="163" w:line="224" w:lineRule="auto"/>
              <w:jc w:val="center"/>
              <w:rPr>
                <w:rFonts w:ascii="仿宋" w:hAnsi="仿宋" w:eastAsia="仿宋" w:cs="仿宋"/>
                <w:color w:val="auto"/>
                <w:sz w:val="24"/>
                <w:szCs w:val="24"/>
              </w:rPr>
            </w:pPr>
            <w:r>
              <w:rPr>
                <w:rFonts w:ascii="仿宋" w:hAnsi="仿宋" w:eastAsia="仿宋" w:cs="仿宋"/>
                <w:color w:val="auto"/>
                <w:spacing w:val="-5"/>
                <w:sz w:val="24"/>
                <w:szCs w:val="24"/>
              </w:rPr>
              <w:t>一般变更</w:t>
            </w:r>
          </w:p>
        </w:tc>
        <w:tc>
          <w:tcPr>
            <w:tcW w:w="1061" w:type="dxa"/>
            <w:noWrap w:val="0"/>
            <w:vAlign w:val="top"/>
          </w:tcPr>
          <w:p w14:paraId="78B8125F">
            <w:pPr>
              <w:spacing w:before="162" w:line="222" w:lineRule="auto"/>
              <w:jc w:val="center"/>
              <w:rPr>
                <w:rFonts w:ascii="仿宋" w:hAnsi="仿宋" w:eastAsia="仿宋" w:cs="仿宋"/>
                <w:color w:val="auto"/>
                <w:sz w:val="24"/>
                <w:szCs w:val="24"/>
              </w:rPr>
            </w:pPr>
            <w:r>
              <w:rPr>
                <w:rFonts w:ascii="仿宋" w:hAnsi="仿宋" w:eastAsia="仿宋" w:cs="仿宋"/>
                <w:color w:val="auto"/>
                <w:spacing w:val="-5"/>
                <w:sz w:val="24"/>
                <w:szCs w:val="24"/>
              </w:rPr>
              <w:t>较大变更</w:t>
            </w:r>
          </w:p>
        </w:tc>
        <w:tc>
          <w:tcPr>
            <w:tcW w:w="1061" w:type="dxa"/>
            <w:tcBorders>
              <w:right w:val="single" w:color="000000" w:sz="14" w:space="0"/>
            </w:tcBorders>
            <w:noWrap w:val="0"/>
            <w:vAlign w:val="top"/>
          </w:tcPr>
          <w:p w14:paraId="06479EEE">
            <w:pPr>
              <w:spacing w:before="162" w:line="224" w:lineRule="auto"/>
              <w:jc w:val="center"/>
              <w:rPr>
                <w:rFonts w:ascii="仿宋" w:hAnsi="仿宋" w:eastAsia="仿宋" w:cs="仿宋"/>
                <w:color w:val="auto"/>
                <w:sz w:val="24"/>
                <w:szCs w:val="24"/>
              </w:rPr>
            </w:pPr>
            <w:r>
              <w:rPr>
                <w:rFonts w:ascii="仿宋" w:hAnsi="仿宋" w:eastAsia="仿宋" w:cs="仿宋"/>
                <w:color w:val="auto"/>
                <w:spacing w:val="-6"/>
                <w:sz w:val="24"/>
                <w:szCs w:val="24"/>
              </w:rPr>
              <w:t>重大变更</w:t>
            </w:r>
          </w:p>
        </w:tc>
      </w:tr>
      <w:tr w14:paraId="24A6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5" w:hRule="atLeast"/>
          <w:jc w:val="center"/>
        </w:trPr>
        <w:tc>
          <w:tcPr>
            <w:tcW w:w="1492" w:type="dxa"/>
            <w:vMerge w:val="continue"/>
            <w:tcBorders>
              <w:top w:val="nil"/>
              <w:left w:val="single" w:color="000000" w:sz="14" w:space="0"/>
            </w:tcBorders>
            <w:noWrap w:val="0"/>
            <w:vAlign w:val="top"/>
          </w:tcPr>
          <w:p w14:paraId="69EC0B9E">
            <w:pPr>
              <w:pStyle w:val="37"/>
              <w:rPr>
                <w:color w:val="auto"/>
              </w:rPr>
            </w:pPr>
          </w:p>
        </w:tc>
        <w:tc>
          <w:tcPr>
            <w:tcW w:w="2457" w:type="dxa"/>
            <w:vMerge w:val="continue"/>
            <w:tcBorders>
              <w:top w:val="nil"/>
            </w:tcBorders>
            <w:noWrap w:val="0"/>
            <w:vAlign w:val="top"/>
          </w:tcPr>
          <w:p w14:paraId="5D7C2BCC">
            <w:pPr>
              <w:pStyle w:val="37"/>
              <w:rPr>
                <w:color w:val="auto"/>
              </w:rPr>
            </w:pPr>
          </w:p>
        </w:tc>
        <w:tc>
          <w:tcPr>
            <w:tcW w:w="2069" w:type="dxa"/>
            <w:vMerge w:val="continue"/>
            <w:tcBorders>
              <w:top w:val="nil"/>
            </w:tcBorders>
            <w:noWrap w:val="0"/>
            <w:vAlign w:val="top"/>
          </w:tcPr>
          <w:p w14:paraId="6DD87964">
            <w:pPr>
              <w:pStyle w:val="37"/>
              <w:rPr>
                <w:color w:val="auto"/>
              </w:rPr>
            </w:pPr>
          </w:p>
        </w:tc>
        <w:tc>
          <w:tcPr>
            <w:tcW w:w="1061" w:type="dxa"/>
            <w:noWrap w:val="0"/>
            <w:vAlign w:val="top"/>
          </w:tcPr>
          <w:p w14:paraId="10813A81">
            <w:pPr>
              <w:pStyle w:val="37"/>
              <w:jc w:val="center"/>
              <w:rPr>
                <w:color w:val="auto"/>
              </w:rPr>
            </w:pPr>
          </w:p>
        </w:tc>
        <w:tc>
          <w:tcPr>
            <w:tcW w:w="1061" w:type="dxa"/>
            <w:noWrap w:val="0"/>
            <w:vAlign w:val="top"/>
          </w:tcPr>
          <w:p w14:paraId="5ECDE804">
            <w:pPr>
              <w:pStyle w:val="37"/>
              <w:jc w:val="center"/>
              <w:rPr>
                <w:color w:val="auto"/>
              </w:rPr>
            </w:pPr>
          </w:p>
        </w:tc>
        <w:tc>
          <w:tcPr>
            <w:tcW w:w="1061" w:type="dxa"/>
            <w:tcBorders>
              <w:right w:val="single" w:color="000000" w:sz="14" w:space="0"/>
            </w:tcBorders>
            <w:noWrap w:val="0"/>
            <w:vAlign w:val="top"/>
          </w:tcPr>
          <w:p w14:paraId="58BDDB9C">
            <w:pPr>
              <w:pStyle w:val="37"/>
              <w:jc w:val="center"/>
              <w:rPr>
                <w:color w:val="auto"/>
              </w:rPr>
            </w:pPr>
          </w:p>
        </w:tc>
      </w:tr>
      <w:tr w14:paraId="2E2C3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0" w:hRule="atLeast"/>
          <w:jc w:val="center"/>
        </w:trPr>
        <w:tc>
          <w:tcPr>
            <w:tcW w:w="1492" w:type="dxa"/>
            <w:tcBorders>
              <w:left w:val="single" w:color="000000" w:sz="14" w:space="0"/>
            </w:tcBorders>
            <w:noWrap w:val="0"/>
            <w:vAlign w:val="top"/>
          </w:tcPr>
          <w:p w14:paraId="536A7F63">
            <w:pPr>
              <w:pStyle w:val="37"/>
              <w:spacing w:line="251" w:lineRule="auto"/>
              <w:rPr>
                <w:color w:val="auto"/>
              </w:rPr>
            </w:pPr>
          </w:p>
          <w:p w14:paraId="4E1E13F6">
            <w:pPr>
              <w:pStyle w:val="37"/>
              <w:spacing w:line="251" w:lineRule="auto"/>
              <w:rPr>
                <w:color w:val="auto"/>
              </w:rPr>
            </w:pPr>
          </w:p>
          <w:p w14:paraId="1EC8FD3A">
            <w:pPr>
              <w:spacing w:before="78" w:line="222" w:lineRule="auto"/>
              <w:jc w:val="center"/>
              <w:rPr>
                <w:rFonts w:ascii="仿宋" w:hAnsi="仿宋" w:eastAsia="仿宋" w:cs="仿宋"/>
                <w:color w:val="auto"/>
                <w:sz w:val="24"/>
                <w:szCs w:val="24"/>
              </w:rPr>
            </w:pPr>
            <w:r>
              <w:rPr>
                <w:rFonts w:ascii="仿宋" w:hAnsi="仿宋" w:eastAsia="仿宋" w:cs="仿宋"/>
                <w:color w:val="auto"/>
                <w:spacing w:val="-5"/>
                <w:sz w:val="24"/>
                <w:szCs w:val="24"/>
              </w:rPr>
              <w:t>项目概况</w:t>
            </w:r>
          </w:p>
        </w:tc>
        <w:tc>
          <w:tcPr>
            <w:tcW w:w="7709" w:type="dxa"/>
            <w:gridSpan w:val="5"/>
            <w:tcBorders>
              <w:right w:val="single" w:color="000000" w:sz="14" w:space="0"/>
            </w:tcBorders>
            <w:noWrap w:val="0"/>
            <w:vAlign w:val="top"/>
          </w:tcPr>
          <w:p w14:paraId="6CA28057">
            <w:pPr>
              <w:pStyle w:val="37"/>
              <w:rPr>
                <w:color w:val="auto"/>
              </w:rPr>
            </w:pPr>
          </w:p>
        </w:tc>
      </w:tr>
      <w:tr w14:paraId="1676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10" w:hRule="atLeast"/>
          <w:jc w:val="center"/>
        </w:trPr>
        <w:tc>
          <w:tcPr>
            <w:tcW w:w="1492" w:type="dxa"/>
            <w:tcBorders>
              <w:left w:val="single" w:color="000000" w:sz="14" w:space="0"/>
            </w:tcBorders>
            <w:noWrap w:val="0"/>
            <w:vAlign w:val="top"/>
          </w:tcPr>
          <w:p w14:paraId="0C4D9AFF">
            <w:pPr>
              <w:spacing w:before="78" w:line="226" w:lineRule="auto"/>
              <w:ind w:right="91"/>
              <w:jc w:val="both"/>
              <w:rPr>
                <w:rFonts w:ascii="仿宋" w:hAnsi="仿宋" w:eastAsia="仿宋" w:cs="仿宋"/>
                <w:color w:val="auto"/>
                <w:spacing w:val="-4"/>
                <w:sz w:val="24"/>
                <w:szCs w:val="24"/>
              </w:rPr>
            </w:pPr>
          </w:p>
          <w:p w14:paraId="3997492C">
            <w:pPr>
              <w:spacing w:before="78" w:line="226" w:lineRule="auto"/>
              <w:ind w:right="91"/>
              <w:jc w:val="both"/>
              <w:rPr>
                <w:rFonts w:ascii="仿宋" w:hAnsi="仿宋" w:eastAsia="仿宋" w:cs="仿宋"/>
                <w:color w:val="auto"/>
                <w:spacing w:val="-4"/>
                <w:sz w:val="24"/>
                <w:szCs w:val="24"/>
              </w:rPr>
            </w:pPr>
          </w:p>
          <w:p w14:paraId="4421777A">
            <w:pPr>
              <w:spacing w:before="78" w:line="226" w:lineRule="auto"/>
              <w:ind w:right="91"/>
              <w:jc w:val="both"/>
              <w:rPr>
                <w:rFonts w:ascii="仿宋" w:hAnsi="仿宋" w:eastAsia="仿宋" w:cs="仿宋"/>
                <w:color w:val="auto"/>
                <w:spacing w:val="-4"/>
                <w:sz w:val="24"/>
                <w:szCs w:val="24"/>
              </w:rPr>
            </w:pPr>
          </w:p>
          <w:p w14:paraId="12ACC3E2">
            <w:pPr>
              <w:spacing w:before="78" w:line="226" w:lineRule="auto"/>
              <w:ind w:right="91"/>
              <w:jc w:val="center"/>
              <w:rPr>
                <w:rFonts w:ascii="仿宋" w:hAnsi="仿宋" w:eastAsia="仿宋" w:cs="仿宋"/>
                <w:color w:val="auto"/>
                <w:sz w:val="24"/>
                <w:szCs w:val="24"/>
              </w:rPr>
            </w:pPr>
            <w:r>
              <w:rPr>
                <w:rFonts w:ascii="仿宋" w:hAnsi="仿宋" w:eastAsia="仿宋" w:cs="仿宋"/>
                <w:color w:val="auto"/>
                <w:spacing w:val="-4"/>
                <w:sz w:val="24"/>
                <w:szCs w:val="24"/>
              </w:rPr>
              <w:t>变更内容及原因</w:t>
            </w:r>
            <w:r>
              <w:rPr>
                <w:rFonts w:ascii="仿宋" w:hAnsi="仿宋" w:eastAsia="仿宋" w:cs="仿宋"/>
                <w:color w:val="auto"/>
                <w:spacing w:val="-10"/>
                <w:sz w:val="24"/>
                <w:szCs w:val="24"/>
              </w:rPr>
              <w:t>分析</w:t>
            </w:r>
          </w:p>
        </w:tc>
        <w:tc>
          <w:tcPr>
            <w:tcW w:w="7709" w:type="dxa"/>
            <w:gridSpan w:val="5"/>
            <w:tcBorders>
              <w:right w:val="single" w:color="000000" w:sz="14" w:space="0"/>
            </w:tcBorders>
            <w:noWrap w:val="0"/>
            <w:vAlign w:val="top"/>
          </w:tcPr>
          <w:p w14:paraId="0661DD42">
            <w:pPr>
              <w:pStyle w:val="37"/>
              <w:rPr>
                <w:color w:val="auto"/>
              </w:rPr>
            </w:pPr>
          </w:p>
        </w:tc>
      </w:tr>
      <w:tr w14:paraId="12852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4" w:hRule="atLeast"/>
          <w:jc w:val="center"/>
        </w:trPr>
        <w:tc>
          <w:tcPr>
            <w:tcW w:w="9201" w:type="dxa"/>
            <w:gridSpan w:val="6"/>
            <w:tcBorders>
              <w:left w:val="single" w:color="000000" w:sz="14" w:space="0"/>
              <w:bottom w:val="single" w:color="000000" w:sz="14" w:space="0"/>
              <w:right w:val="single" w:color="000000" w:sz="14" w:space="0"/>
            </w:tcBorders>
            <w:noWrap w:val="0"/>
            <w:vAlign w:val="top"/>
          </w:tcPr>
          <w:p w14:paraId="23BEE05A">
            <w:pPr>
              <w:spacing w:before="245" w:line="221" w:lineRule="auto"/>
              <w:ind w:left="69"/>
              <w:rPr>
                <w:rFonts w:ascii="仿宋" w:hAnsi="仿宋" w:eastAsia="仿宋" w:cs="仿宋"/>
                <w:color w:val="auto"/>
                <w:sz w:val="24"/>
                <w:szCs w:val="24"/>
              </w:rPr>
            </w:pPr>
            <w:r>
              <w:rPr>
                <w:rFonts w:ascii="仿宋" w:hAnsi="仿宋" w:eastAsia="仿宋" w:cs="仿宋"/>
                <w:color w:val="auto"/>
                <w:spacing w:val="-5"/>
                <w:sz w:val="24"/>
                <w:szCs w:val="24"/>
              </w:rPr>
              <w:t>审查单位意见：</w:t>
            </w:r>
          </w:p>
          <w:p w14:paraId="653E1061">
            <w:pPr>
              <w:pStyle w:val="37"/>
              <w:spacing w:line="252" w:lineRule="auto"/>
              <w:rPr>
                <w:color w:val="auto"/>
              </w:rPr>
            </w:pPr>
          </w:p>
          <w:p w14:paraId="151CF086">
            <w:pPr>
              <w:pStyle w:val="37"/>
              <w:spacing w:line="253" w:lineRule="auto"/>
              <w:rPr>
                <w:color w:val="auto"/>
              </w:rPr>
            </w:pPr>
          </w:p>
          <w:p w14:paraId="478DFC1E">
            <w:pPr>
              <w:pStyle w:val="37"/>
              <w:spacing w:line="253" w:lineRule="auto"/>
              <w:rPr>
                <w:color w:val="auto"/>
              </w:rPr>
            </w:pPr>
          </w:p>
          <w:p w14:paraId="25277247">
            <w:pPr>
              <w:pStyle w:val="37"/>
              <w:spacing w:line="253" w:lineRule="auto"/>
              <w:rPr>
                <w:color w:val="auto"/>
              </w:rPr>
            </w:pPr>
          </w:p>
          <w:p w14:paraId="72496014">
            <w:pPr>
              <w:pStyle w:val="37"/>
              <w:spacing w:line="253" w:lineRule="auto"/>
              <w:rPr>
                <w:color w:val="auto"/>
              </w:rPr>
            </w:pPr>
          </w:p>
          <w:p w14:paraId="597FE3D8">
            <w:pPr>
              <w:spacing w:before="78" w:line="207" w:lineRule="auto"/>
              <w:ind w:right="1245"/>
              <w:rPr>
                <w:rFonts w:ascii="仿宋" w:hAnsi="仿宋" w:eastAsia="仿宋" w:cs="仿宋"/>
                <w:color w:val="auto"/>
                <w:spacing w:val="-11"/>
                <w:sz w:val="24"/>
                <w:szCs w:val="24"/>
              </w:rPr>
            </w:pPr>
          </w:p>
          <w:p w14:paraId="170573AF">
            <w:pPr>
              <w:spacing w:before="78" w:line="207" w:lineRule="auto"/>
              <w:ind w:right="1245" w:firstLine="5450" w:firstLineChars="2500"/>
              <w:rPr>
                <w:rFonts w:ascii="仿宋" w:hAnsi="仿宋" w:eastAsia="仿宋" w:cs="仿宋"/>
                <w:color w:val="auto"/>
                <w:sz w:val="24"/>
                <w:szCs w:val="24"/>
              </w:rPr>
            </w:pPr>
            <w:r>
              <w:rPr>
                <w:rFonts w:ascii="仿宋" w:hAnsi="仿宋" w:eastAsia="仿宋" w:cs="仿宋"/>
                <w:color w:val="auto"/>
                <w:spacing w:val="-11"/>
                <w:sz w:val="24"/>
                <w:szCs w:val="24"/>
              </w:rPr>
              <w:t>（签章）</w:t>
            </w:r>
            <w:r>
              <w:rPr>
                <w:rFonts w:hint="eastAsia" w:ascii="仿宋" w:hAnsi="仿宋" w:eastAsia="仿宋" w:cs="仿宋"/>
                <w:color w:val="auto"/>
                <w:spacing w:val="-11"/>
                <w:sz w:val="24"/>
                <w:szCs w:val="24"/>
                <w:lang w:val="en-US" w:eastAsia="zh-CN"/>
              </w:rPr>
              <w:t xml:space="preserve">     </w:t>
            </w:r>
            <w:r>
              <w:rPr>
                <w:rFonts w:ascii="仿宋" w:hAnsi="仿宋" w:eastAsia="仿宋" w:cs="仿宋"/>
                <w:color w:val="auto"/>
                <w:spacing w:val="-5"/>
                <w:sz w:val="24"/>
                <w:szCs w:val="24"/>
              </w:rPr>
              <w:t>年</w:t>
            </w:r>
            <w:r>
              <w:rPr>
                <w:rFonts w:hint="eastAsia" w:ascii="仿宋" w:hAnsi="仿宋" w:eastAsia="仿宋" w:cs="仿宋"/>
                <w:color w:val="auto"/>
                <w:spacing w:val="-5"/>
                <w:sz w:val="24"/>
                <w:szCs w:val="24"/>
                <w:lang w:val="en-US" w:eastAsia="zh-CN"/>
              </w:rPr>
              <w:t xml:space="preserve">  </w:t>
            </w:r>
            <w:r>
              <w:rPr>
                <w:rFonts w:ascii="仿宋" w:hAnsi="仿宋" w:eastAsia="仿宋" w:cs="仿宋"/>
                <w:color w:val="auto"/>
                <w:spacing w:val="-5"/>
                <w:sz w:val="24"/>
                <w:szCs w:val="24"/>
              </w:rPr>
              <w:t>月</w:t>
            </w:r>
            <w:r>
              <w:rPr>
                <w:rFonts w:hint="eastAsia" w:ascii="仿宋" w:hAnsi="仿宋" w:eastAsia="仿宋" w:cs="仿宋"/>
                <w:color w:val="auto"/>
                <w:spacing w:val="-5"/>
                <w:sz w:val="24"/>
                <w:szCs w:val="24"/>
                <w:lang w:val="en-US" w:eastAsia="zh-CN"/>
              </w:rPr>
              <w:t xml:space="preserve">  </w:t>
            </w:r>
            <w:r>
              <w:rPr>
                <w:rFonts w:ascii="仿宋" w:hAnsi="仿宋" w:eastAsia="仿宋" w:cs="仿宋"/>
                <w:color w:val="auto"/>
                <w:spacing w:val="-5"/>
                <w:sz w:val="24"/>
                <w:szCs w:val="24"/>
              </w:rPr>
              <w:t>日</w:t>
            </w:r>
          </w:p>
        </w:tc>
      </w:tr>
    </w:tbl>
    <w:p w14:paraId="0C4E726B">
      <w:pPr>
        <w:spacing w:before="85"/>
        <w:ind w:left="87" w:right="67" w:hanging="3"/>
        <w:jc w:val="both"/>
        <w:rPr>
          <w:rFonts w:ascii="Times New Roman" w:hAnsi="Times New Roman" w:eastAsia="黑体" w:cs="Times New Roman"/>
          <w:sz w:val="32"/>
          <w:szCs w:val="32"/>
        </w:rPr>
      </w:pPr>
      <w:r>
        <w:rPr>
          <w:rFonts w:hint="eastAsia" w:ascii="仿宋" w:hAnsi="仿宋" w:eastAsia="仿宋" w:cs="仿宋"/>
          <w:i w:val="0"/>
          <w:iCs w:val="0"/>
          <w:color w:val="000000"/>
          <w:kern w:val="0"/>
          <w:sz w:val="20"/>
          <w:szCs w:val="20"/>
          <w:u w:val="none"/>
          <w:lang w:val="en-US" w:eastAsia="zh-CN" w:bidi="ar"/>
        </w:rPr>
        <w:t>备注：一般和较大工程变更由项目行政主管部门组织审查并出具意见；重大工程变更由项目行政主管部门作为牵头单位组织会审，各参与会审单位出具审查意见。</w:t>
      </w:r>
    </w:p>
    <w:sectPr>
      <w:footerReference r:id="rId3" w:type="default"/>
      <w:pgSz w:w="11906" w:h="16838"/>
      <w:pgMar w:top="1440" w:right="1474" w:bottom="1440"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12DCA">
    <w:pPr>
      <w:pStyle w:val="8"/>
      <w:rPr>
        <w:rFonts w:ascii="Times New Roman" w:hAnsi="Times New Roman"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01697">
                          <w:pPr>
                            <w:pStyle w:val="8"/>
                            <w:rPr>
                              <w:rFonts w:hint="eastAsia" w:ascii="Times New Roman" w:hAnsi="Times New Roman" w:eastAsia="等线" w:cs="Times New Roman"/>
                              <w:sz w:val="28"/>
                              <w:szCs w:val="28"/>
                              <w:lang w:val="en-US" w:eastAsia="zh-CN"/>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A801697">
                    <w:pPr>
                      <w:pStyle w:val="8"/>
                      <w:rPr>
                        <w:rFonts w:hint="eastAsia" w:ascii="Times New Roman" w:hAnsi="Times New Roman" w:eastAsia="等线" w:cs="Times New Roman"/>
                        <w:sz w:val="28"/>
                        <w:szCs w:val="28"/>
                        <w:lang w:val="en-US" w:eastAsia="zh-CN"/>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14:paraId="43D680B7"/>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mULFjNAQAAmAMAAA4AAABkcnMvZTJvRG9jLnhtbK1TzYrbMBC+F/oO&#10;QvfGdiAlNXGWhbBLobQL2z6AIkuxQH9olNh5gfYNeuql9z5XnqMj2c4u28seepFnNKNv5vtmvLkZ&#10;jCYnEUA529BqUVIiLHetsoeGfvt6925NCURmW6adFQ09C6A327dvNr2vxdJ1TrciEASxUPe+oV2M&#10;vi4K4J0wDBbOC4tB6YJhEd1wKNrAekQ3uliW5fuid6H1wXEBgLe7MUgnxPAaQCel4mLn+NEIG0fU&#10;IDSLSAk65YFuc7dSCh6/SAkiEt1QZBrziUXQ3qez2G5YfQjMd4pPLbDXtPCCk2HKYtEr1I5FRo5B&#10;/QNlFA8OnIwL7kwxEsmKIIuqfKHNY8e8yFxQavBX0eH/wfLPp4dAVNvQFSWWGRz45eePy68/l9/f&#10;SZXk6T3UmPXoH8LkAZqJ6yCDSV9kQYYs6fkqqRgi4XhZrZfrdYlqc4zNDuIUT899gHgvnCHJaGjA&#10;mWUp2ekTxDF1TknVrLtTWuM9q7UlfUM/rJar/OAaQXBtsUZqfWw2WXHYDxODvWvPSLvHuTfU4ppT&#10;oj9alDWtyGyE2djPxtEHdeiwxyrXA397jNhNbjJVGGGnwjiwTHNarrQRz/2c9fRDbf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XW5UtAAAAAFAQAADwAAAAAAAAABACAAAAAiAAAAZHJzL2Rvd25y&#10;ZXYueG1sUEsBAhQAFAAAAAgAh07iQGmULFjNAQAAmAMAAA4AAAAAAAAAAQAgAAAAHwEAAGRycy9l&#10;Mm9Eb2MueG1sUEsFBgAAAAAGAAYAWQEAAF4FAAAAAA==&#10;">
              <v:fill on="f" focussize="0,0"/>
              <v:stroke on="f"/>
              <v:imagedata o:title=""/>
              <o:lock v:ext="edit" aspectratio="f"/>
              <v:textbox inset="0mm,0mm,0mm,0mm" style="mso-fit-shape-to-text:t;">
                <w:txbxContent>
                  <w:p w14:paraId="43D680B7"/>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U1Nzk4NDgwOTE5NTg5YjQyZWJiMjgyZTljMmU0NTUifQ=="/>
  </w:docVars>
  <w:rsids>
    <w:rsidRoot w:val="00F15D20"/>
    <w:rsid w:val="00005C2C"/>
    <w:rsid w:val="000063C2"/>
    <w:rsid w:val="00043F72"/>
    <w:rsid w:val="0006005B"/>
    <w:rsid w:val="000A299F"/>
    <w:rsid w:val="000C1DAC"/>
    <w:rsid w:val="000C5D01"/>
    <w:rsid w:val="000D5FFF"/>
    <w:rsid w:val="000E41F0"/>
    <w:rsid w:val="000F251A"/>
    <w:rsid w:val="00144A68"/>
    <w:rsid w:val="0015167E"/>
    <w:rsid w:val="0016242D"/>
    <w:rsid w:val="0019764F"/>
    <w:rsid w:val="001A492B"/>
    <w:rsid w:val="001A7A00"/>
    <w:rsid w:val="001F5ECA"/>
    <w:rsid w:val="00207F79"/>
    <w:rsid w:val="00224BD1"/>
    <w:rsid w:val="00234945"/>
    <w:rsid w:val="0023731E"/>
    <w:rsid w:val="00242998"/>
    <w:rsid w:val="00256ABC"/>
    <w:rsid w:val="00263492"/>
    <w:rsid w:val="00265E2D"/>
    <w:rsid w:val="00270E20"/>
    <w:rsid w:val="002820A8"/>
    <w:rsid w:val="002827DC"/>
    <w:rsid w:val="0028440D"/>
    <w:rsid w:val="00287C78"/>
    <w:rsid w:val="002E4E4F"/>
    <w:rsid w:val="002E51BD"/>
    <w:rsid w:val="002F3F7A"/>
    <w:rsid w:val="00301239"/>
    <w:rsid w:val="003A5315"/>
    <w:rsid w:val="003B2BBF"/>
    <w:rsid w:val="003B65DA"/>
    <w:rsid w:val="003C63A6"/>
    <w:rsid w:val="003D4902"/>
    <w:rsid w:val="0044346E"/>
    <w:rsid w:val="004539D5"/>
    <w:rsid w:val="0047253A"/>
    <w:rsid w:val="00485FA5"/>
    <w:rsid w:val="00490E58"/>
    <w:rsid w:val="004C0DC6"/>
    <w:rsid w:val="004F3B1B"/>
    <w:rsid w:val="005121ED"/>
    <w:rsid w:val="00550115"/>
    <w:rsid w:val="00553D07"/>
    <w:rsid w:val="00562649"/>
    <w:rsid w:val="0056602D"/>
    <w:rsid w:val="00566E97"/>
    <w:rsid w:val="00567169"/>
    <w:rsid w:val="00567422"/>
    <w:rsid w:val="0057673C"/>
    <w:rsid w:val="00583632"/>
    <w:rsid w:val="00592E48"/>
    <w:rsid w:val="00592F72"/>
    <w:rsid w:val="005953C6"/>
    <w:rsid w:val="005B25F3"/>
    <w:rsid w:val="005B6375"/>
    <w:rsid w:val="005C4095"/>
    <w:rsid w:val="005E0A8F"/>
    <w:rsid w:val="005E2658"/>
    <w:rsid w:val="00605745"/>
    <w:rsid w:val="00633D30"/>
    <w:rsid w:val="006B1D11"/>
    <w:rsid w:val="006C02CC"/>
    <w:rsid w:val="006D26DE"/>
    <w:rsid w:val="006F0D7B"/>
    <w:rsid w:val="0070101B"/>
    <w:rsid w:val="00706F1F"/>
    <w:rsid w:val="00712359"/>
    <w:rsid w:val="0072762C"/>
    <w:rsid w:val="00735E03"/>
    <w:rsid w:val="00753123"/>
    <w:rsid w:val="00766223"/>
    <w:rsid w:val="0079413D"/>
    <w:rsid w:val="007B4D30"/>
    <w:rsid w:val="007C4CAE"/>
    <w:rsid w:val="007C7A31"/>
    <w:rsid w:val="007E6CE3"/>
    <w:rsid w:val="008819B4"/>
    <w:rsid w:val="008B73EA"/>
    <w:rsid w:val="008C2CFC"/>
    <w:rsid w:val="008C7DD0"/>
    <w:rsid w:val="008D5E0C"/>
    <w:rsid w:val="00924461"/>
    <w:rsid w:val="00940072"/>
    <w:rsid w:val="009417FE"/>
    <w:rsid w:val="00953689"/>
    <w:rsid w:val="00953AA4"/>
    <w:rsid w:val="00955247"/>
    <w:rsid w:val="009571D6"/>
    <w:rsid w:val="009639D4"/>
    <w:rsid w:val="00974BB2"/>
    <w:rsid w:val="0098159E"/>
    <w:rsid w:val="009D6086"/>
    <w:rsid w:val="009E0EE2"/>
    <w:rsid w:val="00A26C79"/>
    <w:rsid w:val="00A27B46"/>
    <w:rsid w:val="00A50353"/>
    <w:rsid w:val="00AB560A"/>
    <w:rsid w:val="00AC65CC"/>
    <w:rsid w:val="00AF11DE"/>
    <w:rsid w:val="00B1774F"/>
    <w:rsid w:val="00B4298C"/>
    <w:rsid w:val="00B43166"/>
    <w:rsid w:val="00B450E7"/>
    <w:rsid w:val="00B70E62"/>
    <w:rsid w:val="00B85C2C"/>
    <w:rsid w:val="00B94345"/>
    <w:rsid w:val="00B95C01"/>
    <w:rsid w:val="00BA31A5"/>
    <w:rsid w:val="00BD15E4"/>
    <w:rsid w:val="00BE4091"/>
    <w:rsid w:val="00BE4D50"/>
    <w:rsid w:val="00BE5536"/>
    <w:rsid w:val="00BF2201"/>
    <w:rsid w:val="00C019B3"/>
    <w:rsid w:val="00C2617F"/>
    <w:rsid w:val="00C32350"/>
    <w:rsid w:val="00C42BE7"/>
    <w:rsid w:val="00C6269D"/>
    <w:rsid w:val="00CA6198"/>
    <w:rsid w:val="00CB7D3C"/>
    <w:rsid w:val="00CF3218"/>
    <w:rsid w:val="00D20D67"/>
    <w:rsid w:val="00D33AB1"/>
    <w:rsid w:val="00D35F53"/>
    <w:rsid w:val="00D4723C"/>
    <w:rsid w:val="00D55980"/>
    <w:rsid w:val="00D806F8"/>
    <w:rsid w:val="00D930F8"/>
    <w:rsid w:val="00D94122"/>
    <w:rsid w:val="00D94EFE"/>
    <w:rsid w:val="00DA6716"/>
    <w:rsid w:val="00DB3FAA"/>
    <w:rsid w:val="00DD3A92"/>
    <w:rsid w:val="00DF6C7C"/>
    <w:rsid w:val="00E074D1"/>
    <w:rsid w:val="00E25175"/>
    <w:rsid w:val="00E400F1"/>
    <w:rsid w:val="00E45D49"/>
    <w:rsid w:val="00E61BE3"/>
    <w:rsid w:val="00E72A93"/>
    <w:rsid w:val="00E81B35"/>
    <w:rsid w:val="00EA064E"/>
    <w:rsid w:val="00EA1800"/>
    <w:rsid w:val="00EB0C08"/>
    <w:rsid w:val="00EE0C41"/>
    <w:rsid w:val="00F15D20"/>
    <w:rsid w:val="00F16AEA"/>
    <w:rsid w:val="00F50BC5"/>
    <w:rsid w:val="00F75F95"/>
    <w:rsid w:val="00F84779"/>
    <w:rsid w:val="00F900A8"/>
    <w:rsid w:val="00F90B30"/>
    <w:rsid w:val="00F91A5B"/>
    <w:rsid w:val="00FA1775"/>
    <w:rsid w:val="00FA6B9C"/>
    <w:rsid w:val="00FE57A4"/>
    <w:rsid w:val="00FE5C95"/>
    <w:rsid w:val="00FF48B7"/>
    <w:rsid w:val="013C5030"/>
    <w:rsid w:val="021044F2"/>
    <w:rsid w:val="039026A4"/>
    <w:rsid w:val="057161FA"/>
    <w:rsid w:val="05831998"/>
    <w:rsid w:val="07150157"/>
    <w:rsid w:val="08327EB2"/>
    <w:rsid w:val="08F95ECF"/>
    <w:rsid w:val="09D87E92"/>
    <w:rsid w:val="0ADC3344"/>
    <w:rsid w:val="0C033979"/>
    <w:rsid w:val="0CDA53C4"/>
    <w:rsid w:val="0D035115"/>
    <w:rsid w:val="0D2B64A6"/>
    <w:rsid w:val="0DD64AED"/>
    <w:rsid w:val="0E8B427C"/>
    <w:rsid w:val="0EE07FEE"/>
    <w:rsid w:val="12641736"/>
    <w:rsid w:val="137E1FC2"/>
    <w:rsid w:val="137F16C9"/>
    <w:rsid w:val="146D2C0E"/>
    <w:rsid w:val="14720B84"/>
    <w:rsid w:val="14C7227E"/>
    <w:rsid w:val="15E65425"/>
    <w:rsid w:val="178A5952"/>
    <w:rsid w:val="18EA07BB"/>
    <w:rsid w:val="19480618"/>
    <w:rsid w:val="196C343F"/>
    <w:rsid w:val="1AB5510E"/>
    <w:rsid w:val="1AD80F8A"/>
    <w:rsid w:val="1BA0430C"/>
    <w:rsid w:val="1C5B1172"/>
    <w:rsid w:val="1CFF5001"/>
    <w:rsid w:val="1D5E4CAD"/>
    <w:rsid w:val="1D6C771E"/>
    <w:rsid w:val="1DBD0F47"/>
    <w:rsid w:val="1DF83E91"/>
    <w:rsid w:val="1E070E8A"/>
    <w:rsid w:val="1EC31094"/>
    <w:rsid w:val="1F207C66"/>
    <w:rsid w:val="206E3C76"/>
    <w:rsid w:val="211B1C44"/>
    <w:rsid w:val="21CE6FB5"/>
    <w:rsid w:val="22282297"/>
    <w:rsid w:val="2242493B"/>
    <w:rsid w:val="24934375"/>
    <w:rsid w:val="24D17EE3"/>
    <w:rsid w:val="24FF4C20"/>
    <w:rsid w:val="25955ACD"/>
    <w:rsid w:val="274B0257"/>
    <w:rsid w:val="27C83E11"/>
    <w:rsid w:val="28DD23EC"/>
    <w:rsid w:val="290315EF"/>
    <w:rsid w:val="29085FCC"/>
    <w:rsid w:val="297505BB"/>
    <w:rsid w:val="29D0405C"/>
    <w:rsid w:val="2A326775"/>
    <w:rsid w:val="2AD82201"/>
    <w:rsid w:val="2C364FBB"/>
    <w:rsid w:val="2CCB2F4A"/>
    <w:rsid w:val="2D5E441F"/>
    <w:rsid w:val="2DB954E1"/>
    <w:rsid w:val="2F12558D"/>
    <w:rsid w:val="2F456F47"/>
    <w:rsid w:val="2F5F3244"/>
    <w:rsid w:val="30286292"/>
    <w:rsid w:val="30661B65"/>
    <w:rsid w:val="31080B8C"/>
    <w:rsid w:val="31C7679B"/>
    <w:rsid w:val="31FD3BCB"/>
    <w:rsid w:val="328F4DCA"/>
    <w:rsid w:val="34D8033E"/>
    <w:rsid w:val="356B18B1"/>
    <w:rsid w:val="35D8756C"/>
    <w:rsid w:val="35DC4CD4"/>
    <w:rsid w:val="35EE37E8"/>
    <w:rsid w:val="362A4EEC"/>
    <w:rsid w:val="367A71A0"/>
    <w:rsid w:val="37F26EF0"/>
    <w:rsid w:val="3A946B03"/>
    <w:rsid w:val="3AAA6676"/>
    <w:rsid w:val="3AE138A5"/>
    <w:rsid w:val="3B8B2A88"/>
    <w:rsid w:val="3BB94CB3"/>
    <w:rsid w:val="3BEA6C39"/>
    <w:rsid w:val="3E492681"/>
    <w:rsid w:val="3E61701E"/>
    <w:rsid w:val="4025762D"/>
    <w:rsid w:val="40A82585"/>
    <w:rsid w:val="40ED21E1"/>
    <w:rsid w:val="4291532F"/>
    <w:rsid w:val="42C0396E"/>
    <w:rsid w:val="42C509F6"/>
    <w:rsid w:val="438D27FE"/>
    <w:rsid w:val="44823284"/>
    <w:rsid w:val="449358CF"/>
    <w:rsid w:val="44BC7116"/>
    <w:rsid w:val="450B3BE1"/>
    <w:rsid w:val="45A61476"/>
    <w:rsid w:val="45C36261"/>
    <w:rsid w:val="46325378"/>
    <w:rsid w:val="476C21BB"/>
    <w:rsid w:val="47C90C76"/>
    <w:rsid w:val="47F05903"/>
    <w:rsid w:val="48026D3D"/>
    <w:rsid w:val="480F301E"/>
    <w:rsid w:val="4929386D"/>
    <w:rsid w:val="4A7111AE"/>
    <w:rsid w:val="4B3C4F63"/>
    <w:rsid w:val="4BC60A01"/>
    <w:rsid w:val="4C3B6636"/>
    <w:rsid w:val="4E7B3B9E"/>
    <w:rsid w:val="4F695BCA"/>
    <w:rsid w:val="502A587C"/>
    <w:rsid w:val="512762FE"/>
    <w:rsid w:val="518150C1"/>
    <w:rsid w:val="51DF2E42"/>
    <w:rsid w:val="53064800"/>
    <w:rsid w:val="53507EEA"/>
    <w:rsid w:val="53965300"/>
    <w:rsid w:val="53B96110"/>
    <w:rsid w:val="548750B8"/>
    <w:rsid w:val="54B70E79"/>
    <w:rsid w:val="555B080A"/>
    <w:rsid w:val="55896193"/>
    <w:rsid w:val="55D55C5B"/>
    <w:rsid w:val="572012A0"/>
    <w:rsid w:val="588C2DDE"/>
    <w:rsid w:val="5ADE781E"/>
    <w:rsid w:val="5AF633B4"/>
    <w:rsid w:val="5B251DF9"/>
    <w:rsid w:val="5BF450C6"/>
    <w:rsid w:val="5C4900AF"/>
    <w:rsid w:val="5CA723B5"/>
    <w:rsid w:val="5D055E2A"/>
    <w:rsid w:val="5D910323"/>
    <w:rsid w:val="60503025"/>
    <w:rsid w:val="612E6B6C"/>
    <w:rsid w:val="628B232D"/>
    <w:rsid w:val="631F0AEE"/>
    <w:rsid w:val="63AE5D4F"/>
    <w:rsid w:val="642337E5"/>
    <w:rsid w:val="646B101A"/>
    <w:rsid w:val="65204C98"/>
    <w:rsid w:val="656160A0"/>
    <w:rsid w:val="662867EF"/>
    <w:rsid w:val="66AE6FF1"/>
    <w:rsid w:val="672F1B36"/>
    <w:rsid w:val="68736B5F"/>
    <w:rsid w:val="6A0B5AC9"/>
    <w:rsid w:val="6A102C87"/>
    <w:rsid w:val="6A106AEA"/>
    <w:rsid w:val="6A272AE9"/>
    <w:rsid w:val="6A3D70C0"/>
    <w:rsid w:val="6A3F38CD"/>
    <w:rsid w:val="6A5A4127"/>
    <w:rsid w:val="6CF22D54"/>
    <w:rsid w:val="6D21005D"/>
    <w:rsid w:val="6DF511B4"/>
    <w:rsid w:val="6E2118DE"/>
    <w:rsid w:val="6ECA1008"/>
    <w:rsid w:val="6EDD351D"/>
    <w:rsid w:val="6F905994"/>
    <w:rsid w:val="6FEE485A"/>
    <w:rsid w:val="71B77764"/>
    <w:rsid w:val="71C22863"/>
    <w:rsid w:val="72890778"/>
    <w:rsid w:val="73270216"/>
    <w:rsid w:val="733A5527"/>
    <w:rsid w:val="733D289D"/>
    <w:rsid w:val="755C6309"/>
    <w:rsid w:val="75C77B23"/>
    <w:rsid w:val="75C877A1"/>
    <w:rsid w:val="764029CC"/>
    <w:rsid w:val="76AD0C76"/>
    <w:rsid w:val="76C63351"/>
    <w:rsid w:val="77176DAC"/>
    <w:rsid w:val="77C62F9C"/>
    <w:rsid w:val="78E4677B"/>
    <w:rsid w:val="79FE3077"/>
    <w:rsid w:val="7D476709"/>
    <w:rsid w:val="7E011EBB"/>
    <w:rsid w:val="7E701F77"/>
    <w:rsid w:val="7FB77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tabs>
        <w:tab w:val="left" w:pos="0"/>
      </w:tabs>
      <w:spacing w:line="412" w:lineRule="auto"/>
      <w:outlineLvl w:val="1"/>
    </w:pPr>
    <w:rPr>
      <w:rFonts w:ascii="Arial" w:hAnsi="Arial" w:eastAsia="黑体" w:cs="Arial"/>
      <w:b/>
      <w:bCs/>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qFormat/>
    <w:uiPriority w:val="0"/>
    <w:pPr>
      <w:jc w:val="left"/>
    </w:pPr>
  </w:style>
  <w:style w:type="paragraph" w:styleId="6">
    <w:name w:val="toc 3"/>
    <w:basedOn w:val="1"/>
    <w:next w:val="1"/>
    <w:qFormat/>
    <w:uiPriority w:val="39"/>
    <w:pPr>
      <w:ind w:left="840" w:leftChars="400"/>
    </w:pPr>
  </w:style>
  <w:style w:type="paragraph" w:styleId="7">
    <w:name w:val="Balloon Text"/>
    <w:basedOn w:val="1"/>
    <w:link w:val="27"/>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left" w:pos="840"/>
        <w:tab w:val="right" w:leader="dot" w:pos="8296"/>
      </w:tabs>
    </w:pPr>
  </w:style>
  <w:style w:type="paragraph" w:styleId="11">
    <w:name w:val="toc 2"/>
    <w:basedOn w:val="1"/>
    <w:next w:val="1"/>
    <w:qFormat/>
    <w:uiPriority w:val="39"/>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4">
    <w:name w:val="annotation subject"/>
    <w:basedOn w:val="5"/>
    <w:next w:val="5"/>
    <w:link w:val="29"/>
    <w:qFormat/>
    <w:uiPriority w:val="0"/>
    <w:rPr>
      <w:b/>
      <w:bCs/>
    </w:rPr>
  </w:style>
  <w:style w:type="character" w:styleId="17">
    <w:name w:val="Hyperlink"/>
    <w:qFormat/>
    <w:uiPriority w:val="99"/>
    <w:rPr>
      <w:color w:val="0563C1"/>
      <w:u w:val="single"/>
    </w:rPr>
  </w:style>
  <w:style w:type="character" w:styleId="18">
    <w:name w:val="annotation reference"/>
    <w:qFormat/>
    <w:uiPriority w:val="0"/>
    <w:rPr>
      <w:sz w:val="21"/>
      <w:szCs w:val="21"/>
    </w:rPr>
  </w:style>
  <w:style w:type="paragraph" w:customStyle="1" w:styleId="19">
    <w:name w:val="列表段落1"/>
    <w:basedOn w:val="1"/>
    <w:qFormat/>
    <w:uiPriority w:val="34"/>
    <w:pPr>
      <w:ind w:firstLine="420" w:firstLineChars="200"/>
    </w:pPr>
  </w:style>
  <w:style w:type="paragraph" w:customStyle="1" w:styleId="20">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597"/>
      <w:kern w:val="0"/>
      <w:sz w:val="32"/>
      <w:szCs w:val="32"/>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3">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4">
    <w:name w:val="页眉 字符"/>
    <w:link w:val="9"/>
    <w:qFormat/>
    <w:uiPriority w:val="99"/>
    <w:rPr>
      <w:sz w:val="18"/>
      <w:szCs w:val="18"/>
    </w:rPr>
  </w:style>
  <w:style w:type="character" w:customStyle="1" w:styleId="25">
    <w:name w:val="页脚 字符"/>
    <w:link w:val="8"/>
    <w:qFormat/>
    <w:uiPriority w:val="99"/>
    <w:rPr>
      <w:sz w:val="18"/>
      <w:szCs w:val="18"/>
    </w:rPr>
  </w:style>
  <w:style w:type="character" w:customStyle="1" w:styleId="26">
    <w:name w:val="标题 1 字符"/>
    <w:link w:val="2"/>
    <w:qFormat/>
    <w:uiPriority w:val="9"/>
    <w:rPr>
      <w:b/>
      <w:bCs/>
      <w:kern w:val="44"/>
      <w:sz w:val="44"/>
      <w:szCs w:val="44"/>
    </w:rPr>
  </w:style>
  <w:style w:type="character" w:customStyle="1" w:styleId="27">
    <w:name w:val="批注框文本 字符"/>
    <w:link w:val="7"/>
    <w:qFormat/>
    <w:uiPriority w:val="99"/>
    <w:rPr>
      <w:rFonts w:ascii="等线" w:hAnsi="等线" w:eastAsia="等线" w:cs="宋体"/>
      <w:kern w:val="2"/>
      <w:sz w:val="18"/>
      <w:szCs w:val="18"/>
    </w:rPr>
  </w:style>
  <w:style w:type="character" w:customStyle="1" w:styleId="28">
    <w:name w:val="批注文字 字符"/>
    <w:link w:val="5"/>
    <w:qFormat/>
    <w:uiPriority w:val="0"/>
    <w:rPr>
      <w:rFonts w:ascii="等线" w:hAnsi="等线" w:eastAsia="等线" w:cs="宋体"/>
      <w:kern w:val="2"/>
      <w:sz w:val="21"/>
      <w:szCs w:val="22"/>
    </w:rPr>
  </w:style>
  <w:style w:type="character" w:customStyle="1" w:styleId="29">
    <w:name w:val="批注主题 字符"/>
    <w:link w:val="14"/>
    <w:qFormat/>
    <w:uiPriority w:val="0"/>
    <w:rPr>
      <w:rFonts w:ascii="等线" w:hAnsi="等线" w:eastAsia="等线" w:cs="宋体"/>
      <w:b/>
      <w:bCs/>
      <w:kern w:val="2"/>
      <w:sz w:val="21"/>
      <w:szCs w:val="22"/>
    </w:rPr>
  </w:style>
  <w:style w:type="character" w:customStyle="1" w:styleId="30">
    <w:name w:val="NormalCharacter"/>
    <w:qFormat/>
    <w:uiPriority w:val="0"/>
    <w:rPr>
      <w:rFonts w:ascii="Times New Roman" w:hAnsi="Times New Roman" w:eastAsia="宋体" w:cs="Times New Roman"/>
    </w:rPr>
  </w:style>
  <w:style w:type="paragraph" w:customStyle="1" w:styleId="31">
    <w:name w:val="ParaAttribute13"/>
    <w:qFormat/>
    <w:uiPriority w:val="0"/>
    <w:pPr>
      <w:shd w:val="solid" w:color="FFFFFF" w:fill="auto"/>
      <w:wordWrap w:val="0"/>
    </w:pPr>
    <w:rPr>
      <w:rFonts w:ascii="Times New Roman" w:hAnsi="Times New Roman" w:eastAsia="Batang" w:cs="Times New Roman"/>
      <w:lang w:val="en-US" w:eastAsia="zh-CN" w:bidi="ar-SA"/>
    </w:rPr>
  </w:style>
  <w:style w:type="character" w:customStyle="1" w:styleId="32">
    <w:name w:val="CharAttribute11"/>
    <w:qFormat/>
    <w:uiPriority w:val="0"/>
    <w:rPr>
      <w:rFonts w:ascii="楷体_GB2312" w:eastAsia="楷体_GB2312"/>
      <w:sz w:val="30"/>
    </w:rPr>
  </w:style>
  <w:style w:type="paragraph" w:customStyle="1" w:styleId="33">
    <w:name w:val="Default"/>
    <w:qFormat/>
    <w:uiPriority w:val="0"/>
    <w:pPr>
      <w:widowControl w:val="0"/>
      <w:autoSpaceDE w:val="0"/>
      <w:autoSpaceDN w:val="0"/>
      <w:adjustRightInd w:val="0"/>
      <w:spacing w:line="250" w:lineRule="auto"/>
    </w:pPr>
    <w:rPr>
      <w:rFonts w:ascii="黑体" w:hAnsi="Calibri" w:eastAsia="黑体" w:cs="黑体"/>
      <w:color w:val="000000"/>
      <w:sz w:val="24"/>
      <w:szCs w:val="24"/>
      <w:lang w:val="en-US" w:eastAsia="zh-CN" w:bidi="ar-SA"/>
    </w:rPr>
  </w:style>
  <w:style w:type="character" w:customStyle="1" w:styleId="34">
    <w:name w:val="Unresolved Mention"/>
    <w:basedOn w:val="16"/>
    <w:semiHidden/>
    <w:unhideWhenUsed/>
    <w:qFormat/>
    <w:uiPriority w:val="99"/>
    <w:rPr>
      <w:color w:val="605E5C"/>
      <w:shd w:val="clear" w:color="auto" w:fill="E1DFDD"/>
    </w:rPr>
  </w:style>
  <w:style w:type="paragraph" w:customStyle="1" w:styleId="35">
    <w:name w:val="p0"/>
    <w:basedOn w:val="1"/>
    <w:qFormat/>
    <w:uiPriority w:val="0"/>
    <w:pPr>
      <w:widowControl/>
    </w:pPr>
    <w:rPr>
      <w:kern w:val="0"/>
      <w:szCs w:val="21"/>
    </w:rPr>
  </w:style>
  <w:style w:type="table" w:customStyle="1" w:styleId="36">
    <w:name w:val="Table Normal"/>
    <w:unhideWhenUsed/>
    <w:qFormat/>
    <w:uiPriority w:val="0"/>
    <w:tblPr>
      <w:tblCellMar>
        <w:top w:w="0" w:type="dxa"/>
        <w:left w:w="0" w:type="dxa"/>
        <w:bottom w:w="0" w:type="dxa"/>
        <w:right w:w="0" w:type="dxa"/>
      </w:tblCellMar>
    </w:tblPr>
    <w:tcPr>
      <w:textDirection w:val="tbRl"/>
    </w:tcPr>
  </w:style>
  <w:style w:type="paragraph" w:customStyle="1" w:styleId="3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3024</Words>
  <Characters>3035</Characters>
  <Lines>26</Lines>
  <Paragraphs>7</Paragraphs>
  <TotalTime>0</TotalTime>
  <ScaleCrop>false</ScaleCrop>
  <LinksUpToDate>false</LinksUpToDate>
  <CharactersWithSpaces>3099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2022-07-21T06:39:00Z</dcterms:created>
  <dc:creator>xiao wei</dc:creator>
  <cp:lastModifiedBy>吃枣药丸</cp:lastModifiedBy>
  <cp:lastPrinted>2026-06-11T03:15:00Z</cp:lastPrinted>
  <dcterms:modified xsi:type="dcterms:W3CDTF">2026-07-15T07:25:47Z</dcterms:modified>
  <dc:title>五星级国际品牌酒店项目</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F595AF6D2CE54401A9815DB46A94DF0F_13</vt:lpwstr>
  </property>
  <property fmtid="{D5CDD505-2E9C-101B-9397-08002B2CF9AE}" pid="4" name="KSOTemplateDocerSaveRecord">
    <vt:lpwstr>eyJoZGlkIjoiZDI1MDg4NmQ3ZGI5ZjdiMTVmNWQ2ZWNiNmM3MWIxMDYiLCJ1c2VySWQiOiI1MDI1NDM3MjMifQ==</vt:lpwstr>
  </property>
</Properties>
</file>