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C37A04">
      <w:pPr>
        <w:keepNext w:val="0"/>
        <w:keepLines w:val="0"/>
        <w:pageBreakBefore w:val="0"/>
        <w:widowControl w:val="0"/>
        <w:kinsoku/>
        <w:wordWrap/>
        <w:overflowPunct/>
        <w:topLinePunct w:val="0"/>
        <w:autoSpaceDE/>
        <w:autoSpaceDN/>
        <w:bidi w:val="0"/>
        <w:adjustRightInd/>
        <w:snapToGrid/>
        <w:spacing w:line="572" w:lineRule="exact"/>
        <w:ind w:left="0" w:leftChars="0" w:firstLine="440" w:firstLineChars="100"/>
        <w:jc w:val="both"/>
        <w:textAlignment w:val="auto"/>
        <w:rPr>
          <w:rFonts w:hint="default" w:ascii="Times New Roman" w:hAnsi="Times New Roman" w:eastAsia="方正小标宋简体" w:cs="Times New Roman"/>
          <w:b w:val="0"/>
          <w:bCs w:val="0"/>
          <w:sz w:val="44"/>
          <w:szCs w:val="44"/>
          <w:lang w:val="en-US" w:eastAsia="zh-CN"/>
        </w:rPr>
      </w:pPr>
    </w:p>
    <w:p w14:paraId="3B59D93F">
      <w:pPr>
        <w:keepNext w:val="0"/>
        <w:keepLines w:val="0"/>
        <w:pageBreakBefore w:val="0"/>
        <w:widowControl w:val="0"/>
        <w:kinsoku/>
        <w:wordWrap/>
        <w:overflowPunct/>
        <w:topLinePunct w:val="0"/>
        <w:autoSpaceDE/>
        <w:autoSpaceDN/>
        <w:bidi w:val="0"/>
        <w:adjustRightInd/>
        <w:snapToGrid/>
        <w:spacing w:line="572" w:lineRule="exact"/>
        <w:ind w:left="0" w:leftChars="0" w:firstLine="0" w:firstLineChars="0"/>
        <w:jc w:val="center"/>
        <w:textAlignment w:val="auto"/>
        <w:rPr>
          <w:rFonts w:hint="eastAsia"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sz w:val="44"/>
          <w:szCs w:val="44"/>
          <w:lang w:val="en-US" w:eastAsia="zh-CN"/>
        </w:rPr>
        <w:t>洛阳市</w:t>
      </w:r>
      <w:r>
        <w:rPr>
          <w:rFonts w:hint="eastAsia" w:ascii="方正小标宋_GBK" w:hAnsi="方正小标宋_GBK" w:eastAsia="方正小标宋_GBK" w:cs="方正小标宋_GBK"/>
          <w:b w:val="0"/>
          <w:bCs w:val="0"/>
          <w:sz w:val="44"/>
          <w:szCs w:val="44"/>
        </w:rPr>
        <w:t>科技型中小企业引育计划</w:t>
      </w:r>
      <w:r>
        <w:rPr>
          <w:rFonts w:hint="eastAsia" w:ascii="方正小标宋_GBK" w:hAnsi="方正小标宋_GBK" w:eastAsia="方正小标宋_GBK" w:cs="方正小标宋_GBK"/>
          <w:b w:val="0"/>
          <w:bCs w:val="0"/>
          <w:sz w:val="44"/>
          <w:szCs w:val="44"/>
          <w:lang w:val="en-US" w:eastAsia="zh-CN"/>
        </w:rPr>
        <w:t>（2026-2028）</w:t>
      </w:r>
    </w:p>
    <w:p w14:paraId="3D98F2A6">
      <w:pPr>
        <w:keepNext w:val="0"/>
        <w:keepLines w:val="0"/>
        <w:pageBreakBefore w:val="0"/>
        <w:widowControl w:val="0"/>
        <w:kinsoku/>
        <w:wordWrap/>
        <w:overflowPunct/>
        <w:topLinePunct w:val="0"/>
        <w:autoSpaceDE/>
        <w:autoSpaceDN/>
        <w:bidi w:val="0"/>
        <w:adjustRightInd/>
        <w:snapToGrid/>
        <w:spacing w:line="572" w:lineRule="exact"/>
        <w:ind w:left="0" w:leftChars="0" w:firstLine="0" w:firstLineChars="0"/>
        <w:jc w:val="center"/>
        <w:textAlignment w:val="auto"/>
        <w:rPr>
          <w:rFonts w:hint="eastAsia" w:ascii="楷体" w:hAnsi="楷体" w:eastAsia="楷体" w:cs="楷体"/>
          <w:b w:val="0"/>
          <w:bCs w:val="0"/>
          <w:sz w:val="32"/>
          <w:szCs w:val="32"/>
          <w:lang w:val="en-US" w:eastAsia="zh-CN"/>
        </w:rPr>
      </w:pPr>
      <w:bookmarkStart w:id="0" w:name="_GoBack"/>
      <w:bookmarkEnd w:id="0"/>
      <w:r>
        <w:rPr>
          <w:rFonts w:hint="eastAsia" w:ascii="楷体" w:hAnsi="楷体" w:eastAsia="楷体" w:cs="楷体"/>
          <w:b w:val="0"/>
          <w:bCs w:val="0"/>
          <w:sz w:val="32"/>
          <w:szCs w:val="32"/>
          <w:lang w:val="en-US" w:eastAsia="zh-CN"/>
        </w:rPr>
        <w:t>（征求意见稿）</w:t>
      </w:r>
    </w:p>
    <w:p w14:paraId="26E8A690">
      <w:pPr>
        <w:keepNext w:val="0"/>
        <w:keepLines w:val="0"/>
        <w:pageBreakBefore w:val="0"/>
        <w:widowControl w:val="0"/>
        <w:kinsoku/>
        <w:wordWrap/>
        <w:overflowPunct/>
        <w:topLinePunct w:val="0"/>
        <w:autoSpaceDE/>
        <w:autoSpaceDN/>
        <w:bidi w:val="0"/>
        <w:adjustRightInd/>
        <w:snapToGrid/>
        <w:spacing w:line="572" w:lineRule="exact"/>
        <w:ind w:leftChars="0" w:firstLine="640" w:firstLineChars="200"/>
        <w:jc w:val="both"/>
        <w:textAlignment w:val="auto"/>
        <w:rPr>
          <w:rFonts w:hint="default" w:ascii="Times New Roman" w:hAnsi="Times New Roman" w:eastAsia="仿宋_GB2312" w:cs="Times New Roman"/>
          <w:color w:val="auto"/>
          <w:sz w:val="32"/>
          <w:szCs w:val="32"/>
          <w:highlight w:val="none"/>
          <w:lang w:eastAsia="zh-CN"/>
        </w:rPr>
      </w:pPr>
    </w:p>
    <w:p w14:paraId="0742CF77">
      <w:pPr>
        <w:keepNext w:val="0"/>
        <w:keepLines w:val="0"/>
        <w:pageBreakBefore w:val="0"/>
        <w:widowControl w:val="0"/>
        <w:kinsoku/>
        <w:wordWrap/>
        <w:overflowPunct/>
        <w:topLinePunct w:val="0"/>
        <w:autoSpaceDE/>
        <w:autoSpaceDN/>
        <w:bidi w:val="0"/>
        <w:adjustRightInd/>
        <w:snapToGrid/>
        <w:spacing w:line="572" w:lineRule="exact"/>
        <w:ind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highlight w:val="none"/>
          <w:lang w:eastAsia="zh-CN"/>
        </w:rPr>
        <w:t>为深入贯彻“</w:t>
      </w:r>
      <w:r>
        <w:rPr>
          <w:rFonts w:hint="eastAsia" w:ascii="仿宋_GB2312" w:hAnsi="仿宋_GB2312" w:eastAsia="仿宋_GB2312" w:cs="仿宋_GB2312"/>
          <w:color w:val="auto"/>
          <w:sz w:val="32"/>
          <w:szCs w:val="32"/>
          <w:highlight w:val="none"/>
        </w:rPr>
        <w:t>1+2+10+6</w:t>
      </w:r>
      <w:r>
        <w:rPr>
          <w:rFonts w:hint="eastAsia" w:ascii="仿宋_GB2312" w:hAnsi="仿宋_GB2312" w:eastAsia="仿宋_GB2312" w:cs="仿宋_GB2312"/>
          <w:color w:val="auto"/>
          <w:sz w:val="32"/>
          <w:szCs w:val="32"/>
          <w:highlight w:val="none"/>
          <w:lang w:eastAsia="zh-CN"/>
        </w:rPr>
        <w:t>”工作部署</w:t>
      </w:r>
      <w:r>
        <w:rPr>
          <w:rFonts w:hint="eastAsia" w:ascii="仿宋_GB2312" w:hAnsi="仿宋_GB2312" w:eastAsia="仿宋_GB2312" w:cs="仿宋_GB2312"/>
          <w:snapToGrid w:val="0"/>
          <w:kern w:val="0"/>
          <w:sz w:val="32"/>
          <w:szCs w:val="32"/>
          <w:highlight w:val="none"/>
        </w:rPr>
        <w:t>，</w:t>
      </w:r>
      <w:r>
        <w:rPr>
          <w:rFonts w:hint="eastAsia" w:ascii="仿宋_GB2312" w:hAnsi="仿宋_GB2312" w:eastAsia="仿宋_GB2312" w:cs="仿宋_GB2312"/>
          <w:snapToGrid w:val="0"/>
          <w:kern w:val="0"/>
          <w:sz w:val="32"/>
          <w:szCs w:val="32"/>
          <w:highlight w:val="none"/>
          <w:lang w:eastAsia="zh-CN"/>
        </w:rPr>
        <w:t>认真落实《全市一体推进教育科技人才发展行动方案》，</w:t>
      </w:r>
      <w:r>
        <w:rPr>
          <w:rFonts w:hint="eastAsia" w:ascii="仿宋_GB2312" w:hAnsi="仿宋_GB2312" w:eastAsia="仿宋_GB2312" w:cs="仿宋_GB2312"/>
          <w:sz w:val="32"/>
          <w:szCs w:val="32"/>
        </w:rPr>
        <w:t>大力培育科技型中小企业，</w:t>
      </w:r>
      <w:r>
        <w:rPr>
          <w:rFonts w:hint="eastAsia" w:ascii="仿宋_GB2312" w:hAnsi="仿宋_GB2312" w:eastAsia="仿宋_GB2312" w:cs="仿宋_GB2312"/>
          <w:lang w:eastAsia="zh-CN"/>
        </w:rPr>
        <w:t>加快形成科技型企业“育苗、培优、升规、上市”的</w:t>
      </w:r>
      <w:r>
        <w:rPr>
          <w:rFonts w:hint="eastAsia" w:ascii="仿宋_GB2312" w:hAnsi="仿宋_GB2312" w:eastAsia="仿宋_GB2312" w:cs="仿宋_GB2312"/>
          <w:lang w:val="en-US" w:eastAsia="zh-CN"/>
        </w:rPr>
        <w:t>创新型企业梯次培育机制</w:t>
      </w:r>
      <w:r>
        <w:rPr>
          <w:rFonts w:hint="eastAsia" w:ascii="仿宋_GB2312" w:hAnsi="仿宋_GB2312" w:eastAsia="仿宋_GB2312" w:cs="仿宋_GB2312"/>
          <w:sz w:val="32"/>
          <w:szCs w:val="32"/>
        </w:rPr>
        <w:t>，结合</w:t>
      </w:r>
      <w:r>
        <w:rPr>
          <w:rFonts w:hint="eastAsia" w:ascii="仿宋_GB2312" w:hAnsi="仿宋_GB2312" w:eastAsia="仿宋_GB2312" w:cs="仿宋_GB2312"/>
          <w:sz w:val="32"/>
          <w:szCs w:val="32"/>
          <w:lang w:val="en-US" w:eastAsia="zh-CN"/>
        </w:rPr>
        <w:t>我市</w:t>
      </w:r>
      <w:r>
        <w:rPr>
          <w:rFonts w:hint="eastAsia" w:ascii="仿宋_GB2312" w:hAnsi="仿宋_GB2312" w:eastAsia="仿宋_GB2312" w:cs="仿宋_GB2312"/>
          <w:sz w:val="32"/>
          <w:szCs w:val="32"/>
        </w:rPr>
        <w:t>实际，制定</w:t>
      </w:r>
      <w:r>
        <w:rPr>
          <w:rFonts w:hint="eastAsia" w:ascii="仿宋_GB2312" w:hAnsi="仿宋_GB2312" w:eastAsia="仿宋_GB2312" w:cs="仿宋_GB2312"/>
          <w:sz w:val="32"/>
          <w:szCs w:val="32"/>
          <w:lang w:val="en-US" w:eastAsia="zh-CN"/>
        </w:rPr>
        <w:t>本</w:t>
      </w:r>
      <w:r>
        <w:rPr>
          <w:rFonts w:hint="eastAsia" w:ascii="仿宋_GB2312" w:hAnsi="仿宋_GB2312" w:eastAsia="仿宋_GB2312" w:cs="仿宋_GB2312"/>
          <w:sz w:val="32"/>
          <w:szCs w:val="32"/>
          <w:lang w:eastAsia="zh-CN"/>
        </w:rPr>
        <w:t>计划</w:t>
      </w:r>
      <w:r>
        <w:rPr>
          <w:rFonts w:hint="eastAsia" w:ascii="仿宋_GB2312" w:hAnsi="仿宋_GB2312" w:eastAsia="仿宋_GB2312" w:cs="仿宋_GB2312"/>
          <w:sz w:val="32"/>
          <w:szCs w:val="32"/>
        </w:rPr>
        <w:t>。</w:t>
      </w:r>
    </w:p>
    <w:p w14:paraId="78A482D6">
      <w:pPr>
        <w:keepNext w:val="0"/>
        <w:keepLines w:val="0"/>
        <w:pageBreakBefore w:val="0"/>
        <w:widowControl w:val="0"/>
        <w:numPr>
          <w:ilvl w:val="0"/>
          <w:numId w:val="1"/>
        </w:numPr>
        <w:kinsoku/>
        <w:wordWrap/>
        <w:overflowPunct/>
        <w:topLinePunct w:val="0"/>
        <w:autoSpaceDE/>
        <w:autoSpaceDN/>
        <w:bidi w:val="0"/>
        <w:adjustRightInd/>
        <w:snapToGrid/>
        <w:spacing w:line="572" w:lineRule="exact"/>
        <w:ind w:leftChars="0" w:firstLine="640" w:firstLineChars="200"/>
        <w:jc w:val="both"/>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工作目标</w:t>
      </w:r>
    </w:p>
    <w:p w14:paraId="1EF164BF">
      <w:pPr>
        <w:keepNext w:val="0"/>
        <w:keepLines w:val="0"/>
        <w:pageBreakBefore w:val="0"/>
        <w:widowControl w:val="0"/>
        <w:kinsoku/>
        <w:wordWrap/>
        <w:overflowPunct/>
        <w:topLinePunct w:val="0"/>
        <w:autoSpaceDE/>
        <w:autoSpaceDN/>
        <w:bidi w:val="0"/>
        <w:adjustRightInd/>
        <w:snapToGrid/>
        <w:spacing w:line="572" w:lineRule="exact"/>
        <w:ind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以培育壮大科技型中小企业主体规模、提升科技型中小企业</w:t>
      </w:r>
      <w:r>
        <w:rPr>
          <w:rFonts w:hint="eastAsia" w:ascii="仿宋_GB2312" w:hAnsi="仿宋_GB2312" w:cs="仿宋_GB2312"/>
          <w:sz w:val="32"/>
          <w:szCs w:val="32"/>
          <w:lang w:eastAsia="zh-CN"/>
        </w:rPr>
        <w:t>创新</w:t>
      </w:r>
      <w:r>
        <w:rPr>
          <w:rFonts w:hint="eastAsia" w:ascii="仿宋_GB2312" w:hAnsi="仿宋_GB2312" w:eastAsia="仿宋_GB2312" w:cs="仿宋_GB2312"/>
          <w:sz w:val="32"/>
          <w:szCs w:val="32"/>
        </w:rPr>
        <w:t>能力为主攻方向，统筹实施科技型中小企业</w:t>
      </w:r>
      <w:r>
        <w:rPr>
          <w:rFonts w:hint="eastAsia" w:ascii="仿宋_GB2312" w:hAnsi="仿宋_GB2312" w:cs="仿宋_GB2312"/>
          <w:sz w:val="32"/>
          <w:szCs w:val="32"/>
          <w:lang w:eastAsia="zh-CN"/>
        </w:rPr>
        <w:t>引育、能力提升</w:t>
      </w:r>
      <w:r>
        <w:rPr>
          <w:rFonts w:hint="eastAsia" w:ascii="仿宋_GB2312" w:hAnsi="仿宋_GB2312" w:eastAsia="仿宋_GB2312" w:cs="仿宋_GB2312"/>
          <w:sz w:val="32"/>
          <w:szCs w:val="32"/>
        </w:rPr>
        <w:t>、</w:t>
      </w:r>
      <w:r>
        <w:rPr>
          <w:rFonts w:hint="eastAsia" w:ascii="仿宋_GB2312" w:hAnsi="仿宋_GB2312" w:cs="仿宋_GB2312"/>
          <w:sz w:val="32"/>
          <w:szCs w:val="32"/>
          <w:lang w:eastAsia="zh-CN"/>
        </w:rPr>
        <w:t>要素支撑重点工作</w:t>
      </w:r>
      <w:r>
        <w:rPr>
          <w:rFonts w:hint="eastAsia" w:ascii="仿宋_GB2312" w:hAnsi="仿宋_GB2312" w:eastAsia="仿宋_GB2312" w:cs="仿宋_GB2312"/>
          <w:sz w:val="32"/>
          <w:szCs w:val="32"/>
        </w:rPr>
        <w:t>，充分激发科技型中小企业创新创业创造活力，营造全社会支持科技型中小企业</w:t>
      </w:r>
      <w:r>
        <w:rPr>
          <w:rFonts w:hint="eastAsia" w:ascii="仿宋_GB2312" w:hAnsi="仿宋_GB2312" w:eastAsia="仿宋_GB2312" w:cs="仿宋_GB2312"/>
          <w:sz w:val="32"/>
          <w:szCs w:val="32"/>
          <w:lang w:val="en-US" w:eastAsia="zh-CN"/>
        </w:rPr>
        <w:t>发展</w:t>
      </w:r>
      <w:r>
        <w:rPr>
          <w:rFonts w:hint="eastAsia" w:ascii="仿宋_GB2312" w:hAnsi="仿宋_GB2312" w:eastAsia="仿宋_GB2312" w:cs="仿宋_GB2312"/>
          <w:sz w:val="32"/>
          <w:szCs w:val="32"/>
        </w:rPr>
        <w:t>的环境氛围，</w:t>
      </w:r>
      <w:r>
        <w:rPr>
          <w:rFonts w:hint="eastAsia" w:ascii="仿宋_GB2312" w:hAnsi="仿宋_GB2312" w:eastAsia="仿宋_GB2312" w:cs="仿宋_GB2312"/>
          <w:sz w:val="32"/>
          <w:szCs w:val="32"/>
          <w:lang w:eastAsia="zh-CN"/>
        </w:rPr>
        <w:t>到</w:t>
      </w:r>
      <w:r>
        <w:rPr>
          <w:rFonts w:hint="eastAsia" w:ascii="仿宋_GB2312" w:hAnsi="仿宋_GB2312" w:eastAsia="仿宋_GB2312" w:cs="仿宋_GB2312"/>
          <w:sz w:val="32"/>
          <w:szCs w:val="32"/>
          <w:lang w:val="en-US" w:eastAsia="zh-CN"/>
        </w:rPr>
        <w:t>2028年，</w:t>
      </w:r>
      <w:r>
        <w:rPr>
          <w:rFonts w:hint="eastAsia" w:ascii="仿宋_GB2312" w:hAnsi="仿宋_GB2312" w:eastAsia="仿宋_GB2312" w:cs="仿宋_GB2312"/>
          <w:sz w:val="32"/>
          <w:szCs w:val="32"/>
        </w:rPr>
        <w:t>全</w:t>
      </w:r>
      <w:r>
        <w:rPr>
          <w:rFonts w:hint="eastAsia" w:ascii="仿宋_GB2312" w:hAnsi="仿宋_GB2312" w:eastAsia="仿宋_GB2312" w:cs="仿宋_GB2312"/>
          <w:sz w:val="32"/>
          <w:szCs w:val="32"/>
          <w:lang w:val="en-US" w:eastAsia="zh-CN"/>
        </w:rPr>
        <w:t>市</w:t>
      </w:r>
      <w:r>
        <w:rPr>
          <w:rFonts w:hint="eastAsia" w:ascii="仿宋_GB2312" w:hAnsi="仿宋_GB2312" w:eastAsia="仿宋_GB2312" w:cs="仿宋_GB2312"/>
          <w:sz w:val="32"/>
          <w:szCs w:val="32"/>
        </w:rPr>
        <w:t>科技型中小企业数量</w:t>
      </w:r>
      <w:r>
        <w:rPr>
          <w:rFonts w:hint="eastAsia" w:ascii="仿宋_GB2312" w:hAnsi="仿宋_GB2312" w:eastAsia="仿宋_GB2312" w:cs="仿宋_GB2312"/>
          <w:sz w:val="32"/>
          <w:szCs w:val="32"/>
          <w:lang w:eastAsia="zh-CN"/>
        </w:rPr>
        <w:t>稳步保持在</w:t>
      </w:r>
      <w:r>
        <w:rPr>
          <w:rFonts w:hint="eastAsia" w:ascii="仿宋_GB2312" w:hAnsi="仿宋_GB2312" w:eastAsia="仿宋_GB2312" w:cs="仿宋_GB2312"/>
          <w:sz w:val="32"/>
          <w:szCs w:val="32"/>
          <w:lang w:val="en-US" w:eastAsia="zh-CN"/>
        </w:rPr>
        <w:t>3000</w:t>
      </w:r>
      <w:r>
        <w:rPr>
          <w:rFonts w:hint="eastAsia" w:ascii="仿宋_GB2312" w:hAnsi="仿宋_GB2312" w:eastAsia="仿宋_GB2312" w:cs="仿宋_GB2312"/>
          <w:sz w:val="32"/>
          <w:szCs w:val="32"/>
        </w:rPr>
        <w:t>家</w:t>
      </w:r>
      <w:r>
        <w:rPr>
          <w:rFonts w:hint="eastAsia" w:ascii="仿宋_GB2312" w:hAnsi="仿宋_GB2312" w:eastAsia="仿宋_GB2312" w:cs="仿宋_GB2312"/>
          <w:sz w:val="32"/>
          <w:szCs w:val="32"/>
          <w:lang w:eastAsia="zh-CN"/>
        </w:rPr>
        <w:t>以上</w:t>
      </w:r>
      <w:r>
        <w:rPr>
          <w:rFonts w:hint="eastAsia" w:ascii="仿宋_GB2312" w:hAnsi="仿宋_GB2312" w:eastAsia="仿宋_GB2312" w:cs="仿宋_GB2312"/>
          <w:sz w:val="32"/>
          <w:szCs w:val="32"/>
          <w:lang w:val="en-US" w:eastAsia="zh-CN"/>
        </w:rPr>
        <w:t>。</w:t>
      </w:r>
    </w:p>
    <w:p w14:paraId="249463EF">
      <w:pPr>
        <w:keepNext w:val="0"/>
        <w:keepLines w:val="0"/>
        <w:pageBreakBefore w:val="0"/>
        <w:widowControl w:val="0"/>
        <w:numPr>
          <w:ilvl w:val="0"/>
          <w:numId w:val="1"/>
        </w:numPr>
        <w:kinsoku/>
        <w:wordWrap/>
        <w:overflowPunct/>
        <w:topLinePunct w:val="0"/>
        <w:autoSpaceDE/>
        <w:autoSpaceDN/>
        <w:bidi w:val="0"/>
        <w:adjustRightInd/>
        <w:snapToGrid/>
        <w:spacing w:line="572" w:lineRule="exact"/>
        <w:ind w:leftChars="0" w:firstLine="640" w:firstLineChars="200"/>
        <w:jc w:val="both"/>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工作任务</w:t>
      </w:r>
    </w:p>
    <w:p w14:paraId="0801B491">
      <w:pPr>
        <w:pStyle w:val="2"/>
        <w:pageBreakBefore w:val="0"/>
        <w:widowControl w:val="0"/>
        <w:kinsoku/>
        <w:wordWrap/>
        <w:overflowPunct/>
        <w:autoSpaceDE/>
        <w:autoSpaceDN/>
        <w:bidi w:val="0"/>
        <w:snapToGrid/>
        <w:spacing w:beforeLines="0" w:afterLines="0" w:line="572" w:lineRule="exact"/>
        <w:ind w:leftChars="0" w:firstLine="643" w:firstLineChars="200"/>
        <w:textAlignment w:val="auto"/>
        <w:rPr>
          <w:rFonts w:hint="default" w:ascii="Times New Roman" w:hAnsi="Times New Roman" w:eastAsia="楷体_GB2312" w:cs="Times New Roman"/>
          <w:b/>
          <w:bCs/>
          <w:lang w:eastAsia="zh-CN"/>
        </w:rPr>
      </w:pPr>
      <w:r>
        <w:rPr>
          <w:rFonts w:hint="default" w:ascii="Times New Roman" w:hAnsi="Times New Roman" w:eastAsia="楷体_GB2312" w:cs="Times New Roman"/>
          <w:b/>
          <w:bCs/>
          <w:lang w:eastAsia="zh-CN"/>
        </w:rPr>
        <w:t>（</w:t>
      </w:r>
      <w:r>
        <w:rPr>
          <w:rFonts w:hint="default" w:ascii="Times New Roman" w:hAnsi="Times New Roman" w:eastAsia="楷体_GB2312" w:cs="Times New Roman"/>
          <w:b/>
          <w:bCs/>
          <w:lang w:val="en-US" w:eastAsia="zh-CN"/>
        </w:rPr>
        <w:t>一</w:t>
      </w:r>
      <w:r>
        <w:rPr>
          <w:rFonts w:hint="default" w:ascii="Times New Roman" w:hAnsi="Times New Roman" w:eastAsia="楷体_GB2312" w:cs="Times New Roman"/>
          <w:b/>
          <w:bCs/>
          <w:lang w:eastAsia="zh-CN"/>
        </w:rPr>
        <w:t>）</w:t>
      </w:r>
      <w:r>
        <w:rPr>
          <w:rFonts w:hint="eastAsia" w:eastAsia="楷体_GB2312" w:cs="Times New Roman"/>
          <w:b/>
          <w:bCs/>
          <w:lang w:eastAsia="zh-CN"/>
        </w:rPr>
        <w:t>拓</w:t>
      </w:r>
      <w:r>
        <w:rPr>
          <w:rFonts w:hint="default" w:ascii="Times New Roman" w:hAnsi="Times New Roman" w:eastAsia="楷体_GB2312" w:cs="Times New Roman"/>
          <w:b/>
          <w:bCs/>
        </w:rPr>
        <w:t>宽科技型中小企业</w:t>
      </w:r>
      <w:r>
        <w:rPr>
          <w:rFonts w:hint="default" w:ascii="Times New Roman" w:hAnsi="Times New Roman" w:eastAsia="楷体_GB2312" w:cs="Times New Roman"/>
          <w:b/>
          <w:bCs/>
          <w:lang w:eastAsia="zh-CN"/>
        </w:rPr>
        <w:t>引育通道</w:t>
      </w:r>
    </w:p>
    <w:p w14:paraId="6A7DDD0B">
      <w:pPr>
        <w:pageBreakBefore w:val="0"/>
        <w:widowControl w:val="0"/>
        <w:kinsoku/>
        <w:wordWrap/>
        <w:overflowPunct/>
        <w:autoSpaceDE/>
        <w:autoSpaceDN/>
        <w:bidi w:val="0"/>
        <w:snapToGrid/>
        <w:spacing w:line="572" w:lineRule="exact"/>
        <w:ind w:leftChars="0" w:firstLine="643" w:firstLineChars="200"/>
        <w:textAlignment w:val="auto"/>
        <w:rPr>
          <w:rFonts w:hint="eastAsia" w:ascii="仿宋_GB2312" w:hAnsi="仿宋_GB2312" w:eastAsia="仿宋_GB2312" w:cs="仿宋_GB2312"/>
        </w:rPr>
      </w:pPr>
      <w:r>
        <w:rPr>
          <w:rFonts w:hint="eastAsia" w:ascii="仿宋_GB2312" w:hAnsi="仿宋_GB2312" w:eastAsia="仿宋_GB2312" w:cs="仿宋_GB2312"/>
          <w:b/>
          <w:bCs/>
          <w:lang w:val="en-US" w:eastAsia="zh-CN"/>
        </w:rPr>
        <w:t>1.</w:t>
      </w:r>
      <w:r>
        <w:rPr>
          <w:rFonts w:hint="eastAsia" w:ascii="仿宋_GB2312" w:hAnsi="仿宋_GB2312" w:eastAsia="仿宋_GB2312" w:cs="仿宋_GB2312"/>
          <w:b/>
          <w:bCs/>
        </w:rPr>
        <w:t>开展产业链招商。</w:t>
      </w:r>
      <w:r>
        <w:rPr>
          <w:rFonts w:hint="eastAsia" w:ascii="仿宋_GB2312" w:hAnsi="仿宋_GB2312" w:eastAsia="仿宋_GB2312" w:cs="仿宋_GB2312"/>
          <w:lang w:eastAsia="zh-CN"/>
        </w:rPr>
        <w:t>聚焦</w:t>
      </w:r>
      <w:r>
        <w:rPr>
          <w:rFonts w:hint="eastAsia" w:ascii="仿宋_GB2312" w:hAnsi="仿宋_GB2312" w:eastAsia="仿宋_GB2312" w:cs="仿宋_GB2312"/>
        </w:rPr>
        <w:t>我市</w:t>
      </w:r>
      <w:r>
        <w:rPr>
          <w:rFonts w:hint="eastAsia" w:ascii="仿宋_GB2312" w:hAnsi="仿宋_GB2312" w:cs="仿宋_GB2312"/>
          <w:lang w:val="en-US" w:eastAsia="zh-CN"/>
        </w:rPr>
        <w:t>12</w:t>
      </w:r>
      <w:r>
        <w:rPr>
          <w:rFonts w:hint="eastAsia" w:ascii="仿宋_GB2312" w:hAnsi="仿宋_GB2312" w:eastAsia="仿宋_GB2312" w:cs="仿宋_GB2312"/>
        </w:rPr>
        <w:t>条重点制造业产业链，绘制招商图谱，锁定目标企业。以京津冀、长三角、珠三角为重点区域，统筹推进产业链精准招商，持续吸引国内外知名企业、高成长性初创企业来洛设立研发中心或生产基地。</w:t>
      </w:r>
    </w:p>
    <w:p w14:paraId="1E4B26B9">
      <w:pPr>
        <w:pageBreakBefore w:val="0"/>
        <w:widowControl w:val="0"/>
        <w:kinsoku/>
        <w:wordWrap/>
        <w:overflowPunct/>
        <w:autoSpaceDE/>
        <w:autoSpaceDN/>
        <w:bidi w:val="0"/>
        <w:snapToGrid/>
        <w:spacing w:line="572" w:lineRule="exact"/>
        <w:ind w:leftChars="0" w:firstLine="643" w:firstLineChars="200"/>
        <w:textAlignment w:val="auto"/>
        <w:rPr>
          <w:rFonts w:hint="eastAsia" w:ascii="仿宋_GB2312" w:hAnsi="仿宋_GB2312" w:eastAsia="仿宋_GB2312" w:cs="仿宋_GB2312"/>
          <w:color w:val="auto"/>
        </w:rPr>
      </w:pPr>
      <w:r>
        <w:rPr>
          <w:rFonts w:hint="eastAsia" w:ascii="仿宋_GB2312" w:hAnsi="仿宋_GB2312" w:eastAsia="仿宋_GB2312" w:cs="仿宋_GB2312"/>
          <w:b/>
          <w:bCs/>
          <w:lang w:val="en-US" w:eastAsia="zh-CN"/>
        </w:rPr>
        <w:t>2.用好</w:t>
      </w:r>
      <w:r>
        <w:rPr>
          <w:rFonts w:hint="eastAsia" w:ascii="仿宋_GB2312" w:hAnsi="仿宋_GB2312" w:eastAsia="仿宋_GB2312" w:cs="仿宋_GB2312"/>
          <w:b/>
          <w:bCs/>
        </w:rPr>
        <w:t>“科创飞地”。</w:t>
      </w:r>
      <w:r>
        <w:rPr>
          <w:rFonts w:hint="eastAsia" w:ascii="仿宋_GB2312" w:hAnsi="仿宋_GB2312" w:eastAsia="仿宋_GB2312" w:cs="仿宋_GB2312"/>
          <w:color w:val="auto"/>
        </w:rPr>
        <w:t>充分发挥</w:t>
      </w:r>
      <w:r>
        <w:rPr>
          <w:rFonts w:hint="eastAsia" w:ascii="仿宋_GB2312" w:hAnsi="仿宋_GB2312" w:eastAsia="仿宋_GB2312" w:cs="仿宋_GB2312"/>
          <w:sz w:val="32"/>
          <w:szCs w:val="32"/>
          <w:lang w:eastAsia="zh-CN"/>
        </w:rPr>
        <w:t>洛阳智慧岛（深圳）科技创新中心作用，探索实施“孵化在深圳、产业在洛阳，研发在深圳、转化在洛阳”建设模式</w:t>
      </w:r>
      <w:r>
        <w:rPr>
          <w:rFonts w:hint="eastAsia" w:ascii="仿宋_GB2312" w:hAnsi="仿宋_GB2312" w:cs="仿宋_GB2312"/>
          <w:sz w:val="32"/>
          <w:szCs w:val="32"/>
          <w:lang w:eastAsia="zh-CN"/>
        </w:rPr>
        <w:t>，</w:t>
      </w:r>
      <w:r>
        <w:rPr>
          <w:rFonts w:hint="eastAsia" w:ascii="仿宋_GB2312" w:hAnsi="仿宋_GB2312" w:eastAsia="仿宋_GB2312" w:cs="仿宋_GB2312"/>
          <w:color w:val="auto"/>
        </w:rPr>
        <w:t>精准对接高端人才、前沿技术与创投资本，靶向招引一批高技术含量的科技企业和高成长性项目入驻飞地，并依托洛阳本地产业基础与生产要素配套优势，实现“带土移植”。</w:t>
      </w:r>
      <w:r>
        <w:rPr>
          <w:rFonts w:hint="eastAsia" w:ascii="仿宋_GB2312" w:hAnsi="仿宋_GB2312" w:eastAsia="仿宋_GB2312" w:cs="仿宋_GB2312"/>
          <w:sz w:val="32"/>
          <w:szCs w:val="32"/>
          <w:lang w:eastAsia="zh-CN"/>
        </w:rPr>
        <w:t>深度融入环省科学院创新生态圈，高水平建设中原美谷、中原药谷等成果转化基地</w:t>
      </w:r>
      <w:r>
        <w:rPr>
          <w:rFonts w:hint="eastAsia" w:ascii="仿宋_GB2312" w:hAnsi="仿宋_GB2312" w:cs="仿宋_GB2312"/>
          <w:sz w:val="32"/>
          <w:szCs w:val="32"/>
          <w:lang w:eastAsia="zh-CN"/>
        </w:rPr>
        <w:t>，吸引一批优质项目和人才团队入园</w:t>
      </w:r>
      <w:r>
        <w:rPr>
          <w:rFonts w:hint="eastAsia" w:ascii="仿宋_GB2312" w:hAnsi="仿宋_GB2312" w:eastAsia="仿宋_GB2312" w:cs="仿宋_GB2312"/>
          <w:sz w:val="32"/>
          <w:szCs w:val="32"/>
          <w:lang w:eastAsia="zh-CN"/>
        </w:rPr>
        <w:t>。</w:t>
      </w:r>
    </w:p>
    <w:p w14:paraId="106665B4">
      <w:pPr>
        <w:keepNext w:val="0"/>
        <w:keepLines w:val="0"/>
        <w:pageBreakBefore w:val="0"/>
        <w:widowControl w:val="0"/>
        <w:numPr>
          <w:ilvl w:val="0"/>
          <w:numId w:val="0"/>
        </w:numPr>
        <w:kinsoku/>
        <w:wordWrap/>
        <w:overflowPunct/>
        <w:topLinePunct w:val="0"/>
        <w:autoSpaceDE/>
        <w:autoSpaceDN/>
        <w:bidi w:val="0"/>
        <w:adjustRightInd/>
        <w:snapToGrid/>
        <w:spacing w:line="572" w:lineRule="exact"/>
        <w:ind w:leftChars="0" w:firstLine="643" w:firstLineChars="200"/>
        <w:textAlignment w:val="auto"/>
        <w:rPr>
          <w:rFonts w:hint="eastAsia" w:ascii="仿宋_GB2312" w:hAnsi="仿宋_GB2312" w:eastAsia="仿宋_GB2312" w:cs="仿宋_GB2312"/>
          <w:color w:val="000000" w:themeColor="text1"/>
          <w:kern w:val="2"/>
          <w:sz w:val="32"/>
          <w:szCs w:val="24"/>
          <w:lang w:val="en-US" w:eastAsia="zh-CN" w:bidi="ar-SA"/>
          <w14:textFill>
            <w14:solidFill>
              <w14:schemeClr w14:val="tx1"/>
            </w14:solidFill>
          </w14:textFill>
        </w:rPr>
      </w:pPr>
      <w:r>
        <w:rPr>
          <w:rFonts w:hint="eastAsia" w:ascii="仿宋_GB2312" w:hAnsi="仿宋_GB2312" w:eastAsia="仿宋_GB2312" w:cs="仿宋_GB2312"/>
          <w:b/>
          <w:bCs/>
          <w:color w:val="000000" w:themeColor="text1"/>
          <w:lang w:val="en-US" w:eastAsia="zh-CN"/>
          <w14:textFill>
            <w14:solidFill>
              <w14:schemeClr w14:val="tx1"/>
            </w14:solidFill>
          </w14:textFill>
        </w:rPr>
        <w:t>3.推动优质项目落地。</w:t>
      </w:r>
      <w:r>
        <w:rPr>
          <w:rFonts w:hint="eastAsia" w:ascii="仿宋_GB2312" w:hAnsi="仿宋_GB2312" w:cs="仿宋_GB2312"/>
          <w:b w:val="0"/>
          <w:bCs w:val="0"/>
          <w:color w:val="000000" w:themeColor="text1"/>
          <w:lang w:val="en-US" w:eastAsia="zh-CN"/>
          <w14:textFill>
            <w14:solidFill>
              <w14:schemeClr w14:val="tx1"/>
            </w14:solidFill>
          </w14:textFill>
        </w:rPr>
        <w:t>各县区</w:t>
      </w:r>
      <w:r>
        <w:rPr>
          <w:rFonts w:hint="eastAsia" w:ascii="仿宋_GB2312" w:hAnsi="仿宋_GB2312" w:eastAsia="仿宋_GB2312" w:cs="仿宋_GB2312"/>
          <w:color w:val="000000" w:themeColor="text1"/>
          <w14:textFill>
            <w14:solidFill>
              <w14:schemeClr w14:val="tx1"/>
            </w14:solidFill>
          </w14:textFill>
        </w:rPr>
        <w:t>建立科技招商项目评价体系，从核心技术、知识产权、创新团队、成长潜力、产业带动性等</w:t>
      </w:r>
      <w:r>
        <w:rPr>
          <w:rFonts w:hint="eastAsia" w:ascii="仿宋_GB2312" w:hAnsi="仿宋_GB2312" w:eastAsia="仿宋_GB2312" w:cs="仿宋_GB2312"/>
          <w:color w:val="000000" w:themeColor="text1"/>
          <w:lang w:eastAsia="zh-CN"/>
          <w14:textFill>
            <w14:solidFill>
              <w14:schemeClr w14:val="tx1"/>
            </w14:solidFill>
          </w14:textFill>
        </w:rPr>
        <w:t>方面综合评价</w:t>
      </w:r>
      <w:r>
        <w:rPr>
          <w:rFonts w:hint="eastAsia" w:ascii="仿宋_GB2312" w:hAnsi="仿宋_GB2312" w:eastAsia="仿宋_GB2312" w:cs="仿宋_GB2312"/>
          <w:color w:val="000000" w:themeColor="text1"/>
          <w14:textFill>
            <w14:solidFill>
              <w14:schemeClr w14:val="tx1"/>
            </w14:solidFill>
          </w14:textFill>
        </w:rPr>
        <w:t>，确保引进项目质量</w:t>
      </w:r>
      <w:r>
        <w:rPr>
          <w:rFonts w:hint="eastAsia" w:ascii="仿宋_GB2312" w:hAnsi="仿宋_GB2312" w:cs="仿宋_GB2312"/>
          <w:color w:val="000000" w:themeColor="text1"/>
          <w:lang w:eastAsia="zh-CN"/>
          <w14:textFill>
            <w14:solidFill>
              <w14:schemeClr w14:val="tx1"/>
            </w14:solidFill>
          </w14:textFill>
        </w:rPr>
        <w:t>。完善</w:t>
      </w:r>
      <w:r>
        <w:rPr>
          <w:rFonts w:hint="eastAsia" w:ascii="仿宋_GB2312" w:hAnsi="仿宋_GB2312" w:eastAsia="仿宋_GB2312" w:cs="仿宋_GB2312"/>
          <w:color w:val="000000" w:themeColor="text1"/>
          <w:kern w:val="2"/>
          <w:sz w:val="32"/>
          <w:szCs w:val="24"/>
          <w:lang w:val="en-US" w:eastAsia="zh-CN" w:bidi="ar-SA"/>
          <w14:textFill>
            <w14:solidFill>
              <w14:schemeClr w14:val="tx1"/>
            </w14:solidFill>
          </w14:textFill>
        </w:rPr>
        <w:t>从要素配置到基金跟投的“一站式”闭环服务，确保招引项目</w:t>
      </w:r>
      <w:r>
        <w:rPr>
          <w:rFonts w:hint="eastAsia" w:ascii="仿宋_GB2312" w:hAnsi="仿宋_GB2312" w:cs="仿宋_GB2312"/>
          <w:color w:val="000000" w:themeColor="text1"/>
          <w:kern w:val="2"/>
          <w:sz w:val="32"/>
          <w:szCs w:val="24"/>
          <w:lang w:val="en-US" w:eastAsia="zh-CN" w:bidi="ar-SA"/>
          <w14:textFill>
            <w14:solidFill>
              <w14:schemeClr w14:val="tx1"/>
            </w14:solidFill>
          </w14:textFill>
        </w:rPr>
        <w:t>不仅</w:t>
      </w:r>
      <w:r>
        <w:rPr>
          <w:rFonts w:hint="eastAsia" w:ascii="仿宋_GB2312" w:hAnsi="仿宋_GB2312" w:eastAsia="仿宋_GB2312" w:cs="仿宋_GB2312"/>
          <w:color w:val="000000" w:themeColor="text1"/>
          <w:kern w:val="2"/>
          <w:sz w:val="32"/>
          <w:szCs w:val="24"/>
          <w:lang w:val="en-US" w:eastAsia="zh-CN" w:bidi="ar-SA"/>
          <w14:textFill>
            <w14:solidFill>
              <w14:schemeClr w14:val="tx1"/>
            </w14:solidFill>
          </w14:textFill>
        </w:rPr>
        <w:t>“引得进”</w:t>
      </w:r>
      <w:r>
        <w:rPr>
          <w:rFonts w:hint="eastAsia" w:ascii="仿宋_GB2312" w:hAnsi="仿宋_GB2312" w:cs="仿宋_GB2312"/>
          <w:color w:val="000000" w:themeColor="text1"/>
          <w:kern w:val="2"/>
          <w:sz w:val="32"/>
          <w:szCs w:val="24"/>
          <w:lang w:val="en-US" w:eastAsia="zh-CN" w:bidi="ar-SA"/>
          <w14:textFill>
            <w14:solidFill>
              <w14:schemeClr w14:val="tx1"/>
            </w14:solidFill>
          </w14:textFill>
        </w:rPr>
        <w:t>，更能</w:t>
      </w:r>
      <w:r>
        <w:rPr>
          <w:rFonts w:hint="eastAsia" w:ascii="仿宋_GB2312" w:hAnsi="仿宋_GB2312" w:eastAsia="仿宋_GB2312" w:cs="仿宋_GB2312"/>
          <w:color w:val="000000" w:themeColor="text1"/>
          <w:kern w:val="2"/>
          <w:sz w:val="32"/>
          <w:szCs w:val="24"/>
          <w:lang w:val="en-US" w:eastAsia="zh-CN" w:bidi="ar-SA"/>
          <w14:textFill>
            <w14:solidFill>
              <w14:schemeClr w14:val="tx1"/>
            </w14:solidFill>
          </w14:textFill>
        </w:rPr>
        <w:t>“留得住、长得好”。</w:t>
      </w:r>
    </w:p>
    <w:p w14:paraId="7DEE7529">
      <w:pPr>
        <w:pStyle w:val="2"/>
        <w:pageBreakBefore w:val="0"/>
        <w:widowControl w:val="0"/>
        <w:kinsoku/>
        <w:wordWrap/>
        <w:overflowPunct/>
        <w:autoSpaceDE/>
        <w:autoSpaceDN/>
        <w:bidi w:val="0"/>
        <w:snapToGrid/>
        <w:spacing w:beforeLines="0" w:afterLines="0" w:line="572" w:lineRule="exact"/>
        <w:ind w:leftChars="0" w:firstLine="643" w:firstLineChars="200"/>
        <w:textAlignment w:val="auto"/>
        <w:rPr>
          <w:rFonts w:hint="default" w:ascii="Times New Roman" w:hAnsi="Times New Roman" w:eastAsia="楷体_GB2312" w:cs="Times New Roman"/>
          <w:b/>
          <w:bCs/>
        </w:rPr>
      </w:pPr>
      <w:r>
        <w:rPr>
          <w:rFonts w:hint="default" w:ascii="Times New Roman" w:hAnsi="Times New Roman" w:eastAsia="楷体_GB2312" w:cs="Times New Roman"/>
          <w:b/>
          <w:bCs/>
          <w:lang w:eastAsia="zh-CN"/>
        </w:rPr>
        <w:t>（二）</w:t>
      </w:r>
      <w:r>
        <w:rPr>
          <w:rFonts w:hint="default" w:ascii="Times New Roman" w:hAnsi="Times New Roman" w:eastAsia="楷体_GB2312" w:cs="Times New Roman"/>
          <w:b/>
          <w:bCs/>
        </w:rPr>
        <w:t>加强科技型中小企业主体培育</w:t>
      </w:r>
    </w:p>
    <w:p w14:paraId="55831EC8">
      <w:pPr>
        <w:pageBreakBefore w:val="0"/>
        <w:widowControl w:val="0"/>
        <w:kinsoku/>
        <w:wordWrap/>
        <w:overflowPunct/>
        <w:autoSpaceDE/>
        <w:autoSpaceDN/>
        <w:bidi w:val="0"/>
        <w:snapToGrid/>
        <w:spacing w:line="572" w:lineRule="exact"/>
        <w:ind w:leftChars="0" w:firstLine="643" w:firstLineChars="200"/>
        <w:textAlignment w:val="auto"/>
        <w:rPr>
          <w:rFonts w:hint="default" w:ascii="Times New Roman" w:hAnsi="Times New Roman" w:eastAsia="楷体" w:cs="Times New Roman"/>
        </w:rPr>
      </w:pPr>
      <w:r>
        <w:rPr>
          <w:rFonts w:hint="eastAsia" w:ascii="仿宋_GB2312" w:hAnsi="仿宋_GB2312" w:eastAsia="仿宋_GB2312" w:cs="仿宋_GB2312"/>
          <w:b/>
          <w:bCs/>
          <w:lang w:val="en-US" w:eastAsia="zh-CN"/>
        </w:rPr>
        <w:t>4.完善孵化育成体系。</w:t>
      </w:r>
      <w:r>
        <w:rPr>
          <w:rFonts w:hint="eastAsia" w:ascii="仿宋_GB2312" w:hAnsi="仿宋_GB2312" w:eastAsia="仿宋_GB2312" w:cs="仿宋_GB2312"/>
          <w:b w:val="0"/>
          <w:bCs w:val="0"/>
          <w:lang w:val="en-US" w:eastAsia="zh-CN"/>
        </w:rPr>
        <w:t>加强科技型企业孵化器建设</w:t>
      </w:r>
      <w:r>
        <w:rPr>
          <w:rFonts w:hint="eastAsia" w:ascii="仿宋_GB2312" w:hAnsi="仿宋_GB2312" w:cs="仿宋_GB2312"/>
          <w:b w:val="0"/>
          <w:bCs w:val="0"/>
          <w:lang w:val="en-US" w:eastAsia="zh-CN"/>
        </w:rPr>
        <w:t>，推动产业园区高质量发展，推进“智慧岛”高标准建设，加强孵化链条各环节的对接，构建“成果转化+创新创业+孵化器+加速器+科研平台+产业园区”的科技型企业全生命周期孵化培育链条。打造园区专业运营团队，提升载体科技创新水平，加强运营成效评价考核，提升孵化载体运营能力，催生更多小微企业。</w:t>
      </w:r>
    </w:p>
    <w:p w14:paraId="60E0BDFA">
      <w:pPr>
        <w:keepNext w:val="0"/>
        <w:keepLines w:val="0"/>
        <w:pageBreakBefore w:val="0"/>
        <w:widowControl w:val="0"/>
        <w:numPr>
          <w:ilvl w:val="0"/>
          <w:numId w:val="0"/>
        </w:numPr>
        <w:kinsoku/>
        <w:wordWrap/>
        <w:overflowPunct/>
        <w:topLinePunct w:val="0"/>
        <w:autoSpaceDE/>
        <w:autoSpaceDN/>
        <w:bidi w:val="0"/>
        <w:adjustRightInd/>
        <w:snapToGrid/>
        <w:spacing w:line="572" w:lineRule="exact"/>
        <w:ind w:leftChars="0" w:firstLine="643" w:firstLineChars="200"/>
        <w:textAlignment w:val="auto"/>
        <w:rPr>
          <w:rFonts w:hint="eastAsia" w:ascii="仿宋_GB2312" w:hAnsi="仿宋_GB2312" w:eastAsia="仿宋_GB2312" w:cs="仿宋_GB2312"/>
          <w:color w:val="auto"/>
        </w:rPr>
      </w:pPr>
      <w:r>
        <w:rPr>
          <w:rFonts w:hint="eastAsia" w:ascii="仿宋_GB2312" w:hAnsi="仿宋_GB2312" w:cs="仿宋_GB2312"/>
          <w:b/>
          <w:bCs/>
          <w:lang w:val="en-US" w:eastAsia="zh-CN"/>
        </w:rPr>
        <w:t>5</w:t>
      </w:r>
      <w:r>
        <w:rPr>
          <w:rFonts w:hint="eastAsia" w:ascii="仿宋_GB2312" w:hAnsi="仿宋_GB2312" w:eastAsia="仿宋_GB2312" w:cs="仿宋_GB2312"/>
          <w:b/>
          <w:bCs/>
          <w:lang w:val="en-US" w:eastAsia="zh-CN"/>
        </w:rPr>
        <w:t>.</w:t>
      </w:r>
      <w:r>
        <w:rPr>
          <w:rFonts w:hint="eastAsia" w:ascii="仿宋_GB2312" w:hAnsi="仿宋_GB2312" w:eastAsia="仿宋_GB2312" w:cs="仿宋_GB2312"/>
          <w:b/>
          <w:bCs/>
        </w:rPr>
        <w:t>加强“赛孵联动”引育。</w:t>
      </w:r>
      <w:r>
        <w:rPr>
          <w:rFonts w:hint="eastAsia" w:ascii="仿宋_GB2312" w:hAnsi="仿宋_GB2312" w:eastAsia="仿宋_GB2312" w:cs="仿宋_GB2312"/>
          <w:color w:val="auto"/>
        </w:rPr>
        <w:t>依托“创业之星”大赛等品牌赛事，吸引海内外优秀创业项目和团队参赛。强化赛事与本地孵化器、加速器、智慧岛联动，对通过赛事脱颖而出的落地项目，提供“一对一”创业导师辅导、知识产权服务、投融资对接等精准孵化服务，联合产业园区、孵化载体，为落地项目提供租金减免、政策申报绿色通道等支持，助力其加速成长</w:t>
      </w:r>
      <w:r>
        <w:rPr>
          <w:rFonts w:hint="eastAsia" w:ascii="仿宋_GB2312" w:hAnsi="仿宋_GB2312" w:eastAsia="仿宋_GB2312" w:cs="仿宋_GB2312"/>
          <w:color w:val="auto"/>
          <w:lang w:eastAsia="zh-CN"/>
        </w:rPr>
        <w:t>。</w:t>
      </w:r>
    </w:p>
    <w:p w14:paraId="648E8D1E">
      <w:pPr>
        <w:keepNext w:val="0"/>
        <w:keepLines w:val="0"/>
        <w:pageBreakBefore w:val="0"/>
        <w:widowControl w:val="0"/>
        <w:kinsoku/>
        <w:wordWrap/>
        <w:overflowPunct/>
        <w:topLinePunct/>
        <w:autoSpaceDE/>
        <w:autoSpaceDN/>
        <w:bidi w:val="0"/>
        <w:adjustRightInd w:val="0"/>
        <w:snapToGrid/>
        <w:spacing w:line="572" w:lineRule="exact"/>
        <w:ind w:left="0" w:leftChars="0" w:right="0" w:rightChars="0" w:firstLine="643" w:firstLineChars="200"/>
        <w:textAlignment w:val="auto"/>
        <w:outlineLvl w:val="9"/>
        <w:rPr>
          <w:rFonts w:hint="eastAsia" w:ascii="仿宋_GB2312" w:hAnsi="仿宋_GB2312" w:eastAsia="仿宋_GB2312" w:cs="仿宋_GB2312"/>
          <w:lang w:eastAsia="zh-CN"/>
        </w:rPr>
      </w:pPr>
      <w:r>
        <w:rPr>
          <w:rFonts w:hint="eastAsia" w:ascii="仿宋_GB2312" w:hAnsi="仿宋_GB2312" w:cs="仿宋_GB2312"/>
          <w:b/>
          <w:bCs/>
          <w:lang w:val="en-US" w:eastAsia="zh-CN"/>
        </w:rPr>
        <w:t>6</w:t>
      </w:r>
      <w:r>
        <w:rPr>
          <w:rFonts w:hint="eastAsia" w:ascii="仿宋_GB2312" w:hAnsi="仿宋_GB2312" w:eastAsia="仿宋_GB2312" w:cs="仿宋_GB2312"/>
          <w:b/>
          <w:bCs/>
          <w:lang w:val="en-US" w:eastAsia="zh-CN"/>
        </w:rPr>
        <w:t>.</w:t>
      </w:r>
      <w:r>
        <w:rPr>
          <w:rFonts w:hint="eastAsia" w:ascii="仿宋_GB2312" w:hAnsi="仿宋_GB2312" w:eastAsia="仿宋_GB2312" w:cs="仿宋_GB2312"/>
          <w:b/>
          <w:bCs/>
        </w:rPr>
        <w:t>优化评价入库机制。</w:t>
      </w:r>
      <w:r>
        <w:rPr>
          <w:rFonts w:hint="eastAsia" w:ascii="仿宋_GB2312" w:hAnsi="仿宋_GB2312" w:eastAsia="仿宋_GB2312" w:cs="仿宋_GB2312"/>
        </w:rPr>
        <w:t>强化国家科技型中小企业评价工作的导向作用，</w:t>
      </w:r>
      <w:r>
        <w:rPr>
          <w:rFonts w:hint="eastAsia" w:ascii="仿宋_GB2312" w:hAnsi="仿宋_GB2312" w:eastAsia="仿宋_GB2312" w:cs="仿宋_GB2312"/>
          <w:lang w:val="en-US" w:eastAsia="zh-CN"/>
        </w:rPr>
        <w:t>摸清全</w:t>
      </w:r>
      <w:r>
        <w:rPr>
          <w:rFonts w:hint="eastAsia" w:ascii="仿宋_GB2312" w:hAnsi="仿宋_GB2312" w:cs="仿宋_GB2312"/>
          <w:lang w:val="en-US" w:eastAsia="zh-CN"/>
        </w:rPr>
        <w:t>市</w:t>
      </w:r>
      <w:r>
        <w:rPr>
          <w:rFonts w:hint="eastAsia" w:ascii="仿宋_GB2312" w:hAnsi="仿宋_GB2312" w:eastAsia="仿宋_GB2312" w:cs="仿宋_GB2312"/>
          <w:lang w:val="en-US" w:eastAsia="zh-CN"/>
        </w:rPr>
        <w:t>科技型中小企业发展底数</w:t>
      </w:r>
      <w:r>
        <w:rPr>
          <w:rFonts w:hint="eastAsia" w:ascii="仿宋_GB2312" w:hAnsi="仿宋_GB2312" w:cs="仿宋_GB2312"/>
          <w:lang w:val="en-US" w:eastAsia="zh-CN"/>
        </w:rPr>
        <w:t>，</w:t>
      </w:r>
      <w:r>
        <w:rPr>
          <w:rFonts w:hint="eastAsia" w:ascii="仿宋_GB2312" w:hAnsi="仿宋_GB2312" w:cs="仿宋_GB2312"/>
          <w:bCs/>
          <w:sz w:val="32"/>
          <w:szCs w:val="32"/>
          <w:lang w:val="en-US" w:eastAsia="zh-CN"/>
        </w:rPr>
        <w:t>鼓励</w:t>
      </w:r>
      <w:r>
        <w:rPr>
          <w:rFonts w:hint="eastAsia" w:ascii="仿宋_GB2312" w:hAnsi="仿宋_GB2312" w:eastAsia="仿宋_GB2312" w:cs="仿宋_GB2312"/>
          <w:bCs/>
          <w:sz w:val="32"/>
          <w:szCs w:val="32"/>
          <w:lang w:val="en-US" w:eastAsia="zh-CN"/>
        </w:rPr>
        <w:t>中小企业加大研发投入，对符合条件的</w:t>
      </w:r>
      <w:r>
        <w:rPr>
          <w:rFonts w:hint="eastAsia" w:ascii="仿宋_GB2312" w:hAnsi="仿宋_GB2312" w:eastAsia="仿宋_GB2312" w:cs="仿宋_GB2312"/>
        </w:rPr>
        <w:t>科技型中小企业“应评尽评、应入尽入”，不断扩大优质企业储备库规模。</w:t>
      </w:r>
      <w:r>
        <w:rPr>
          <w:rFonts w:hint="eastAsia" w:ascii="仿宋_GB2312" w:hAnsi="仿宋_GB2312" w:eastAsia="仿宋_GB2312" w:cs="仿宋_GB2312"/>
          <w:lang w:eastAsia="zh-CN"/>
        </w:rPr>
        <w:t>压实属地管理职能，指导各县区</w:t>
      </w:r>
      <w:r>
        <w:rPr>
          <w:rFonts w:hint="eastAsia" w:ascii="仿宋_GB2312" w:hAnsi="仿宋_GB2312" w:cs="仿宋_GB2312"/>
          <w:lang w:eastAsia="zh-CN"/>
        </w:rPr>
        <w:t>结合</w:t>
      </w:r>
      <w:r>
        <w:rPr>
          <w:rFonts w:hint="eastAsia" w:ascii="仿宋_GB2312" w:hAnsi="仿宋_GB2312" w:eastAsia="仿宋_GB2312" w:cs="仿宋_GB2312"/>
          <w:lang w:val="en-US" w:eastAsia="zh-CN"/>
        </w:rPr>
        <w:t>科技型中小企业创新发展情况和政策需求，推动科技型中小企业创新政策和培训服务</w:t>
      </w:r>
      <w:r>
        <w:rPr>
          <w:rFonts w:hint="eastAsia" w:ascii="仿宋_GB2312" w:hAnsi="仿宋_GB2312" w:eastAsia="仿宋_GB2312" w:cs="仿宋_GB2312"/>
          <w:lang w:eastAsia="zh-CN"/>
        </w:rPr>
        <w:t>。</w:t>
      </w:r>
    </w:p>
    <w:p w14:paraId="4BFAE7E5">
      <w:pPr>
        <w:pageBreakBefore w:val="0"/>
        <w:widowControl w:val="0"/>
        <w:kinsoku/>
        <w:wordWrap/>
        <w:overflowPunct/>
        <w:autoSpaceDE/>
        <w:autoSpaceDN/>
        <w:bidi w:val="0"/>
        <w:snapToGrid/>
        <w:spacing w:line="572" w:lineRule="exact"/>
        <w:ind w:leftChars="0" w:firstLine="643"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cs="仿宋_GB2312"/>
          <w:b/>
          <w:bCs/>
          <w:lang w:val="en-US" w:eastAsia="zh-CN"/>
        </w:rPr>
        <w:t>7</w:t>
      </w:r>
      <w:r>
        <w:rPr>
          <w:rFonts w:hint="eastAsia" w:ascii="仿宋_GB2312" w:hAnsi="仿宋_GB2312" w:eastAsia="仿宋_GB2312" w:cs="仿宋_GB2312"/>
          <w:b/>
          <w:bCs/>
          <w:lang w:val="en-US" w:eastAsia="zh-CN"/>
        </w:rPr>
        <w:t>.</w:t>
      </w:r>
      <w:r>
        <w:rPr>
          <w:rFonts w:hint="eastAsia" w:ascii="仿宋_GB2312" w:hAnsi="仿宋_GB2312" w:eastAsia="仿宋_GB2312" w:cs="仿宋_GB2312"/>
          <w:b/>
          <w:bCs/>
        </w:rPr>
        <w:t>强化精准培育服务。</w:t>
      </w:r>
      <w:r>
        <w:rPr>
          <w:rFonts w:hint="eastAsia" w:ascii="仿宋_GB2312" w:hAnsi="仿宋_GB2312" w:eastAsia="仿宋_GB2312" w:cs="仿宋_GB2312"/>
          <w:color w:val="auto"/>
          <w:sz w:val="32"/>
          <w:szCs w:val="32"/>
          <w:highlight w:val="none"/>
          <w:lang w:eastAsia="zh-CN"/>
        </w:rPr>
        <w:t>持续擦亮“高企大讲堂”</w:t>
      </w:r>
      <w:r>
        <w:rPr>
          <w:rFonts w:hint="eastAsia" w:ascii="仿宋_GB2312" w:hAnsi="仿宋_GB2312" w:eastAsia="仿宋_GB2312" w:cs="仿宋_GB2312"/>
          <w:color w:val="auto"/>
          <w:sz w:val="32"/>
          <w:szCs w:val="32"/>
          <w:highlight w:val="none"/>
          <w:lang w:val="en-US" w:eastAsia="zh-CN"/>
        </w:rPr>
        <w:t>活动</w:t>
      </w:r>
      <w:r>
        <w:rPr>
          <w:rFonts w:hint="eastAsia" w:ascii="仿宋_GB2312" w:hAnsi="仿宋_GB2312" w:eastAsia="仿宋_GB2312" w:cs="仿宋_GB2312"/>
          <w:color w:val="auto"/>
          <w:sz w:val="32"/>
          <w:szCs w:val="32"/>
          <w:highlight w:val="none"/>
          <w:lang w:eastAsia="zh-CN"/>
        </w:rPr>
        <w:t>品牌，</w:t>
      </w:r>
      <w:r>
        <w:rPr>
          <w:rFonts w:hint="eastAsia" w:ascii="仿宋_GB2312" w:hAnsi="仿宋_GB2312" w:eastAsia="仿宋_GB2312" w:cs="仿宋_GB2312"/>
          <w:color w:val="auto"/>
          <w:sz w:val="32"/>
          <w:szCs w:val="32"/>
          <w:highlight w:val="none"/>
          <w:lang w:val="en-US" w:eastAsia="zh-CN"/>
        </w:rPr>
        <w:t>多形式、常态化开展</w:t>
      </w:r>
      <w:r>
        <w:rPr>
          <w:rFonts w:hint="eastAsia" w:ascii="仿宋_GB2312" w:hAnsi="仿宋_GB2312" w:eastAsia="仿宋_GB2312" w:cs="仿宋_GB2312"/>
          <w:color w:val="auto"/>
          <w:sz w:val="32"/>
          <w:szCs w:val="32"/>
          <w:highlight w:val="none"/>
        </w:rPr>
        <w:t>科技型中小企业</w:t>
      </w:r>
      <w:r>
        <w:rPr>
          <w:rFonts w:hint="eastAsia" w:ascii="仿宋_GB2312" w:hAnsi="仿宋_GB2312" w:eastAsia="仿宋_GB2312" w:cs="仿宋_GB2312"/>
          <w:color w:val="auto"/>
          <w:sz w:val="32"/>
          <w:szCs w:val="32"/>
          <w:highlight w:val="none"/>
          <w:lang w:val="en-US" w:eastAsia="zh-CN"/>
        </w:rPr>
        <w:t>政策辅导培训。鼓励各</w:t>
      </w:r>
      <w:r>
        <w:rPr>
          <w:rFonts w:hint="eastAsia" w:ascii="仿宋_GB2312" w:hAnsi="仿宋_GB2312" w:cs="仿宋_GB2312"/>
          <w:color w:val="auto"/>
          <w:sz w:val="32"/>
          <w:szCs w:val="32"/>
          <w:highlight w:val="none"/>
          <w:lang w:val="en-US" w:eastAsia="zh-CN"/>
        </w:rPr>
        <w:t>县区</w:t>
      </w:r>
      <w:r>
        <w:rPr>
          <w:rFonts w:hint="eastAsia" w:ascii="仿宋_GB2312" w:hAnsi="仿宋_GB2312" w:eastAsia="仿宋_GB2312" w:cs="仿宋_GB2312"/>
          <w:color w:val="auto"/>
          <w:sz w:val="32"/>
          <w:szCs w:val="32"/>
          <w:highlight w:val="none"/>
          <w:lang w:val="en-US" w:eastAsia="zh-CN"/>
        </w:rPr>
        <w:t>完善科技型中小企业技术创新服务体系,</w:t>
      </w:r>
      <w:r>
        <w:rPr>
          <w:rFonts w:hint="eastAsia" w:ascii="仿宋_GB2312" w:hAnsi="仿宋_GB2312" w:cs="仿宋_GB2312"/>
          <w:color w:val="auto"/>
          <w:sz w:val="32"/>
          <w:szCs w:val="32"/>
          <w:highlight w:val="none"/>
          <w:lang w:val="en-US" w:eastAsia="zh-CN"/>
        </w:rPr>
        <w:t>借助第三方机构</w:t>
      </w:r>
      <w:r>
        <w:rPr>
          <w:rFonts w:hint="eastAsia" w:ascii="仿宋_GB2312" w:hAnsi="仿宋_GB2312" w:eastAsia="仿宋_GB2312" w:cs="仿宋_GB2312"/>
          <w:color w:val="auto"/>
          <w:sz w:val="32"/>
          <w:szCs w:val="32"/>
          <w:highlight w:val="none"/>
          <w:lang w:val="en-US" w:eastAsia="zh-CN"/>
        </w:rPr>
        <w:t>,为科技型中小企业提供管理指导、技能培训、市场开拓、标准咨询、检验检测等服务。支持孵化载体探索深度孵化模式</w:t>
      </w:r>
      <w:r>
        <w:rPr>
          <w:rFonts w:hint="eastAsia" w:ascii="仿宋_GB2312" w:hAnsi="仿宋_GB2312" w:cs="仿宋_GB2312"/>
          <w:color w:val="auto"/>
          <w:sz w:val="32"/>
          <w:szCs w:val="32"/>
          <w:highlight w:val="none"/>
          <w:lang w:val="en-US" w:eastAsia="zh-CN"/>
        </w:rPr>
        <w:t>，精准提供技术创新、投融资、商业模式、产业对接等资源和服务，积极为在孵企业申报科技型中小企业评价入库等提供培训辅导和咨询服务。</w:t>
      </w:r>
    </w:p>
    <w:p w14:paraId="206C80E9">
      <w:pPr>
        <w:pStyle w:val="2"/>
        <w:pageBreakBefore w:val="0"/>
        <w:widowControl w:val="0"/>
        <w:kinsoku/>
        <w:wordWrap/>
        <w:overflowPunct/>
        <w:autoSpaceDE/>
        <w:autoSpaceDN/>
        <w:bidi w:val="0"/>
        <w:snapToGrid/>
        <w:spacing w:beforeLines="0" w:afterLines="0" w:line="572" w:lineRule="exact"/>
        <w:ind w:leftChars="0" w:firstLine="643" w:firstLineChars="200"/>
        <w:textAlignment w:val="auto"/>
        <w:rPr>
          <w:rFonts w:hint="default" w:ascii="Times New Roman" w:hAnsi="Times New Roman" w:eastAsia="楷体_GB2312" w:cs="Times New Roman"/>
          <w:b/>
          <w:bCs/>
        </w:rPr>
      </w:pPr>
      <w:r>
        <w:rPr>
          <w:rFonts w:hint="default" w:ascii="Times New Roman" w:hAnsi="Times New Roman" w:eastAsia="楷体_GB2312" w:cs="Times New Roman"/>
          <w:b/>
          <w:bCs/>
          <w:lang w:val="en-US" w:eastAsia="zh-CN"/>
        </w:rPr>
        <w:t>（三）</w:t>
      </w:r>
      <w:r>
        <w:rPr>
          <w:rFonts w:hint="default" w:ascii="Times New Roman" w:hAnsi="Times New Roman" w:eastAsia="楷体_GB2312" w:cs="Times New Roman"/>
          <w:b/>
          <w:bCs/>
        </w:rPr>
        <w:t>提升科技型中小企业创新能力</w:t>
      </w:r>
    </w:p>
    <w:p w14:paraId="13C7A073">
      <w:pPr>
        <w:pageBreakBefore w:val="0"/>
        <w:widowControl w:val="0"/>
        <w:kinsoku/>
        <w:wordWrap/>
        <w:overflowPunct/>
        <w:autoSpaceDE/>
        <w:autoSpaceDN/>
        <w:bidi w:val="0"/>
        <w:snapToGrid/>
        <w:spacing w:line="572" w:lineRule="exact"/>
        <w:ind w:leftChars="0" w:firstLine="643" w:firstLineChars="200"/>
        <w:textAlignment w:val="auto"/>
        <w:rPr>
          <w:rFonts w:hint="eastAsia" w:ascii="仿宋_GB2312" w:hAnsi="仿宋_GB2312" w:eastAsia="仿宋_GB2312" w:cs="仿宋_GB2312"/>
          <w:lang w:eastAsia="zh-CN"/>
        </w:rPr>
      </w:pPr>
      <w:r>
        <w:rPr>
          <w:rFonts w:hint="eastAsia" w:ascii="仿宋_GB2312" w:hAnsi="仿宋_GB2312" w:eastAsia="仿宋_GB2312" w:cs="仿宋_GB2312"/>
          <w:b/>
          <w:bCs/>
          <w:lang w:val="en-US" w:eastAsia="zh-CN"/>
        </w:rPr>
        <w:t>8.</w:t>
      </w:r>
      <w:r>
        <w:rPr>
          <w:rFonts w:hint="eastAsia" w:ascii="仿宋_GB2312" w:hAnsi="仿宋_GB2312" w:eastAsia="仿宋_GB2312" w:cs="仿宋_GB2312"/>
          <w:b/>
          <w:bCs/>
        </w:rPr>
        <w:t>加强科技研发支持。</w:t>
      </w:r>
      <w:r>
        <w:rPr>
          <w:rFonts w:hint="eastAsia" w:ascii="仿宋_GB2312" w:hAnsi="仿宋_GB2312" w:eastAsia="仿宋_GB2312" w:cs="仿宋_GB2312"/>
          <w:color w:val="000000" w:themeColor="text1"/>
          <w14:textFill>
            <w14:solidFill>
              <w14:schemeClr w14:val="tx1"/>
            </w14:solidFill>
          </w14:textFill>
        </w:rPr>
        <w:t>积极支持科技型中小企业承担国家、省、市科技计划项目。在市指导计划项目中，由科技型中小企业牵头或参与实施的项目占比原则上不低于50%。优化“揭榜挂帅”、“赛马制”、PI制等实施模式</w:t>
      </w:r>
      <w:r>
        <w:rPr>
          <w:rFonts w:hint="eastAsia" w:ascii="仿宋_GB2312" w:hAnsi="仿宋_GB2312" w:cs="仿宋_GB2312"/>
          <w:color w:val="000000" w:themeColor="text1"/>
          <w:lang w:eastAsia="zh-CN"/>
          <w14:textFill>
            <w14:solidFill>
              <w14:schemeClr w14:val="tx1"/>
            </w14:solidFill>
          </w14:textFill>
        </w:rPr>
        <w:t>，支持科技型中小企业揭榜产业关键技术攻关项目。</w:t>
      </w:r>
      <w:r>
        <w:rPr>
          <w:rFonts w:hint="eastAsia" w:ascii="仿宋_GB2312" w:hAnsi="仿宋_GB2312" w:eastAsia="仿宋_GB2312" w:cs="仿宋_GB2312"/>
          <w:color w:val="000000" w:themeColor="text1"/>
          <w14:textFill>
            <w14:solidFill>
              <w14:schemeClr w14:val="tx1"/>
            </w14:solidFill>
          </w14:textFill>
        </w:rPr>
        <w:t>与基金管理机构建立常态化科技项目推送机制</w:t>
      </w:r>
      <w:r>
        <w:rPr>
          <w:rFonts w:hint="eastAsia" w:ascii="仿宋_GB2312" w:hAnsi="仿宋_GB2312" w:cs="仿宋_GB2312"/>
          <w:color w:val="000000" w:themeColor="text1"/>
          <w:lang w:eastAsia="zh-CN"/>
          <w14:textFill>
            <w14:solidFill>
              <w14:schemeClr w14:val="tx1"/>
            </w14:solidFill>
          </w14:textFill>
        </w:rPr>
        <w:t>，优选推送科技型中小企业，引导金融资本投早、投小、投长期、投硬科技。</w:t>
      </w:r>
    </w:p>
    <w:p w14:paraId="7D2CF7DC">
      <w:pPr>
        <w:pageBreakBefore w:val="0"/>
        <w:widowControl w:val="0"/>
        <w:kinsoku/>
        <w:wordWrap/>
        <w:overflowPunct/>
        <w:autoSpaceDE/>
        <w:autoSpaceDN/>
        <w:bidi w:val="0"/>
        <w:snapToGrid/>
        <w:spacing w:line="572" w:lineRule="exact"/>
        <w:ind w:leftChars="0" w:firstLine="643" w:firstLineChars="200"/>
        <w:textAlignment w:val="auto"/>
        <w:rPr>
          <w:rFonts w:hint="eastAsia" w:ascii="仿宋_GB2312" w:hAnsi="仿宋_GB2312" w:cs="仿宋_GB2312"/>
          <w:lang w:val="en-US" w:eastAsia="zh-CN"/>
        </w:rPr>
      </w:pPr>
      <w:r>
        <w:rPr>
          <w:rFonts w:hint="eastAsia" w:ascii="仿宋_GB2312" w:hAnsi="仿宋_GB2312" w:cs="仿宋_GB2312"/>
          <w:b/>
          <w:bCs/>
          <w:lang w:val="en-US" w:eastAsia="zh-CN"/>
        </w:rPr>
        <w:t>9</w:t>
      </w:r>
      <w:r>
        <w:rPr>
          <w:rFonts w:hint="eastAsia" w:ascii="仿宋_GB2312" w:hAnsi="仿宋_GB2312" w:eastAsia="仿宋_GB2312" w:cs="仿宋_GB2312"/>
          <w:b/>
          <w:bCs/>
          <w:lang w:val="en-US" w:eastAsia="zh-CN"/>
        </w:rPr>
        <w:t>.</w:t>
      </w:r>
      <w:r>
        <w:rPr>
          <w:rFonts w:hint="eastAsia" w:ascii="仿宋_GB2312" w:hAnsi="仿宋_GB2312" w:cs="仿宋_GB2312"/>
          <w:b/>
          <w:bCs/>
          <w:lang w:eastAsia="zh-CN"/>
        </w:rPr>
        <w:t>融入创新联合体建设</w:t>
      </w:r>
      <w:r>
        <w:rPr>
          <w:rFonts w:hint="eastAsia" w:ascii="仿宋_GB2312" w:hAnsi="仿宋_GB2312" w:eastAsia="仿宋_GB2312" w:cs="仿宋_GB2312"/>
          <w:b/>
          <w:bCs/>
        </w:rPr>
        <w:t>。</w:t>
      </w:r>
      <w:r>
        <w:rPr>
          <w:rFonts w:hint="eastAsia" w:ascii="仿宋_GB2312" w:hAnsi="仿宋_GB2312" w:eastAsia="仿宋_GB2312" w:cs="仿宋_GB2312"/>
        </w:rPr>
        <w:t>支持科技型中小企业融入我市</w:t>
      </w:r>
      <w:r>
        <w:rPr>
          <w:rFonts w:hint="eastAsia" w:ascii="仿宋_GB2312" w:hAnsi="仿宋_GB2312" w:cs="仿宋_GB2312"/>
          <w:lang w:val="en-US" w:eastAsia="zh-CN"/>
        </w:rPr>
        <w:t>12</w:t>
      </w:r>
      <w:r>
        <w:rPr>
          <w:rFonts w:hint="eastAsia" w:ascii="仿宋_GB2312" w:hAnsi="仿宋_GB2312" w:eastAsia="仿宋_GB2312" w:cs="仿宋_GB2312"/>
        </w:rPr>
        <w:t>条重点产业链，鼓励产业链骨干企业牵头</w:t>
      </w:r>
      <w:r>
        <w:rPr>
          <w:rFonts w:hint="eastAsia" w:ascii="仿宋_GB2312" w:hAnsi="仿宋_GB2312" w:eastAsia="仿宋_GB2312" w:cs="仿宋_GB2312"/>
          <w:lang w:val="en-US" w:eastAsia="zh-CN"/>
        </w:rPr>
        <w:t>组建</w:t>
      </w:r>
      <w:r>
        <w:rPr>
          <w:rFonts w:hint="eastAsia" w:ascii="仿宋_GB2312" w:hAnsi="仿宋_GB2312" w:eastAsia="仿宋_GB2312" w:cs="仿宋_GB2312"/>
        </w:rPr>
        <w:t>的创新联合体吸纳科技型中小企业参与，建立“产业出题、企业立题、人才答题、科技解题”的协同机制</w:t>
      </w:r>
      <w:r>
        <w:rPr>
          <w:rFonts w:hint="eastAsia" w:ascii="仿宋_GB2312" w:hAnsi="仿宋_GB2312" w:eastAsia="仿宋_GB2312" w:cs="仿宋_GB2312"/>
          <w:lang w:eastAsia="zh-CN"/>
        </w:rPr>
        <w:t>，形成产业链上下游资源贯通</w:t>
      </w:r>
      <w:r>
        <w:rPr>
          <w:rFonts w:hint="eastAsia" w:ascii="仿宋_GB2312" w:hAnsi="仿宋_GB2312" w:cs="仿宋_GB2312"/>
          <w:lang w:eastAsia="zh-CN"/>
        </w:rPr>
        <w:t>、</w:t>
      </w:r>
      <w:r>
        <w:rPr>
          <w:rFonts w:hint="eastAsia" w:ascii="仿宋_GB2312" w:hAnsi="仿宋_GB2312" w:eastAsia="仿宋_GB2312" w:cs="仿宋_GB2312"/>
          <w:lang w:eastAsia="zh-CN"/>
        </w:rPr>
        <w:t>大中小企业融通的良好局面。</w:t>
      </w:r>
      <w:r>
        <w:rPr>
          <w:rFonts w:hint="eastAsia" w:ascii="仿宋_GB2312" w:hAnsi="仿宋_GB2312" w:eastAsia="仿宋_GB2312" w:cs="仿宋_GB2312"/>
        </w:rPr>
        <w:t>对成效显著的</w:t>
      </w:r>
      <w:r>
        <w:rPr>
          <w:rFonts w:hint="eastAsia" w:ascii="仿宋_GB2312" w:hAnsi="仿宋_GB2312" w:eastAsia="仿宋_GB2312" w:cs="仿宋_GB2312"/>
          <w:lang w:val="en-US" w:eastAsia="zh-CN"/>
        </w:rPr>
        <w:t>创新</w:t>
      </w:r>
      <w:r>
        <w:rPr>
          <w:rFonts w:hint="eastAsia" w:ascii="仿宋_GB2312" w:hAnsi="仿宋_GB2312" w:eastAsia="仿宋_GB2312" w:cs="仿宋_GB2312"/>
        </w:rPr>
        <w:t>联合体</w:t>
      </w:r>
      <w:r>
        <w:rPr>
          <w:rFonts w:hint="eastAsia" w:ascii="仿宋_GB2312" w:hAnsi="仿宋_GB2312" w:cs="仿宋_GB2312"/>
          <w:lang w:eastAsia="zh-CN"/>
        </w:rPr>
        <w:t>申报省级</w:t>
      </w:r>
      <w:r>
        <w:rPr>
          <w:rFonts w:hint="eastAsia" w:ascii="仿宋_GB2312" w:hAnsi="仿宋_GB2312" w:eastAsia="仿宋_GB2312" w:cs="仿宋_GB2312"/>
        </w:rPr>
        <w:t>资金支持。</w:t>
      </w:r>
      <w:r>
        <w:rPr>
          <w:rFonts w:hint="eastAsia" w:ascii="仿宋_GB2312" w:hAnsi="仿宋_GB2312" w:cs="仿宋_GB2312"/>
          <w:lang w:val="en-US" w:eastAsia="zh-CN"/>
        </w:rPr>
        <w:t xml:space="preserve"> </w:t>
      </w:r>
    </w:p>
    <w:p w14:paraId="07CAB39B">
      <w:pPr>
        <w:pageBreakBefore w:val="0"/>
        <w:widowControl w:val="0"/>
        <w:kinsoku/>
        <w:wordWrap/>
        <w:overflowPunct/>
        <w:autoSpaceDE/>
        <w:autoSpaceDN/>
        <w:bidi w:val="0"/>
        <w:snapToGrid/>
        <w:spacing w:line="572" w:lineRule="exact"/>
        <w:ind w:leftChars="0" w:firstLine="643" w:firstLineChars="200"/>
        <w:textAlignment w:val="auto"/>
        <w:rPr>
          <w:rFonts w:hint="eastAsia" w:ascii="仿宋_GB2312" w:hAnsi="仿宋_GB2312" w:eastAsia="仿宋_GB2312" w:cs="仿宋_GB2312"/>
        </w:rPr>
      </w:pPr>
      <w:r>
        <w:rPr>
          <w:rFonts w:hint="eastAsia" w:ascii="仿宋_GB2312" w:hAnsi="仿宋_GB2312" w:cs="仿宋_GB2312"/>
          <w:b/>
          <w:bCs/>
          <w:lang w:val="en-US" w:eastAsia="zh-CN"/>
        </w:rPr>
        <w:t>10</w:t>
      </w:r>
      <w:r>
        <w:rPr>
          <w:rFonts w:hint="eastAsia" w:ascii="仿宋_GB2312" w:hAnsi="仿宋_GB2312" w:eastAsia="仿宋_GB2312" w:cs="仿宋_GB2312"/>
          <w:b/>
          <w:bCs/>
          <w:lang w:val="en-US" w:eastAsia="zh-CN"/>
        </w:rPr>
        <w:t>.探索</w:t>
      </w:r>
      <w:r>
        <w:rPr>
          <w:rFonts w:hint="eastAsia" w:ascii="仿宋_GB2312" w:hAnsi="仿宋_GB2312" w:cs="仿宋_GB2312"/>
          <w:b/>
          <w:bCs/>
          <w:lang w:val="en-US" w:eastAsia="zh-CN"/>
        </w:rPr>
        <w:t>专利</w:t>
      </w:r>
      <w:r>
        <w:rPr>
          <w:rFonts w:hint="eastAsia" w:ascii="仿宋_GB2312" w:hAnsi="仿宋_GB2312" w:eastAsia="仿宋_GB2312" w:cs="仿宋_GB2312"/>
          <w:b/>
          <w:bCs/>
          <w:lang w:val="en-US" w:eastAsia="zh-CN"/>
        </w:rPr>
        <w:t>成果“先使用后付费”。</w:t>
      </w:r>
      <w:r>
        <w:rPr>
          <w:rFonts w:hint="eastAsia" w:ascii="仿宋_GB2312" w:hAnsi="仿宋_GB2312" w:eastAsia="仿宋_GB2312" w:cs="仿宋_GB2312"/>
        </w:rPr>
        <w:t>支持河南科技大学、洛阳理工学院等高校院所盘活存量专利，将专利成果以“先使用后付费”方式许可给科技型中小企业使用，</w:t>
      </w:r>
      <w:r>
        <w:rPr>
          <w:rFonts w:hint="eastAsia" w:ascii="仿宋_GB2312" w:hAnsi="仿宋_GB2312" w:cs="仿宋_GB2312"/>
          <w:lang w:eastAsia="zh-CN"/>
        </w:rPr>
        <w:t>双方可</w:t>
      </w:r>
      <w:r>
        <w:rPr>
          <w:rFonts w:hint="eastAsia" w:ascii="仿宋_GB2312" w:hAnsi="仿宋_GB2312" w:eastAsia="仿宋_GB2312" w:cs="仿宋_GB2312"/>
        </w:rPr>
        <w:t>约定灵活</w:t>
      </w:r>
      <w:r>
        <w:rPr>
          <w:rFonts w:hint="eastAsia" w:ascii="仿宋_GB2312" w:hAnsi="仿宋_GB2312" w:cs="仿宋_GB2312"/>
          <w:lang w:eastAsia="zh-CN"/>
        </w:rPr>
        <w:t>支付许可费</w:t>
      </w:r>
      <w:r>
        <w:rPr>
          <w:rFonts w:hint="eastAsia" w:ascii="仿宋_GB2312" w:hAnsi="仿宋_GB2312" w:eastAsia="仿宋_GB2312" w:cs="仿宋_GB2312"/>
        </w:rPr>
        <w:t>，降低企业早期转化成本与风险。</w:t>
      </w:r>
    </w:p>
    <w:p w14:paraId="15B9B26C">
      <w:pPr>
        <w:keepNext w:val="0"/>
        <w:keepLines w:val="0"/>
        <w:pageBreakBefore w:val="0"/>
        <w:widowControl w:val="0"/>
        <w:numPr>
          <w:ilvl w:val="0"/>
          <w:numId w:val="0"/>
        </w:numPr>
        <w:kinsoku/>
        <w:wordWrap/>
        <w:overflowPunct/>
        <w:topLinePunct w:val="0"/>
        <w:autoSpaceDE/>
        <w:autoSpaceDN/>
        <w:bidi w:val="0"/>
        <w:adjustRightInd/>
        <w:snapToGrid/>
        <w:spacing w:line="572" w:lineRule="exact"/>
        <w:ind w:leftChars="0" w:firstLine="643" w:firstLineChars="200"/>
        <w:textAlignment w:val="auto"/>
        <w:rPr>
          <w:rFonts w:hint="default" w:ascii="Times New Roman" w:hAnsi="Times New Roman" w:eastAsia="仿宋_GB2312" w:cs="Times New Roman"/>
          <w:lang w:eastAsia="zh-CN"/>
        </w:rPr>
      </w:pPr>
      <w:r>
        <w:rPr>
          <w:rFonts w:hint="eastAsia" w:ascii="仿宋_GB2312" w:hAnsi="仿宋_GB2312" w:eastAsia="仿宋_GB2312" w:cs="仿宋_GB2312"/>
          <w:b/>
          <w:bCs/>
          <w:lang w:val="en-US" w:eastAsia="zh-CN"/>
        </w:rPr>
        <w:t>11.优化创新人才供给。</w:t>
      </w:r>
      <w:r>
        <w:rPr>
          <w:rFonts w:hint="default" w:ascii="Times New Roman" w:hAnsi="Times New Roman" w:cs="Times New Roman"/>
        </w:rPr>
        <w:t>持续推行科技特派员制度，完善校企科研人员“双聘”机制。深入实施“科技副总”计划，支持企业柔性引才</w:t>
      </w:r>
      <w:r>
        <w:rPr>
          <w:rFonts w:hint="default" w:ascii="Times New Roman" w:hAnsi="Times New Roman" w:cs="Times New Roman"/>
          <w:lang w:eastAsia="zh-CN"/>
        </w:rPr>
        <w:t>，</w:t>
      </w:r>
      <w:r>
        <w:rPr>
          <w:rFonts w:hint="default" w:ascii="Times New Roman" w:hAnsi="Times New Roman" w:cs="Times New Roman"/>
        </w:rPr>
        <w:t>重点推动创新</w:t>
      </w:r>
      <w:r>
        <w:rPr>
          <w:rFonts w:hint="default" w:ascii="Times New Roman" w:hAnsi="Times New Roman" w:cs="Times New Roman"/>
          <w:lang w:val="en-US" w:eastAsia="zh-CN"/>
        </w:rPr>
        <w:t>人才资源</w:t>
      </w:r>
      <w:r>
        <w:rPr>
          <w:rFonts w:hint="default" w:ascii="Times New Roman" w:hAnsi="Times New Roman" w:cs="Times New Roman"/>
        </w:rPr>
        <w:t>向产业一线下沉。发挥中原学者工作 站、杰出外籍科学家工作室等人才平台作用</w:t>
      </w:r>
      <w:r>
        <w:rPr>
          <w:rFonts w:hint="eastAsia" w:cs="Times New Roman"/>
          <w:lang w:eastAsia="zh-CN"/>
        </w:rPr>
        <w:t>，</w:t>
      </w:r>
      <w:r>
        <w:rPr>
          <w:rFonts w:hint="default" w:ascii="Times New Roman" w:hAnsi="Times New Roman" w:cs="Times New Roman"/>
        </w:rPr>
        <w:t>通过科研项目</w:t>
      </w:r>
      <w:r>
        <w:rPr>
          <w:rFonts w:hint="eastAsia" w:cs="Times New Roman"/>
          <w:lang w:eastAsia="zh-CN"/>
        </w:rPr>
        <w:t>为中小企业发展</w:t>
      </w:r>
      <w:r>
        <w:rPr>
          <w:rFonts w:hint="default" w:ascii="Times New Roman" w:hAnsi="Times New Roman" w:cs="Times New Roman"/>
        </w:rPr>
        <w:t>集聚海内外优秀人才。</w:t>
      </w:r>
    </w:p>
    <w:p w14:paraId="415391CF">
      <w:pPr>
        <w:keepNext w:val="0"/>
        <w:keepLines w:val="0"/>
        <w:pageBreakBefore w:val="0"/>
        <w:widowControl w:val="0"/>
        <w:numPr>
          <w:ilvl w:val="0"/>
          <w:numId w:val="0"/>
        </w:numPr>
        <w:kinsoku/>
        <w:wordWrap/>
        <w:overflowPunct/>
        <w:topLinePunct w:val="0"/>
        <w:autoSpaceDE/>
        <w:autoSpaceDN/>
        <w:bidi w:val="0"/>
        <w:adjustRightInd/>
        <w:snapToGrid/>
        <w:spacing w:line="572" w:lineRule="exact"/>
        <w:ind w:leftChars="0" w:firstLine="643" w:firstLineChars="200"/>
        <w:textAlignment w:val="auto"/>
        <w:rPr>
          <w:rFonts w:hint="eastAsia" w:ascii="仿宋_GB2312" w:hAnsi="仿宋_GB2312" w:eastAsia="仿宋_GB2312" w:cs="仿宋_GB2312"/>
          <w:color w:val="auto"/>
        </w:rPr>
      </w:pPr>
      <w:r>
        <w:rPr>
          <w:rFonts w:hint="eastAsia" w:ascii="仿宋_GB2312" w:hAnsi="仿宋_GB2312" w:cs="仿宋_GB2312"/>
          <w:b/>
          <w:bCs/>
          <w:lang w:val="en-US" w:eastAsia="zh-CN"/>
        </w:rPr>
        <w:t>12</w:t>
      </w:r>
      <w:r>
        <w:rPr>
          <w:rFonts w:hint="eastAsia" w:ascii="仿宋_GB2312" w:hAnsi="仿宋_GB2312" w:eastAsia="仿宋_GB2312" w:cs="仿宋_GB2312"/>
          <w:b/>
          <w:bCs/>
          <w:lang w:val="en-US" w:eastAsia="zh-CN"/>
        </w:rPr>
        <w:t>.促进科技成果转化。</w:t>
      </w:r>
      <w:r>
        <w:rPr>
          <w:rFonts w:hint="eastAsia" w:ascii="仿宋_GB2312" w:hAnsi="仿宋_GB2312" w:eastAsia="仿宋_GB2312" w:cs="仿宋_GB2312"/>
        </w:rPr>
        <w:t>构建“线上+线下”成果对接机制，常态化开展“科创成果直通车”等活动</w:t>
      </w:r>
      <w:r>
        <w:rPr>
          <w:rFonts w:hint="eastAsia" w:ascii="仿宋_GB2312" w:hAnsi="仿宋_GB2312" w:cs="仿宋_GB2312"/>
          <w:lang w:eastAsia="zh-CN"/>
        </w:rPr>
        <w:t>，组织高校、研发平台与科技型中小企业开展技术人才供需对接活动，靶向配置人才、技术、成果、资金、服务等创新资源，助力企业加快发展。</w:t>
      </w:r>
      <w:r>
        <w:rPr>
          <w:rFonts w:hint="eastAsia" w:ascii="仿宋_GB2312" w:hAnsi="仿宋_GB2312" w:eastAsia="仿宋_GB2312" w:cs="仿宋_GB2312"/>
        </w:rPr>
        <w:t>深化职务科技成果赋权改革，探索</w:t>
      </w:r>
      <w:r>
        <w:rPr>
          <w:rFonts w:hint="eastAsia" w:ascii="仿宋_GB2312" w:hAnsi="仿宋_GB2312" w:cs="仿宋_GB2312"/>
          <w:lang w:eastAsia="zh-CN"/>
        </w:rPr>
        <w:t>项目</w:t>
      </w:r>
      <w:r>
        <w:rPr>
          <w:rFonts w:hint="eastAsia" w:ascii="仿宋_GB2312" w:hAnsi="仿宋_GB2312" w:eastAsia="仿宋_GB2312" w:cs="仿宋_GB2312"/>
          <w:color w:val="auto"/>
        </w:rPr>
        <w:t>科研经费“先投后股”改革</w:t>
      </w:r>
      <w:r>
        <w:rPr>
          <w:rFonts w:hint="eastAsia" w:ascii="仿宋_GB2312" w:hAnsi="仿宋_GB2312" w:cs="仿宋_GB2312"/>
          <w:color w:val="auto"/>
          <w:lang w:eastAsia="zh-CN"/>
        </w:rPr>
        <w:t>，推动更多科技成果落地转化为科技型中小企业</w:t>
      </w:r>
      <w:r>
        <w:rPr>
          <w:rFonts w:hint="eastAsia" w:ascii="仿宋_GB2312" w:hAnsi="仿宋_GB2312" w:eastAsia="仿宋_GB2312" w:cs="仿宋_GB2312"/>
          <w:color w:val="auto"/>
        </w:rPr>
        <w:t>。</w:t>
      </w:r>
    </w:p>
    <w:p w14:paraId="747B5B02">
      <w:pPr>
        <w:pStyle w:val="2"/>
        <w:pageBreakBefore w:val="0"/>
        <w:widowControl w:val="0"/>
        <w:kinsoku/>
        <w:wordWrap/>
        <w:overflowPunct/>
        <w:autoSpaceDE/>
        <w:autoSpaceDN/>
        <w:bidi w:val="0"/>
        <w:snapToGrid/>
        <w:spacing w:beforeLines="0" w:afterLines="0" w:line="572" w:lineRule="exact"/>
        <w:ind w:leftChars="0" w:firstLine="643" w:firstLineChars="200"/>
        <w:textAlignment w:val="auto"/>
        <w:rPr>
          <w:rFonts w:hint="default" w:ascii="Times New Roman" w:hAnsi="Times New Roman" w:eastAsia="楷体_GB2312" w:cs="Times New Roman"/>
          <w:b/>
          <w:bCs/>
        </w:rPr>
      </w:pPr>
      <w:r>
        <w:rPr>
          <w:rFonts w:hint="default" w:ascii="Times New Roman" w:hAnsi="Times New Roman" w:eastAsia="楷体_GB2312" w:cs="Times New Roman"/>
          <w:b/>
          <w:bCs/>
          <w:lang w:val="en-US" w:eastAsia="zh-CN"/>
        </w:rPr>
        <w:t>（四）</w:t>
      </w:r>
      <w:r>
        <w:rPr>
          <w:rFonts w:hint="default" w:ascii="Times New Roman" w:hAnsi="Times New Roman" w:eastAsia="楷体_GB2312" w:cs="Times New Roman"/>
          <w:b/>
          <w:bCs/>
        </w:rPr>
        <w:t>强化创新要素支撑</w:t>
      </w:r>
    </w:p>
    <w:p w14:paraId="0FA81BD6">
      <w:pPr>
        <w:pageBreakBefore w:val="0"/>
        <w:widowControl w:val="0"/>
        <w:kinsoku/>
        <w:wordWrap/>
        <w:overflowPunct/>
        <w:autoSpaceDE/>
        <w:autoSpaceDN/>
        <w:bidi w:val="0"/>
        <w:snapToGrid/>
        <w:spacing w:line="572" w:lineRule="exact"/>
        <w:ind w:leftChars="0" w:firstLine="643" w:firstLineChars="200"/>
        <w:textAlignment w:val="auto"/>
        <w:rPr>
          <w:rFonts w:hint="eastAsia" w:ascii="仿宋_GB2312" w:hAnsi="仿宋_GB2312" w:eastAsia="仿宋_GB2312" w:cs="仿宋_GB2312"/>
          <w:lang w:eastAsia="zh-CN"/>
        </w:rPr>
      </w:pPr>
      <w:r>
        <w:rPr>
          <w:rFonts w:hint="eastAsia" w:ascii="仿宋_GB2312" w:hAnsi="仿宋_GB2312" w:cs="仿宋_GB2312"/>
          <w:b/>
          <w:bCs/>
          <w:lang w:val="en-US" w:eastAsia="zh-CN"/>
        </w:rPr>
        <w:t>13</w:t>
      </w:r>
      <w:r>
        <w:rPr>
          <w:rFonts w:hint="eastAsia" w:ascii="仿宋_GB2312" w:hAnsi="仿宋_GB2312" w:eastAsia="仿宋_GB2312" w:cs="仿宋_GB2312"/>
          <w:b/>
          <w:bCs/>
          <w:lang w:val="en-US" w:eastAsia="zh-CN"/>
        </w:rPr>
        <w:t>.</w:t>
      </w:r>
      <w:r>
        <w:rPr>
          <w:rFonts w:hint="eastAsia" w:ascii="仿宋_GB2312" w:hAnsi="仿宋_GB2312" w:eastAsia="仿宋_GB2312" w:cs="仿宋_GB2312"/>
          <w:b/>
          <w:bCs/>
        </w:rPr>
        <w:t>加大科技金融供给。</w:t>
      </w:r>
      <w:r>
        <w:rPr>
          <w:rFonts w:hint="eastAsia" w:ascii="仿宋_GB2312" w:hAnsi="仿宋_GB2312" w:eastAsia="仿宋_GB2312" w:cs="仿宋_GB2312"/>
          <w:b w:val="0"/>
          <w:bCs w:val="0"/>
        </w:rPr>
        <w:t>开展科技型企业首贷破冰、信用贷扩面行动</w:t>
      </w:r>
      <w:r>
        <w:rPr>
          <w:rFonts w:hint="eastAsia" w:ascii="仿宋_GB2312" w:hAnsi="仿宋_GB2312" w:cs="仿宋_GB2312"/>
          <w:b w:val="0"/>
          <w:bCs w:val="0"/>
          <w:lang w:eastAsia="zh-CN"/>
        </w:rPr>
        <w:t>，</w:t>
      </w:r>
      <w:r>
        <w:rPr>
          <w:rFonts w:hint="eastAsia" w:ascii="仿宋_GB2312" w:hAnsi="仿宋_GB2312" w:eastAsia="仿宋_GB2312" w:cs="仿宋_GB2312"/>
          <w:b w:val="0"/>
          <w:bCs w:val="0"/>
        </w:rPr>
        <w:t>加大对科技型企业中长期贷款支持力度。引导金融机构开发“创新积分贷”、“科创e贷等信用类金融产品</w:t>
      </w:r>
      <w:r>
        <w:rPr>
          <w:rFonts w:hint="eastAsia" w:ascii="仿宋_GB2312" w:hAnsi="仿宋_GB2312" w:cs="仿宋_GB2312"/>
          <w:b w:val="0"/>
          <w:bCs w:val="0"/>
          <w:lang w:eastAsia="zh-CN"/>
        </w:rPr>
        <w:t>，</w:t>
      </w:r>
      <w:r>
        <w:rPr>
          <w:rFonts w:hint="eastAsia" w:ascii="仿宋_GB2312" w:hAnsi="仿宋_GB2312" w:eastAsia="仿宋_GB2312" w:cs="仿宋_GB2312"/>
          <w:b w:val="0"/>
          <w:bCs w:val="0"/>
        </w:rPr>
        <w:t>为科技型小微企业持续提供精准信贷支持。进一步落实科技型中小企业研发费用加计扣除等优惠政策，推动惠企研发政策应享尽享。</w:t>
      </w:r>
      <w:r>
        <w:rPr>
          <w:rFonts w:hint="eastAsia" w:ascii="仿宋_GB2312" w:hAnsi="仿宋_GB2312" w:eastAsia="仿宋_GB2312" w:cs="仿宋_GB2312"/>
          <w:lang w:val="en-US" w:eastAsia="zh-CN"/>
        </w:rPr>
        <w:t>支持保险机构开发条款简便、价格合理、投保便捷、理赔便利的产品，为科技型中小企业提供基础风险保障，增强企业创新发展的风险防御能力。</w:t>
      </w:r>
    </w:p>
    <w:p w14:paraId="4BB4BED0">
      <w:pPr>
        <w:keepNext w:val="0"/>
        <w:keepLines w:val="0"/>
        <w:pageBreakBefore w:val="0"/>
        <w:widowControl w:val="0"/>
        <w:numPr>
          <w:ilvl w:val="0"/>
          <w:numId w:val="0"/>
        </w:numPr>
        <w:kinsoku/>
        <w:wordWrap/>
        <w:overflowPunct/>
        <w:topLinePunct w:val="0"/>
        <w:autoSpaceDE/>
        <w:autoSpaceDN/>
        <w:bidi w:val="0"/>
        <w:adjustRightInd/>
        <w:snapToGrid/>
        <w:spacing w:line="572" w:lineRule="exact"/>
        <w:ind w:leftChars="0" w:firstLine="643" w:firstLineChars="200"/>
        <w:textAlignment w:val="auto"/>
        <w:rPr>
          <w:rFonts w:hint="eastAsia" w:ascii="仿宋_GB2312" w:hAnsi="仿宋_GB2312" w:eastAsia="仿宋_GB2312" w:cs="仿宋_GB2312"/>
        </w:rPr>
      </w:pPr>
      <w:r>
        <w:rPr>
          <w:rFonts w:hint="eastAsia" w:ascii="仿宋_GB2312" w:hAnsi="仿宋_GB2312" w:eastAsia="仿宋_GB2312" w:cs="仿宋_GB2312"/>
          <w:b/>
          <w:bCs/>
          <w:lang w:val="en-US" w:eastAsia="zh-CN"/>
        </w:rPr>
        <w:t>14.加强知识产权保护。</w:t>
      </w:r>
      <w:r>
        <w:rPr>
          <w:rFonts w:hint="eastAsia" w:ascii="仿宋_GB2312" w:hAnsi="仿宋_GB2312" w:eastAsia="仿宋_GB2312" w:cs="仿宋_GB2312"/>
          <w:lang w:val="en-US" w:eastAsia="zh-CN"/>
        </w:rPr>
        <w:t>优化洛阳国家级知识产权保护中心功能</w:t>
      </w:r>
      <w:r>
        <w:rPr>
          <w:rFonts w:hint="eastAsia" w:ascii="仿宋_GB2312" w:hAnsi="仿宋_GB2312" w:cs="仿宋_GB2312"/>
          <w:lang w:val="en-US" w:eastAsia="zh-CN"/>
        </w:rPr>
        <w:t>，</w:t>
      </w:r>
      <w:r>
        <w:rPr>
          <w:rFonts w:hint="eastAsia" w:ascii="仿宋_GB2312" w:hAnsi="仿宋_GB2312" w:eastAsia="仿宋_GB2312" w:cs="仿宋_GB2312"/>
          <w:lang w:val="en-US" w:eastAsia="zh-CN"/>
        </w:rPr>
        <w:t>完善“一站式”知识产权协同保护平台</w:t>
      </w:r>
      <w:r>
        <w:rPr>
          <w:rFonts w:hint="eastAsia" w:ascii="仿宋_GB2312" w:hAnsi="仿宋_GB2312" w:cs="仿宋_GB2312"/>
          <w:lang w:val="en-US" w:eastAsia="zh-CN"/>
        </w:rPr>
        <w:t>，</w:t>
      </w:r>
      <w:r>
        <w:rPr>
          <w:rFonts w:hint="eastAsia" w:ascii="仿宋_GB2312" w:hAnsi="仿宋_GB2312" w:eastAsia="仿宋_GB2312" w:cs="仿宋_GB2312"/>
          <w:lang w:val="en-US" w:eastAsia="zh-CN"/>
        </w:rPr>
        <w:t>畅通专利预审绿色通道</w:t>
      </w:r>
      <w:r>
        <w:rPr>
          <w:rFonts w:hint="eastAsia" w:ascii="仿宋_GB2312" w:hAnsi="仿宋_GB2312" w:cs="仿宋_GB2312"/>
          <w:lang w:val="en-US" w:eastAsia="zh-CN"/>
        </w:rPr>
        <w:t>，</w:t>
      </w:r>
      <w:r>
        <w:rPr>
          <w:rFonts w:hint="eastAsia" w:ascii="仿宋_GB2312" w:hAnsi="仿宋_GB2312" w:eastAsia="仿宋_GB2312" w:cs="仿宋_GB2312"/>
          <w:lang w:val="en-US" w:eastAsia="zh-CN"/>
        </w:rPr>
        <w:t>构建市场监管、法院、检察院、公安、司法机关快速联动工作体系</w:t>
      </w:r>
      <w:r>
        <w:rPr>
          <w:rFonts w:hint="eastAsia" w:ascii="仿宋_GB2312" w:hAnsi="仿宋_GB2312" w:cs="仿宋_GB2312"/>
          <w:lang w:val="en-US" w:eastAsia="zh-CN"/>
        </w:rPr>
        <w:t>，</w:t>
      </w:r>
      <w:r>
        <w:rPr>
          <w:rFonts w:hint="eastAsia" w:ascii="仿宋_GB2312" w:hAnsi="仿宋_GB2312" w:eastAsia="仿宋_GB2312" w:cs="仿宋_GB2312"/>
          <w:lang w:val="en-US" w:eastAsia="zh-CN"/>
        </w:rPr>
        <w:t>保护</w:t>
      </w:r>
      <w:r>
        <w:rPr>
          <w:rFonts w:hint="eastAsia" w:ascii="仿宋_GB2312" w:hAnsi="仿宋_GB2312" w:eastAsia="仿宋_GB2312" w:cs="仿宋_GB2312"/>
        </w:rPr>
        <w:t>科技型中小企业</w:t>
      </w:r>
      <w:r>
        <w:rPr>
          <w:rFonts w:hint="eastAsia" w:ascii="仿宋_GB2312" w:hAnsi="仿宋_GB2312" w:eastAsia="仿宋_GB2312" w:cs="仿宋_GB2312"/>
          <w:lang w:val="en-US" w:eastAsia="zh-CN"/>
        </w:rPr>
        <w:t>科技成果与合法权益。</w:t>
      </w:r>
    </w:p>
    <w:p w14:paraId="1340A3EF">
      <w:pPr>
        <w:keepNext w:val="0"/>
        <w:keepLines w:val="0"/>
        <w:pageBreakBefore w:val="0"/>
        <w:widowControl w:val="0"/>
        <w:numPr>
          <w:ilvl w:val="0"/>
          <w:numId w:val="0"/>
        </w:numPr>
        <w:kinsoku/>
        <w:wordWrap/>
        <w:overflowPunct/>
        <w:topLinePunct w:val="0"/>
        <w:autoSpaceDE/>
        <w:autoSpaceDN/>
        <w:bidi w:val="0"/>
        <w:adjustRightInd/>
        <w:snapToGrid/>
        <w:spacing w:line="572" w:lineRule="exact"/>
        <w:ind w:leftChars="0" w:firstLine="643" w:firstLineChars="200"/>
        <w:textAlignment w:val="auto"/>
        <w:rPr>
          <w:rFonts w:hint="eastAsia" w:ascii="仿宋_GB2312" w:hAnsi="仿宋_GB2312" w:eastAsia="仿宋_GB2312" w:cs="仿宋_GB2312"/>
          <w:lang w:eastAsia="zh-CN"/>
        </w:rPr>
      </w:pPr>
      <w:r>
        <w:rPr>
          <w:rFonts w:hint="eastAsia" w:ascii="仿宋_GB2312" w:hAnsi="仿宋_GB2312" w:cs="仿宋_GB2312"/>
          <w:b/>
          <w:bCs/>
          <w:lang w:val="en-US" w:eastAsia="zh-CN"/>
        </w:rPr>
        <w:t>15</w:t>
      </w:r>
      <w:r>
        <w:rPr>
          <w:rFonts w:hint="eastAsia" w:ascii="仿宋_GB2312" w:hAnsi="仿宋_GB2312" w:eastAsia="仿宋_GB2312" w:cs="仿宋_GB2312"/>
          <w:b/>
          <w:bCs/>
          <w:lang w:val="en-US" w:eastAsia="zh-CN"/>
        </w:rPr>
        <w:t>.促进创新资源共享。</w:t>
      </w:r>
      <w:r>
        <w:rPr>
          <w:rFonts w:hint="eastAsia" w:ascii="仿宋_GB2312" w:hAnsi="仿宋_GB2312" w:cs="仿宋_GB2312"/>
          <w:b w:val="0"/>
          <w:bCs w:val="0"/>
          <w:lang w:val="en-US" w:eastAsia="zh-CN"/>
        </w:rPr>
        <w:t>面向</w:t>
      </w:r>
      <w:r>
        <w:rPr>
          <w:rFonts w:hint="eastAsia" w:ascii="仿宋_GB2312" w:hAnsi="仿宋_GB2312" w:eastAsia="仿宋_GB2312" w:cs="仿宋_GB2312"/>
        </w:rPr>
        <w:t>科技型中小企业</w:t>
      </w:r>
      <w:r>
        <w:rPr>
          <w:rFonts w:hint="eastAsia" w:ascii="仿宋_GB2312" w:hAnsi="仿宋_GB2312" w:cs="仿宋_GB2312"/>
          <w:lang w:eastAsia="zh-CN"/>
        </w:rPr>
        <w:t>无偿发放科技创新券，支持其在洛阳市科技创新券服务平台上购买科研设施与仪器共享服务，按照实际发生额给予30%的补助，最高额度为每年</w:t>
      </w:r>
      <w:r>
        <w:rPr>
          <w:rFonts w:hint="eastAsia" w:ascii="仿宋_GB2312" w:hAnsi="仿宋_GB2312" w:cs="仿宋_GB2312"/>
          <w:lang w:val="en-US" w:eastAsia="zh-CN"/>
        </w:rPr>
        <w:t>1</w:t>
      </w:r>
      <w:r>
        <w:rPr>
          <w:rFonts w:hint="eastAsia" w:ascii="仿宋_GB2312" w:hAnsi="仿宋_GB2312" w:cs="仿宋_GB2312"/>
          <w:lang w:eastAsia="zh-CN"/>
        </w:rPr>
        <w:t>0万元</w:t>
      </w:r>
      <w:r>
        <w:rPr>
          <w:rFonts w:hint="eastAsia" w:ascii="仿宋_GB2312" w:hAnsi="仿宋_GB2312" w:eastAsia="仿宋_GB2312" w:cs="仿宋_GB2312"/>
        </w:rPr>
        <w:t>。推动中试基地、概念验证中心、公共技术服务平台向科技型中小企业开放，提供技术开发、产品验证、工艺熟化等低成本服务。推动场景资源开放</w:t>
      </w:r>
      <w:r>
        <w:rPr>
          <w:rFonts w:hint="eastAsia" w:ascii="仿宋_GB2312" w:hAnsi="仿宋_GB2312" w:cs="仿宋_GB2312"/>
          <w:lang w:eastAsia="zh-CN"/>
        </w:rPr>
        <w:t>，</w:t>
      </w:r>
      <w:r>
        <w:rPr>
          <w:rFonts w:hint="eastAsia" w:ascii="仿宋_GB2312" w:hAnsi="仿宋_GB2312" w:eastAsia="仿宋_GB2312" w:cs="仿宋_GB2312"/>
        </w:rPr>
        <w:t>支持向科技型中小企业开放工业、医疗、文旅等应用场景</w:t>
      </w:r>
      <w:r>
        <w:rPr>
          <w:rFonts w:hint="eastAsia" w:ascii="仿宋_GB2312" w:hAnsi="仿宋_GB2312" w:cs="仿宋_GB2312"/>
          <w:lang w:eastAsia="zh-CN"/>
        </w:rPr>
        <w:t>，</w:t>
      </w:r>
      <w:r>
        <w:rPr>
          <w:rFonts w:hint="eastAsia" w:ascii="仿宋_GB2312" w:hAnsi="仿宋_GB2312" w:eastAsia="仿宋_GB2312" w:cs="仿宋_GB2312"/>
        </w:rPr>
        <w:t>形成具有商业价值的产品服务</w:t>
      </w:r>
      <w:r>
        <w:rPr>
          <w:rFonts w:hint="eastAsia" w:ascii="仿宋_GB2312" w:hAnsi="仿宋_GB2312" w:cs="仿宋_GB2312"/>
          <w:lang w:eastAsia="zh-CN"/>
        </w:rPr>
        <w:t>。</w:t>
      </w:r>
    </w:p>
    <w:p w14:paraId="6D4E3C02">
      <w:pPr>
        <w:keepNext w:val="0"/>
        <w:keepLines w:val="0"/>
        <w:pageBreakBefore w:val="0"/>
        <w:widowControl w:val="0"/>
        <w:kinsoku/>
        <w:wordWrap/>
        <w:overflowPunct/>
        <w:topLinePunct w:val="0"/>
        <w:autoSpaceDE/>
        <w:autoSpaceDN/>
        <w:bidi w:val="0"/>
        <w:adjustRightInd/>
        <w:snapToGrid/>
        <w:spacing w:line="572" w:lineRule="exact"/>
        <w:ind w:leftChars="0" w:firstLine="640" w:firstLineChars="200"/>
        <w:textAlignment w:val="auto"/>
        <w:rPr>
          <w:rFonts w:hint="default" w:ascii="Times New Roman" w:hAnsi="Times New Roman" w:eastAsia="黑体" w:cs="Times New Roman"/>
          <w:b w:val="0"/>
          <w:bCs w:val="0"/>
          <w:kern w:val="2"/>
          <w:sz w:val="32"/>
          <w:szCs w:val="32"/>
          <w:lang w:val="en-US" w:eastAsia="zh-CN" w:bidi="ar-SA"/>
        </w:rPr>
      </w:pPr>
      <w:r>
        <w:rPr>
          <w:rFonts w:hint="default" w:ascii="Times New Roman" w:hAnsi="Times New Roman" w:eastAsia="黑体" w:cs="Times New Roman"/>
          <w:b w:val="0"/>
          <w:bCs w:val="0"/>
          <w:kern w:val="2"/>
          <w:sz w:val="32"/>
          <w:szCs w:val="32"/>
          <w:lang w:val="en-US" w:eastAsia="zh-CN" w:bidi="ar-SA"/>
        </w:rPr>
        <w:t>三、组织保障</w:t>
      </w:r>
    </w:p>
    <w:p w14:paraId="4FF725A7">
      <w:pPr>
        <w:pStyle w:val="16"/>
        <w:pageBreakBefore w:val="0"/>
        <w:widowControl w:val="0"/>
        <w:kinsoku/>
        <w:wordWrap/>
        <w:overflowPunct/>
        <w:autoSpaceDE/>
        <w:autoSpaceDN/>
        <w:bidi w:val="0"/>
        <w:snapToGrid/>
        <w:spacing w:line="572" w:lineRule="exact"/>
        <w:ind w:leftChars="0"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统筹强化部门协同联动，深化多部门信息互通、政策融合，凝聚</w:t>
      </w:r>
      <w:r>
        <w:rPr>
          <w:rFonts w:hint="eastAsia" w:ascii="仿宋_GB2312" w:hAnsi="仿宋_GB2312" w:eastAsia="仿宋_GB2312" w:cs="仿宋_GB2312"/>
          <w:lang w:eastAsia="zh-CN"/>
        </w:rPr>
        <w:t>引</w:t>
      </w:r>
      <w:r>
        <w:rPr>
          <w:rFonts w:hint="eastAsia" w:ascii="仿宋_GB2312" w:hAnsi="仿宋_GB2312" w:eastAsia="仿宋_GB2312" w:cs="仿宋_GB2312"/>
        </w:rPr>
        <w:t>育工作合力。</w:t>
      </w:r>
      <w:r>
        <w:rPr>
          <w:rFonts w:hint="eastAsia" w:ascii="仿宋_GB2312" w:hAnsi="仿宋_GB2312" w:eastAsia="仿宋_GB2312" w:cs="仿宋_GB2312"/>
          <w:color w:val="auto"/>
          <w:highlight w:val="none"/>
          <w:lang w:val="en-US" w:eastAsia="zh-CN"/>
        </w:rPr>
        <w:t>各相关部门按照责任分工，密切配合，扎实推进各项工作任务。各县区结合自身实际，</w:t>
      </w:r>
      <w:r>
        <w:rPr>
          <w:rFonts w:hint="eastAsia" w:ascii="仿宋_GB2312" w:hAnsi="仿宋_GB2312" w:eastAsia="仿宋_GB2312" w:cs="仿宋_GB2312"/>
        </w:rPr>
        <w:t>压实属地工作责任，优化政务服务供给，依托助企服务、政策宣讲、精准帮扶等举措，全方位赋能科技型中小企业创新发展。</w:t>
      </w:r>
    </w:p>
    <w:p w14:paraId="02EBA39A">
      <w:pPr>
        <w:pageBreakBefore w:val="0"/>
        <w:widowControl w:val="0"/>
        <w:kinsoku/>
        <w:wordWrap/>
        <w:overflowPunct/>
        <w:topLinePunct w:val="0"/>
        <w:autoSpaceDE/>
        <w:autoSpaceDN/>
        <w:bidi w:val="0"/>
        <w:snapToGrid/>
        <w:spacing w:line="572" w:lineRule="exact"/>
        <w:ind w:leftChars="0" w:firstLine="640" w:firstLineChars="200"/>
        <w:jc w:val="both"/>
        <w:textAlignment w:val="auto"/>
        <w:rPr>
          <w:rFonts w:hint="eastAsia"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highlight w:val="none"/>
          <w:lang w:val="en-US" w:eastAsia="zh-CN"/>
        </w:rPr>
        <w:t>本文件由市科技局会同相关部门负责解释</w:t>
      </w:r>
      <w:r>
        <w:rPr>
          <w:rFonts w:hint="eastAsia" w:ascii="仿宋_GB2312" w:hAnsi="仿宋_GB2312" w:cs="仿宋_GB2312"/>
          <w:color w:val="auto"/>
          <w:highlight w:val="none"/>
          <w:lang w:val="en-US" w:eastAsia="zh-CN"/>
        </w:rPr>
        <w:t>，</w:t>
      </w:r>
      <w:r>
        <w:rPr>
          <w:rFonts w:hint="eastAsia" w:ascii="仿宋_GB2312" w:hAnsi="仿宋_GB2312" w:eastAsia="仿宋_GB2312" w:cs="仿宋_GB2312"/>
          <w:color w:val="auto"/>
          <w:highlight w:val="none"/>
          <w:lang w:val="en-US" w:eastAsia="zh-CN"/>
        </w:rPr>
        <w:t>有效期至2028年12月31日。</w:t>
      </w:r>
    </w:p>
    <w:p w14:paraId="53F3DBC5">
      <w:pPr>
        <w:pageBreakBefore w:val="0"/>
        <w:widowControl w:val="0"/>
        <w:kinsoku/>
        <w:wordWrap/>
        <w:overflowPunct/>
        <w:topLinePunct w:val="0"/>
        <w:autoSpaceDE/>
        <w:autoSpaceDN/>
        <w:bidi w:val="0"/>
        <w:snapToGrid/>
        <w:spacing w:line="572" w:lineRule="exact"/>
        <w:ind w:leftChars="0" w:firstLine="640" w:firstLineChars="200"/>
        <w:jc w:val="both"/>
        <w:textAlignment w:val="auto"/>
        <w:rPr>
          <w:rFonts w:hint="default" w:ascii="Times New Roman" w:hAnsi="Times New Roman" w:cs="Times New Roman"/>
          <w:color w:val="auto"/>
          <w:highlight w:val="none"/>
          <w:lang w:val="en-US" w:eastAsia="zh-CN"/>
        </w:rPr>
      </w:pPr>
    </w:p>
    <w:p w14:paraId="22EA3E0C">
      <w:pPr>
        <w:pageBreakBefore w:val="0"/>
        <w:widowControl w:val="0"/>
        <w:kinsoku/>
        <w:wordWrap/>
        <w:overflowPunct/>
        <w:autoSpaceDE/>
        <w:autoSpaceDN/>
        <w:bidi w:val="0"/>
        <w:snapToGrid/>
        <w:spacing w:line="572" w:lineRule="exact"/>
        <w:ind w:leftChars="0" w:firstLine="640" w:firstLineChars="200"/>
        <w:textAlignment w:val="auto"/>
        <w:rPr>
          <w:rFonts w:hint="default" w:ascii="Times New Roman" w:hAnsi="Times New Roman" w:cs="Times New Roman"/>
        </w:rPr>
      </w:pPr>
    </w:p>
    <w:sectPr>
      <w:footerReference r:id="rId5" w:type="default"/>
      <w:pgSz w:w="11906" w:h="16838"/>
      <w:pgMar w:top="1417" w:right="1417" w:bottom="1417" w:left="1417" w:header="851" w:footer="992" w:gutter="0"/>
      <w:pgNumType w:fmt="decimal"/>
      <w:cols w:space="0" w:num="1"/>
      <w:rtlGutter w:val="0"/>
      <w:docGrid w:type="lines" w:linePitch="447"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方正小标宋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1EAACA">
    <w:pPr>
      <w:pStyle w:val="9"/>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F76231">
                          <w:pPr>
                            <w:pStyle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- 1 -</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AF76231">
                    <w:pPr>
                      <w:pStyle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- 1 -</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F32CE1"/>
    <w:multiLevelType w:val="singleLevel"/>
    <w:tmpl w:val="C6F32CE1"/>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E72697"/>
    <w:rsid w:val="006B4F71"/>
    <w:rsid w:val="02777CE9"/>
    <w:rsid w:val="035D5A5E"/>
    <w:rsid w:val="04F2350D"/>
    <w:rsid w:val="05C375AD"/>
    <w:rsid w:val="06F75688"/>
    <w:rsid w:val="070320C5"/>
    <w:rsid w:val="07DD41DF"/>
    <w:rsid w:val="0BE819FF"/>
    <w:rsid w:val="0DA305A4"/>
    <w:rsid w:val="0E591116"/>
    <w:rsid w:val="0FF00FEF"/>
    <w:rsid w:val="128F7902"/>
    <w:rsid w:val="14A31D6F"/>
    <w:rsid w:val="1508141A"/>
    <w:rsid w:val="155A7A15"/>
    <w:rsid w:val="168A36E1"/>
    <w:rsid w:val="19C05ED6"/>
    <w:rsid w:val="1A6C41CE"/>
    <w:rsid w:val="1C2F0355"/>
    <w:rsid w:val="1C445FD5"/>
    <w:rsid w:val="1D2B6E59"/>
    <w:rsid w:val="1FD9525B"/>
    <w:rsid w:val="22636131"/>
    <w:rsid w:val="22855BFA"/>
    <w:rsid w:val="22883309"/>
    <w:rsid w:val="233D5EA2"/>
    <w:rsid w:val="23BF7EAE"/>
    <w:rsid w:val="25194B68"/>
    <w:rsid w:val="25D36A8D"/>
    <w:rsid w:val="2647305C"/>
    <w:rsid w:val="26F369C8"/>
    <w:rsid w:val="29406294"/>
    <w:rsid w:val="296172C3"/>
    <w:rsid w:val="2A285A58"/>
    <w:rsid w:val="2C7A3CC3"/>
    <w:rsid w:val="310A77EA"/>
    <w:rsid w:val="31A63D65"/>
    <w:rsid w:val="31BB047F"/>
    <w:rsid w:val="31CF3AF9"/>
    <w:rsid w:val="32062175"/>
    <w:rsid w:val="32FB46AB"/>
    <w:rsid w:val="35203A66"/>
    <w:rsid w:val="35310367"/>
    <w:rsid w:val="3583330E"/>
    <w:rsid w:val="35D150F8"/>
    <w:rsid w:val="38A84D25"/>
    <w:rsid w:val="39C7402F"/>
    <w:rsid w:val="3A4956B9"/>
    <w:rsid w:val="3C53056C"/>
    <w:rsid w:val="3CA60B04"/>
    <w:rsid w:val="3F6BF978"/>
    <w:rsid w:val="42672AE3"/>
    <w:rsid w:val="43370708"/>
    <w:rsid w:val="453C4885"/>
    <w:rsid w:val="45796DB6"/>
    <w:rsid w:val="469C06B9"/>
    <w:rsid w:val="47E260CD"/>
    <w:rsid w:val="497ABE99"/>
    <w:rsid w:val="4A2A4B22"/>
    <w:rsid w:val="4EE45347"/>
    <w:rsid w:val="4F4A6568"/>
    <w:rsid w:val="4F685DE5"/>
    <w:rsid w:val="50C8299F"/>
    <w:rsid w:val="527D5ABF"/>
    <w:rsid w:val="531B7010"/>
    <w:rsid w:val="537C1B31"/>
    <w:rsid w:val="557B0928"/>
    <w:rsid w:val="55A51501"/>
    <w:rsid w:val="57035747"/>
    <w:rsid w:val="572A7F10"/>
    <w:rsid w:val="58496ABB"/>
    <w:rsid w:val="59030A18"/>
    <w:rsid w:val="59232E69"/>
    <w:rsid w:val="5AB87F28"/>
    <w:rsid w:val="5BCC3C8B"/>
    <w:rsid w:val="5D1D433F"/>
    <w:rsid w:val="5DBF4567"/>
    <w:rsid w:val="5DC55363"/>
    <w:rsid w:val="5E320B16"/>
    <w:rsid w:val="5EF7CACF"/>
    <w:rsid w:val="5F5ACB30"/>
    <w:rsid w:val="5FFF6DD3"/>
    <w:rsid w:val="602D281F"/>
    <w:rsid w:val="626649DD"/>
    <w:rsid w:val="64F100E3"/>
    <w:rsid w:val="653B3C30"/>
    <w:rsid w:val="66D96AB2"/>
    <w:rsid w:val="699925C6"/>
    <w:rsid w:val="6AFFF802"/>
    <w:rsid w:val="6CE72697"/>
    <w:rsid w:val="6DE33A38"/>
    <w:rsid w:val="6FBF2CC9"/>
    <w:rsid w:val="70ED731B"/>
    <w:rsid w:val="71ED1E0E"/>
    <w:rsid w:val="735859AD"/>
    <w:rsid w:val="7379019B"/>
    <w:rsid w:val="73864413"/>
    <w:rsid w:val="73B7B392"/>
    <w:rsid w:val="74D6302D"/>
    <w:rsid w:val="757470EF"/>
    <w:rsid w:val="75B15184"/>
    <w:rsid w:val="7650620D"/>
    <w:rsid w:val="76FD33E8"/>
    <w:rsid w:val="771EE7F1"/>
    <w:rsid w:val="776E1C43"/>
    <w:rsid w:val="77FBF49A"/>
    <w:rsid w:val="79B72D0C"/>
    <w:rsid w:val="7BF7974A"/>
    <w:rsid w:val="7BFF9C9B"/>
    <w:rsid w:val="7C1F1FB0"/>
    <w:rsid w:val="7C307E78"/>
    <w:rsid w:val="7CFD8A7E"/>
    <w:rsid w:val="7D0401DC"/>
    <w:rsid w:val="7DBE4BC6"/>
    <w:rsid w:val="7DBFE583"/>
    <w:rsid w:val="7E6924EF"/>
    <w:rsid w:val="7E9DB151"/>
    <w:rsid w:val="7F307D3A"/>
    <w:rsid w:val="7F86AE95"/>
    <w:rsid w:val="7FCFA935"/>
    <w:rsid w:val="96C5CC3C"/>
    <w:rsid w:val="9ADC6B5A"/>
    <w:rsid w:val="A5755827"/>
    <w:rsid w:val="B3EDB98B"/>
    <w:rsid w:val="B6FF43D4"/>
    <w:rsid w:val="B7FF12DD"/>
    <w:rsid w:val="BAEF4221"/>
    <w:rsid w:val="BF6F944F"/>
    <w:rsid w:val="BF7FABE6"/>
    <w:rsid w:val="BFDFBC2D"/>
    <w:rsid w:val="D5DB56D8"/>
    <w:rsid w:val="D7FDA038"/>
    <w:rsid w:val="DD7F8BEF"/>
    <w:rsid w:val="DDDF4FCF"/>
    <w:rsid w:val="DF7715C7"/>
    <w:rsid w:val="EFFE67CE"/>
    <w:rsid w:val="F3DD2FE6"/>
    <w:rsid w:val="F7CD5AF6"/>
    <w:rsid w:val="F7FF0D4B"/>
    <w:rsid w:val="F7FF5A0D"/>
    <w:rsid w:val="F959B232"/>
    <w:rsid w:val="FBB39353"/>
    <w:rsid w:val="FBDF8CCC"/>
    <w:rsid w:val="FBFB6496"/>
    <w:rsid w:val="FDE4C943"/>
    <w:rsid w:val="FEBFAF9D"/>
    <w:rsid w:val="FF576BA0"/>
    <w:rsid w:val="FFBFD690"/>
    <w:rsid w:val="FFF72B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qFormat="1"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72" w:lineRule="exact"/>
      <w:ind w:firstLine="560" w:firstLineChars="200"/>
      <w:jc w:val="both"/>
    </w:pPr>
    <w:rPr>
      <w:rFonts w:ascii="Times New Roman" w:hAnsi="Times New Roman" w:eastAsia="仿宋_GB2312" w:cstheme="minorBidi"/>
      <w:kern w:val="2"/>
      <w:sz w:val="32"/>
      <w:szCs w:val="24"/>
      <w:lang w:val="en-US" w:eastAsia="zh-CN" w:bidi="ar-SA"/>
    </w:rPr>
  </w:style>
  <w:style w:type="paragraph" w:styleId="2">
    <w:name w:val="heading 1"/>
    <w:basedOn w:val="1"/>
    <w:next w:val="1"/>
    <w:qFormat/>
    <w:uiPriority w:val="0"/>
    <w:pPr>
      <w:keepNext/>
      <w:keepLines/>
      <w:spacing w:beforeLines="0" w:beforeAutospacing="0" w:afterLines="0" w:afterAutospacing="0" w:line="572" w:lineRule="exact"/>
      <w:ind w:firstLine="883" w:firstLineChars="200"/>
      <w:jc w:val="left"/>
      <w:outlineLvl w:val="0"/>
    </w:pPr>
    <w:rPr>
      <w:rFonts w:eastAsia="黑体"/>
      <w:kern w:val="44"/>
    </w:rPr>
  </w:style>
  <w:style w:type="paragraph" w:styleId="3">
    <w:name w:val="heading 2"/>
    <w:basedOn w:val="1"/>
    <w:next w:val="1"/>
    <w:link w:val="18"/>
    <w:semiHidden/>
    <w:unhideWhenUsed/>
    <w:qFormat/>
    <w:uiPriority w:val="0"/>
    <w:pPr>
      <w:keepNext/>
      <w:keepLines/>
      <w:spacing w:beforeLines="0" w:beforeAutospacing="0" w:afterLines="0" w:afterAutospacing="0" w:line="572" w:lineRule="exact"/>
      <w:ind w:firstLine="640" w:firstLineChars="200"/>
      <w:jc w:val="left"/>
      <w:outlineLvl w:val="1"/>
    </w:pPr>
    <w:rPr>
      <w:rFonts w:eastAsia="楷体_GB2312"/>
      <w:b/>
    </w:rPr>
  </w:style>
  <w:style w:type="paragraph" w:styleId="4">
    <w:name w:val="heading 3"/>
    <w:basedOn w:val="1"/>
    <w:next w:val="1"/>
    <w:semiHidden/>
    <w:unhideWhenUsed/>
    <w:qFormat/>
    <w:uiPriority w:val="0"/>
    <w:pPr>
      <w:keepNext/>
      <w:keepLines/>
      <w:spacing w:beforeLines="0" w:beforeAutospacing="0" w:afterLines="0" w:afterAutospacing="0" w:line="572" w:lineRule="exact"/>
      <w:ind w:firstLine="640" w:firstLineChars="200"/>
      <w:jc w:val="left"/>
      <w:outlineLvl w:val="2"/>
    </w:pPr>
    <w:rPr>
      <w:b/>
    </w:rPr>
  </w:style>
  <w:style w:type="paragraph" w:styleId="5">
    <w:name w:val="heading 4"/>
    <w:basedOn w:val="1"/>
    <w:next w:val="1"/>
    <w:semiHidden/>
    <w:unhideWhenUsed/>
    <w:qFormat/>
    <w:uiPriority w:val="0"/>
    <w:pPr>
      <w:keepNext/>
      <w:keepLines/>
      <w:spacing w:beforeLines="0" w:beforeAutospacing="0" w:afterLines="0" w:afterAutospacing="0" w:line="600" w:lineRule="exact"/>
      <w:ind w:firstLine="0" w:firstLineChars="0"/>
      <w:jc w:val="center"/>
      <w:outlineLvl w:val="3"/>
    </w:pPr>
    <w:rPr>
      <w:rFonts w:ascii="Times New Roman" w:hAnsi="Times New Roman" w:eastAsia="楷体_GB2312"/>
      <w:b/>
    </w:rPr>
  </w:style>
  <w:style w:type="character" w:default="1" w:styleId="15">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6">
    <w:name w:val="Body Text"/>
    <w:basedOn w:val="1"/>
    <w:qFormat/>
    <w:uiPriority w:val="0"/>
    <w:pPr>
      <w:spacing w:after="120" w:afterLines="0" w:afterAutospacing="0"/>
    </w:pPr>
  </w:style>
  <w:style w:type="paragraph" w:styleId="7">
    <w:name w:val="Body Text Indent"/>
    <w:basedOn w:val="1"/>
    <w:next w:val="8"/>
    <w:unhideWhenUsed/>
    <w:qFormat/>
    <w:uiPriority w:val="99"/>
    <w:pPr>
      <w:spacing w:after="120"/>
      <w:ind w:left="420" w:leftChars="200"/>
    </w:pPr>
  </w:style>
  <w:style w:type="paragraph" w:styleId="8">
    <w:name w:val="index 7"/>
    <w:basedOn w:val="1"/>
    <w:next w:val="1"/>
    <w:qFormat/>
    <w:uiPriority w:val="0"/>
    <w:pPr>
      <w:ind w:left="2520"/>
    </w:pPr>
  </w:style>
  <w:style w:type="paragraph" w:styleId="9">
    <w:name w:val="footer"/>
    <w:basedOn w:val="1"/>
    <w:qFormat/>
    <w:uiPriority w:val="0"/>
    <w:pPr>
      <w:tabs>
        <w:tab w:val="center" w:pos="4153"/>
        <w:tab w:val="right" w:pos="8306"/>
      </w:tabs>
      <w:snapToGrid w:val="0"/>
      <w:ind w:firstLine="0" w:firstLineChars="0"/>
      <w:jc w:val="left"/>
    </w:pPr>
    <w:rPr>
      <w:sz w:val="21"/>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2">
    <w:name w:val="Body Text First Indent"/>
    <w:basedOn w:val="6"/>
    <w:qFormat/>
    <w:uiPriority w:val="0"/>
    <w:pPr>
      <w:ind w:firstLine="420" w:firstLineChars="100"/>
    </w:pPr>
  </w:style>
  <w:style w:type="paragraph" w:styleId="13">
    <w:name w:val="Body Text First Indent 2"/>
    <w:basedOn w:val="7"/>
    <w:next w:val="1"/>
    <w:unhideWhenUsed/>
    <w:qFormat/>
    <w:uiPriority w:val="99"/>
    <w:pPr>
      <w:ind w:firstLine="420" w:firstLineChars="200"/>
    </w:pPr>
  </w:style>
  <w:style w:type="paragraph" w:customStyle="1" w:styleId="16">
    <w:name w:val="正文-公1"/>
    <w:basedOn w:val="1"/>
    <w:next w:val="1"/>
    <w:qFormat/>
    <w:uiPriority w:val="0"/>
    <w:pPr>
      <w:ind w:firstLine="200" w:firstLineChars="200"/>
    </w:pPr>
    <w:rPr>
      <w:rFonts w:ascii="Calibri" w:hAnsi="Calibri" w:cs="Arial"/>
      <w:szCs w:val="20"/>
    </w:rPr>
  </w:style>
  <w:style w:type="paragraph" w:customStyle="1" w:styleId="17">
    <w:name w:val="正文标题"/>
    <w:basedOn w:val="1"/>
    <w:next w:val="1"/>
    <w:qFormat/>
    <w:uiPriority w:val="0"/>
    <w:pPr>
      <w:ind w:firstLine="0" w:firstLineChars="0"/>
      <w:jc w:val="center"/>
    </w:pPr>
    <w:rPr>
      <w:rFonts w:hint="eastAsia" w:ascii="Times New Roman" w:hAnsi="Times New Roman" w:eastAsia="方正小标宋简体"/>
      <w:sz w:val="44"/>
    </w:rPr>
  </w:style>
  <w:style w:type="character" w:customStyle="1" w:styleId="18">
    <w:name w:val="标题 2 Char"/>
    <w:link w:val="3"/>
    <w:qFormat/>
    <w:uiPriority w:val="0"/>
    <w:rPr>
      <w:rFonts w:ascii="Times New Roman" w:hAnsi="Times New Roman" w:eastAsia="楷体_GB2312"/>
      <w:b/>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2755</Words>
  <Characters>2810</Characters>
  <Lines>0</Lines>
  <Paragraphs>0</Paragraphs>
  <TotalTime>4</TotalTime>
  <ScaleCrop>false</ScaleCrop>
  <LinksUpToDate>false</LinksUpToDate>
  <CharactersWithSpaces>2812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2026-04-22T17:26:00Z</dcterms:created>
  <dc:creator>张</dc:creator>
  <cp:lastModifiedBy>西红</cp:lastModifiedBy>
  <dcterms:modified xsi:type="dcterms:W3CDTF">2026-04-29T09:04:52Z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AA2F02206DEFB03AFF62F169835865A1_43</vt:lpwstr>
  </property>
  <property fmtid="{D5CDD505-2E9C-101B-9397-08002B2CF9AE}" pid="4" name="KSOTemplateDocerSaveRecord">
    <vt:lpwstr>eyJoZGlkIjoiOTIwOGNiODQ1NmE4ZGE5NTY1YTY2OWVhOGQwODRiYTQiLCJ1c2VySWQiOiI3NTU5OTkzNjcifQ==</vt:lpwstr>
  </property>
</Properties>
</file>