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Microsoft YaHei UI"/>
          <w:i w:val="0"/>
          <w:iCs w:val="0"/>
          <w:caps w:val="0"/>
          <w:color w:val="auto"/>
          <w:spacing w:val="8"/>
          <w:sz w:val="32"/>
          <w:szCs w:val="24"/>
          <w:shd w:val="clear" w:color="auto" w:fill="FFFFFF"/>
        </w:rPr>
      </w:pPr>
      <w:bookmarkStart w:id="0" w:name="_GoBack"/>
      <w:bookmarkEnd w:id="0"/>
      <w:r>
        <w:rPr>
          <w:rFonts w:hint="eastAsia" w:ascii="Times New Roman" w:hAnsi="Times New Roman" w:eastAsia="仿宋_GB2312"/>
          <w:color w:val="auto"/>
          <w:sz w:val="32"/>
          <w:lang w:val="en-US" w:eastAsia="zh-CN"/>
        </w:rPr>
        <w:t>附件2：</w:t>
      </w:r>
    </w:p>
    <w:p>
      <w:pPr>
        <w:spacing w:line="600" w:lineRule="exact"/>
        <w:jc w:val="center"/>
        <w:rPr>
          <w:rFonts w:ascii="华文中宋" w:hAnsi="华文中宋" w:eastAsia="华文中宋"/>
          <w:color w:val="auto"/>
          <w:sz w:val="44"/>
          <w:szCs w:val="44"/>
          <w:shd w:val="clear" w:color="auto" w:fill="FFFFFF"/>
        </w:rPr>
      </w:pPr>
      <w:r>
        <w:rPr>
          <w:rFonts w:hint="eastAsia" w:ascii="方正小标宋_GBK" w:hAnsi="方正小标宋_GBK" w:eastAsia="方正小标宋_GBK" w:cs="方正小标宋_GBK"/>
          <w:color w:val="auto"/>
          <w:sz w:val="44"/>
          <w:szCs w:val="36"/>
          <w:lang w:val="en-US" w:eastAsia="zh-CN"/>
        </w:rPr>
        <w:t>河南省消防安全重点单位界定标准</w:t>
      </w:r>
    </w:p>
    <w:p>
      <w:pPr>
        <w:spacing w:line="600" w:lineRule="exact"/>
        <w:rPr>
          <w:rFonts w:ascii="华文中宋" w:hAnsi="华文中宋" w:eastAsia="华文中宋"/>
          <w:color w:val="auto"/>
          <w:sz w:val="44"/>
          <w:szCs w:val="44"/>
        </w:rPr>
      </w:pPr>
    </w:p>
    <w:p>
      <w:pPr>
        <w:spacing w:line="600" w:lineRule="exact"/>
        <w:ind w:firstLine="640" w:firstLineChars="200"/>
        <w:rPr>
          <w:rFonts w:ascii="黑体" w:hAnsi="Arial" w:eastAsia="黑体"/>
          <w:color w:val="auto"/>
          <w:sz w:val="32"/>
          <w:szCs w:val="32"/>
        </w:rPr>
      </w:pPr>
      <w:r>
        <w:rPr>
          <w:rFonts w:hint="eastAsia" w:ascii="黑体" w:hAnsi="Arial" w:eastAsia="黑体" w:cs="黑体"/>
          <w:color w:val="auto"/>
          <w:sz w:val="32"/>
          <w:szCs w:val="32"/>
          <w:shd w:val="clear" w:color="auto" w:fill="FFFFFF"/>
        </w:rPr>
        <w:t>一、宾馆、饭店、商场、集贸市场、体育场馆、会堂、公共娱乐场所等公众聚集场所：</w:t>
      </w:r>
    </w:p>
    <w:p>
      <w:pPr>
        <w:spacing w:line="600" w:lineRule="exact"/>
        <w:ind w:firstLine="640" w:firstLineChars="200"/>
        <w:rPr>
          <w:rFonts w:ascii="仿宋_GB2312" w:hAnsi="Arial" w:eastAsia="仿宋_GB2312"/>
          <w:color w:val="auto"/>
          <w:sz w:val="32"/>
          <w:szCs w:val="32"/>
          <w:shd w:val="clear" w:color="auto" w:fill="FFFFFF"/>
        </w:rPr>
      </w:pPr>
      <w:r>
        <w:rPr>
          <w:rFonts w:hint="eastAsia" w:ascii="仿宋_GB2312" w:hAnsi="Arial" w:eastAsia="仿宋_GB2312" w:cs="仿宋_GB2312"/>
          <w:color w:val="auto"/>
          <w:sz w:val="32"/>
          <w:szCs w:val="32"/>
          <w:shd w:val="clear" w:color="auto" w:fill="FFFFFF"/>
        </w:rPr>
        <w:t>（一）建筑面积在</w:t>
      </w:r>
      <w:r>
        <w:rPr>
          <w:rFonts w:ascii="仿宋_GB2312" w:hAnsi="Arial" w:eastAsia="仿宋_GB2312" w:cs="仿宋_GB2312"/>
          <w:color w:val="auto"/>
          <w:sz w:val="32"/>
          <w:szCs w:val="32"/>
          <w:shd w:val="clear" w:color="auto" w:fill="FFFFFF"/>
        </w:rPr>
        <w:t>1000</w:t>
      </w:r>
      <w:r>
        <w:rPr>
          <w:rFonts w:hint="eastAsia" w:ascii="仿宋_GB2312" w:hAnsi="Arial" w:eastAsia="仿宋_GB2312" w:cs="仿宋_GB2312"/>
          <w:color w:val="auto"/>
          <w:sz w:val="32"/>
          <w:szCs w:val="32"/>
          <w:shd w:val="clear" w:color="auto" w:fill="FFFFFF"/>
        </w:rPr>
        <w:t>平方米（含本数，下同）以上且经营可燃商品的商场、集贸市场；</w:t>
      </w:r>
    </w:p>
    <w:p>
      <w:pPr>
        <w:spacing w:line="600" w:lineRule="exact"/>
        <w:ind w:firstLine="640" w:firstLineChars="200"/>
        <w:rPr>
          <w:rFonts w:ascii="仿宋_GB2312" w:hAnsi="Arial" w:eastAsia="仿宋_GB2312"/>
          <w:color w:val="auto"/>
          <w:sz w:val="32"/>
          <w:szCs w:val="32"/>
          <w:shd w:val="clear" w:color="auto" w:fill="FFFFFF"/>
        </w:rPr>
      </w:pPr>
      <w:r>
        <w:rPr>
          <w:rFonts w:hint="eastAsia" w:ascii="仿宋_GB2312" w:hAnsi="Arial" w:eastAsia="仿宋_GB2312" w:cs="仿宋_GB2312"/>
          <w:color w:val="auto"/>
          <w:sz w:val="32"/>
          <w:szCs w:val="32"/>
          <w:shd w:val="clear" w:color="auto" w:fill="FFFFFF"/>
        </w:rPr>
        <w:t>（二）客房数在</w:t>
      </w:r>
      <w:r>
        <w:rPr>
          <w:rFonts w:ascii="仿宋_GB2312" w:hAnsi="Arial" w:eastAsia="仿宋_GB2312" w:cs="仿宋_GB2312"/>
          <w:color w:val="auto"/>
          <w:sz w:val="32"/>
          <w:szCs w:val="32"/>
          <w:shd w:val="clear" w:color="auto" w:fill="FFFFFF"/>
        </w:rPr>
        <w:t>50</w:t>
      </w:r>
      <w:r>
        <w:rPr>
          <w:rFonts w:hint="eastAsia" w:ascii="仿宋_GB2312" w:hAnsi="Arial" w:eastAsia="仿宋_GB2312" w:cs="仿宋_GB2312"/>
          <w:color w:val="auto"/>
          <w:sz w:val="32"/>
          <w:szCs w:val="32"/>
          <w:shd w:val="clear" w:color="auto" w:fill="FFFFFF"/>
        </w:rPr>
        <w:t>间以上，或客房数在</w:t>
      </w:r>
      <w:r>
        <w:rPr>
          <w:rFonts w:ascii="仿宋_GB2312" w:hAnsi="Arial" w:eastAsia="仿宋_GB2312" w:cs="仿宋_GB2312"/>
          <w:color w:val="auto"/>
          <w:sz w:val="32"/>
          <w:szCs w:val="32"/>
          <w:shd w:val="clear" w:color="auto" w:fill="FFFFFF"/>
        </w:rPr>
        <w:t>50</w:t>
      </w:r>
      <w:r>
        <w:rPr>
          <w:rFonts w:hint="eastAsia" w:ascii="仿宋_GB2312" w:hAnsi="Arial" w:eastAsia="仿宋_GB2312" w:cs="仿宋_GB2312"/>
          <w:color w:val="auto"/>
          <w:sz w:val="32"/>
          <w:szCs w:val="32"/>
          <w:shd w:val="clear" w:color="auto" w:fill="FFFFFF"/>
        </w:rPr>
        <w:t>间以下但设有商场、歌舞娱乐、餐饮场所等且建筑面积大于</w:t>
      </w:r>
      <w:r>
        <w:rPr>
          <w:rFonts w:ascii="仿宋_GB2312" w:hAnsi="Arial" w:eastAsia="仿宋_GB2312" w:cs="仿宋_GB2312"/>
          <w:color w:val="auto"/>
          <w:sz w:val="32"/>
          <w:szCs w:val="32"/>
          <w:shd w:val="clear" w:color="auto" w:fill="FFFFFF"/>
        </w:rPr>
        <w:t>2000</w:t>
      </w:r>
      <w:r>
        <w:rPr>
          <w:rFonts w:hint="eastAsia" w:ascii="仿宋_GB2312" w:hAnsi="Arial" w:eastAsia="仿宋_GB2312" w:cs="仿宋_GB2312"/>
          <w:color w:val="auto"/>
          <w:sz w:val="32"/>
          <w:szCs w:val="32"/>
          <w:shd w:val="clear" w:color="auto" w:fill="FFFFFF"/>
        </w:rPr>
        <w:t>平方米的宾馆、饭店；</w:t>
      </w:r>
    </w:p>
    <w:p>
      <w:pPr>
        <w:spacing w:line="600" w:lineRule="exact"/>
        <w:ind w:firstLine="640" w:firstLineChars="200"/>
        <w:rPr>
          <w:rFonts w:ascii="仿宋_GB2312" w:hAnsi="Arial" w:eastAsia="仿宋_GB2312"/>
          <w:color w:val="auto"/>
          <w:sz w:val="32"/>
          <w:szCs w:val="32"/>
          <w:shd w:val="clear" w:color="auto" w:fill="FFFFFF"/>
        </w:rPr>
      </w:pPr>
      <w:r>
        <w:rPr>
          <w:rFonts w:hint="eastAsia" w:ascii="仿宋_GB2312" w:hAnsi="Arial" w:eastAsia="仿宋_GB2312" w:cs="仿宋_GB2312"/>
          <w:color w:val="auto"/>
          <w:sz w:val="32"/>
          <w:szCs w:val="32"/>
          <w:shd w:val="clear" w:color="auto" w:fill="FFFFFF"/>
        </w:rPr>
        <w:t>（三）公共的体育场馆、会堂；</w:t>
      </w:r>
    </w:p>
    <w:p>
      <w:pPr>
        <w:spacing w:line="600" w:lineRule="exact"/>
        <w:ind w:firstLine="640" w:firstLineChars="20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（四）建筑面积在</w:t>
      </w:r>
      <w:r>
        <w:rPr>
          <w:rFonts w:ascii="仿宋_GB2312" w:hAnsi="Arial" w:eastAsia="仿宋_GB2312" w:cs="仿宋_GB2312"/>
          <w:color w:val="auto"/>
          <w:sz w:val="32"/>
          <w:szCs w:val="32"/>
          <w:shd w:val="clear" w:color="auto" w:fill="FFFFFF"/>
        </w:rPr>
        <w:t>200</w:t>
      </w:r>
      <w:r>
        <w:rPr>
          <w:rFonts w:hint="eastAsia" w:ascii="仿宋_GB2312" w:hAnsi="Arial" w:eastAsia="仿宋_GB2312" w:cs="仿宋_GB2312"/>
          <w:color w:val="auto"/>
          <w:sz w:val="32"/>
          <w:szCs w:val="32"/>
          <w:shd w:val="clear" w:color="auto" w:fill="FFFFFF"/>
        </w:rPr>
        <w:t>平方米以上的下列室内公共娱乐场所：</w:t>
      </w:r>
    </w:p>
    <w:p>
      <w:pPr>
        <w:spacing w:line="600" w:lineRule="exact"/>
        <w:ind w:firstLine="800" w:firstLineChars="250"/>
        <w:rPr>
          <w:rFonts w:ascii="仿宋_GB2312" w:hAnsi="Arial" w:eastAsia="仿宋_GB2312"/>
          <w:color w:val="auto"/>
          <w:sz w:val="32"/>
          <w:szCs w:val="32"/>
        </w:rPr>
      </w:pPr>
      <w:r>
        <w:rPr>
          <w:rFonts w:ascii="仿宋_GB2312" w:hAnsi="Arial" w:eastAsia="仿宋_GB2312" w:cs="仿宋_GB2312"/>
          <w:color w:val="auto"/>
          <w:sz w:val="32"/>
          <w:szCs w:val="32"/>
          <w:shd w:val="clear" w:color="auto" w:fill="FFFFFF"/>
        </w:rPr>
        <w:t>1.</w:t>
      </w:r>
      <w:r>
        <w:rPr>
          <w:rFonts w:hint="eastAsia" w:ascii="仿宋_GB2312" w:hAnsi="Arial" w:eastAsia="仿宋_GB2312" w:cs="仿宋_GB2312"/>
          <w:color w:val="auto"/>
          <w:sz w:val="32"/>
          <w:szCs w:val="32"/>
          <w:shd w:val="clear" w:color="auto" w:fill="FFFFFF"/>
        </w:rPr>
        <w:t>影剧院、放映厅、礼堂等演出放映场所；</w:t>
      </w:r>
    </w:p>
    <w:p>
      <w:pPr>
        <w:spacing w:line="600" w:lineRule="exact"/>
        <w:ind w:firstLine="800" w:firstLineChars="250"/>
        <w:rPr>
          <w:rFonts w:ascii="仿宋_GB2312" w:hAnsi="Arial" w:eastAsia="仿宋_GB2312"/>
          <w:color w:val="auto"/>
          <w:sz w:val="32"/>
          <w:szCs w:val="32"/>
        </w:rPr>
      </w:pPr>
      <w:r>
        <w:rPr>
          <w:rFonts w:ascii="仿宋_GB2312" w:hAnsi="Arial" w:eastAsia="仿宋_GB2312" w:cs="仿宋_GB2312"/>
          <w:color w:val="auto"/>
          <w:sz w:val="32"/>
          <w:szCs w:val="32"/>
          <w:shd w:val="clear" w:color="auto" w:fill="FFFFFF"/>
        </w:rPr>
        <w:t>2.</w:t>
      </w:r>
      <w:r>
        <w:rPr>
          <w:rFonts w:hint="eastAsia" w:ascii="仿宋_GB2312" w:hAnsi="Arial" w:eastAsia="仿宋_GB2312" w:cs="仿宋_GB2312"/>
          <w:color w:val="auto"/>
          <w:sz w:val="32"/>
          <w:szCs w:val="32"/>
          <w:shd w:val="clear" w:color="auto" w:fill="FFFFFF"/>
        </w:rPr>
        <w:t>舞厅、</w:t>
      </w:r>
      <w:r>
        <w:rPr>
          <w:rFonts w:ascii="仿宋_GB2312" w:hAnsi="Arial" w:eastAsia="仿宋_GB2312" w:cs="仿宋_GB2312"/>
          <w:color w:val="auto"/>
          <w:sz w:val="32"/>
          <w:szCs w:val="32"/>
          <w:shd w:val="clear" w:color="auto" w:fill="FFFFFF"/>
        </w:rPr>
        <w:t>KTV</w:t>
      </w:r>
      <w:r>
        <w:rPr>
          <w:rFonts w:hint="eastAsia" w:ascii="仿宋_GB2312" w:hAnsi="Arial" w:eastAsia="仿宋_GB2312" w:cs="仿宋_GB2312"/>
          <w:color w:val="auto"/>
          <w:sz w:val="32"/>
          <w:szCs w:val="32"/>
          <w:shd w:val="clear" w:color="auto" w:fill="FFFFFF"/>
        </w:rPr>
        <w:t>等歌舞娱乐场所；</w:t>
      </w:r>
    </w:p>
    <w:p>
      <w:pPr>
        <w:spacing w:line="600" w:lineRule="exact"/>
        <w:ind w:firstLine="800" w:firstLineChars="250"/>
        <w:rPr>
          <w:rFonts w:ascii="仿宋_GB2312" w:hAnsi="Arial" w:eastAsia="仿宋_GB2312"/>
          <w:color w:val="auto"/>
          <w:sz w:val="32"/>
          <w:szCs w:val="32"/>
        </w:rPr>
      </w:pPr>
      <w:r>
        <w:rPr>
          <w:rFonts w:ascii="仿宋_GB2312" w:hAnsi="Arial" w:eastAsia="仿宋_GB2312" w:cs="仿宋_GB2312"/>
          <w:color w:val="auto"/>
          <w:sz w:val="32"/>
          <w:szCs w:val="32"/>
          <w:shd w:val="clear" w:color="auto" w:fill="FFFFFF"/>
        </w:rPr>
        <w:t>3.</w:t>
      </w:r>
      <w:r>
        <w:rPr>
          <w:rFonts w:hint="eastAsia" w:ascii="仿宋_GB2312" w:hAnsi="Arial" w:eastAsia="仿宋_GB2312" w:cs="仿宋_GB2312"/>
          <w:color w:val="auto"/>
          <w:sz w:val="32"/>
          <w:szCs w:val="32"/>
          <w:shd w:val="clear" w:color="auto" w:fill="FFFFFF"/>
        </w:rPr>
        <w:t>具有娱乐功能的夜总会、音乐茶座和餐饮场所；</w:t>
      </w:r>
    </w:p>
    <w:p>
      <w:pPr>
        <w:spacing w:line="600" w:lineRule="exact"/>
        <w:ind w:firstLine="800" w:firstLineChars="250"/>
        <w:rPr>
          <w:rFonts w:ascii="仿宋_GB2312" w:hAnsi="Arial" w:eastAsia="仿宋_GB2312"/>
          <w:color w:val="auto"/>
          <w:sz w:val="32"/>
          <w:szCs w:val="32"/>
          <w:shd w:val="clear" w:color="auto" w:fill="FFFFFF"/>
        </w:rPr>
      </w:pPr>
      <w:r>
        <w:rPr>
          <w:rFonts w:ascii="仿宋_GB2312" w:hAnsi="Arial" w:eastAsia="仿宋_GB2312" w:cs="仿宋_GB2312"/>
          <w:color w:val="auto"/>
          <w:sz w:val="32"/>
          <w:szCs w:val="32"/>
          <w:shd w:val="clear" w:color="auto" w:fill="FFFFFF"/>
        </w:rPr>
        <w:t>4.</w:t>
      </w:r>
      <w:r>
        <w:rPr>
          <w:rFonts w:hint="eastAsia" w:ascii="仿宋_GB2312" w:hAnsi="Arial" w:eastAsia="仿宋_GB2312" w:cs="仿宋_GB2312"/>
          <w:color w:val="auto"/>
          <w:sz w:val="32"/>
          <w:szCs w:val="32"/>
          <w:shd w:val="clear" w:color="auto" w:fill="FFFFFF"/>
        </w:rPr>
        <w:t>游艺、游乐场所；</w:t>
      </w:r>
    </w:p>
    <w:p>
      <w:pPr>
        <w:spacing w:line="600" w:lineRule="exact"/>
        <w:ind w:firstLine="800" w:firstLineChars="250"/>
        <w:rPr>
          <w:rFonts w:ascii="仿宋_GB2312" w:hAnsi="Arial" w:eastAsia="仿宋_GB2312"/>
          <w:color w:val="auto"/>
          <w:sz w:val="32"/>
          <w:szCs w:val="32"/>
          <w:shd w:val="clear" w:color="auto" w:fill="FFFFFF"/>
        </w:rPr>
      </w:pPr>
      <w:r>
        <w:rPr>
          <w:rFonts w:hint="eastAsia" w:ascii="仿宋_GB2312" w:hAnsi="Arial" w:eastAsia="仿宋_GB2312" w:cs="仿宋_GB2312"/>
          <w:color w:val="auto"/>
          <w:sz w:val="32"/>
          <w:szCs w:val="32"/>
          <w:shd w:val="clear" w:color="auto" w:fill="FFFFFF"/>
        </w:rPr>
        <w:t>（五）建筑面积在</w:t>
      </w:r>
      <w:r>
        <w:rPr>
          <w:rFonts w:ascii="仿宋_GB2312" w:hAnsi="Arial" w:eastAsia="仿宋_GB2312" w:cs="仿宋_GB2312"/>
          <w:color w:val="auto"/>
          <w:sz w:val="32"/>
          <w:szCs w:val="32"/>
          <w:shd w:val="clear" w:color="auto" w:fill="FFFFFF"/>
        </w:rPr>
        <w:t>500</w:t>
      </w:r>
      <w:r>
        <w:rPr>
          <w:rFonts w:hint="eastAsia" w:ascii="仿宋_GB2312" w:hAnsi="Arial" w:eastAsia="仿宋_GB2312" w:cs="仿宋_GB2312"/>
          <w:color w:val="auto"/>
          <w:sz w:val="32"/>
          <w:szCs w:val="32"/>
          <w:shd w:val="clear" w:color="auto" w:fill="FFFFFF"/>
        </w:rPr>
        <w:t>平方米以上的足浴、美容院、桑拿浴室（洗浴部分面积除外）等营业性健身、休闲场所。</w:t>
      </w:r>
    </w:p>
    <w:p>
      <w:pPr>
        <w:spacing w:line="600" w:lineRule="exact"/>
        <w:ind w:left="638" w:leftChars="304" w:firstLine="160" w:firstLineChars="50"/>
        <w:rPr>
          <w:rFonts w:ascii="黑体" w:hAnsi="Arial" w:eastAsia="黑体"/>
          <w:color w:val="auto"/>
          <w:sz w:val="32"/>
          <w:szCs w:val="32"/>
        </w:rPr>
      </w:pPr>
      <w:r>
        <w:rPr>
          <w:rFonts w:hint="eastAsia" w:ascii="黑体" w:hAnsi="Arial" w:eastAsia="黑体" w:cs="黑体"/>
          <w:color w:val="auto"/>
          <w:sz w:val="32"/>
          <w:szCs w:val="32"/>
          <w:shd w:val="clear" w:color="auto" w:fill="FFFFFF"/>
        </w:rPr>
        <w:t>二、医院、养老院和寄宿制的学校托儿所、幼儿园：</w:t>
      </w:r>
    </w:p>
    <w:p>
      <w:pPr>
        <w:spacing w:line="600" w:lineRule="exact"/>
        <w:ind w:firstLine="640" w:firstLineChars="20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（一）住院床位在</w:t>
      </w:r>
      <w:r>
        <w:rPr>
          <w:rFonts w:ascii="仿宋_GB2312" w:hAnsi="Arial" w:eastAsia="仿宋_GB2312" w:cs="仿宋_GB2312"/>
          <w:color w:val="auto"/>
          <w:sz w:val="32"/>
          <w:szCs w:val="32"/>
          <w:shd w:val="clear" w:color="auto" w:fill="FFFFFF"/>
        </w:rPr>
        <w:t>50</w:t>
      </w:r>
      <w:r>
        <w:rPr>
          <w:rFonts w:hint="eastAsia" w:ascii="仿宋_GB2312" w:hAnsi="Arial" w:eastAsia="仿宋_GB2312" w:cs="仿宋_GB2312"/>
          <w:color w:val="auto"/>
          <w:sz w:val="32"/>
          <w:szCs w:val="32"/>
          <w:shd w:val="clear" w:color="auto" w:fill="FFFFFF"/>
        </w:rPr>
        <w:t>张以上的医疗保健机构；</w:t>
      </w:r>
    </w:p>
    <w:p>
      <w:pPr>
        <w:spacing w:line="600" w:lineRule="exact"/>
        <w:ind w:firstLine="640" w:firstLineChars="20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（二）住宿床位在</w:t>
      </w:r>
      <w:r>
        <w:rPr>
          <w:rFonts w:ascii="仿宋_GB2312" w:hAnsi="Arial" w:eastAsia="仿宋_GB2312" w:cs="仿宋_GB2312"/>
          <w:color w:val="auto"/>
          <w:sz w:val="32"/>
          <w:szCs w:val="32"/>
          <w:shd w:val="clear" w:color="auto" w:fill="FFFFFF"/>
        </w:rPr>
        <w:t>50</w:t>
      </w:r>
      <w:r>
        <w:rPr>
          <w:rFonts w:hint="eastAsia" w:ascii="仿宋_GB2312" w:hAnsi="Arial" w:eastAsia="仿宋_GB2312" w:cs="仿宋_GB2312"/>
          <w:color w:val="auto"/>
          <w:sz w:val="32"/>
          <w:szCs w:val="32"/>
          <w:shd w:val="clear" w:color="auto" w:fill="FFFFFF"/>
        </w:rPr>
        <w:t>张以上的养老院、福利院；</w:t>
      </w:r>
    </w:p>
    <w:p>
      <w:pPr>
        <w:spacing w:line="600" w:lineRule="exact"/>
        <w:ind w:firstLine="640" w:firstLineChars="20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（三）学生住宿床位在</w:t>
      </w:r>
      <w:r>
        <w:rPr>
          <w:rFonts w:ascii="仿宋_GB2312" w:hAnsi="Arial" w:eastAsia="仿宋_GB2312" w:cs="仿宋_GB2312"/>
          <w:color w:val="auto"/>
          <w:sz w:val="32"/>
          <w:szCs w:val="32"/>
          <w:shd w:val="clear" w:color="auto" w:fill="FFFFFF"/>
        </w:rPr>
        <w:t>100</w:t>
      </w:r>
      <w:r>
        <w:rPr>
          <w:rFonts w:hint="eastAsia" w:ascii="仿宋_GB2312" w:hAnsi="Arial" w:eastAsia="仿宋_GB2312" w:cs="仿宋_GB2312"/>
          <w:color w:val="auto"/>
          <w:sz w:val="32"/>
          <w:szCs w:val="32"/>
          <w:shd w:val="clear" w:color="auto" w:fill="FFFFFF"/>
        </w:rPr>
        <w:t>张以上的学校；</w:t>
      </w:r>
    </w:p>
    <w:p>
      <w:pPr>
        <w:spacing w:line="600" w:lineRule="exact"/>
        <w:ind w:firstLine="640" w:firstLineChars="20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（四）幼儿住宿床位在</w:t>
      </w:r>
      <w:r>
        <w:rPr>
          <w:rFonts w:ascii="仿宋_GB2312" w:hAnsi="Arial" w:eastAsia="仿宋_GB2312" w:cs="仿宋_GB2312"/>
          <w:color w:val="auto"/>
          <w:sz w:val="32"/>
          <w:szCs w:val="32"/>
          <w:shd w:val="clear" w:color="auto" w:fill="FFFFFF"/>
        </w:rPr>
        <w:t>50</w:t>
      </w:r>
      <w:r>
        <w:rPr>
          <w:rFonts w:hint="eastAsia" w:ascii="仿宋_GB2312" w:hAnsi="Arial" w:eastAsia="仿宋_GB2312" w:cs="仿宋_GB2312"/>
          <w:color w:val="auto"/>
          <w:sz w:val="32"/>
          <w:szCs w:val="32"/>
          <w:shd w:val="clear" w:color="auto" w:fill="FFFFFF"/>
        </w:rPr>
        <w:t>张以上的托儿所、幼儿园。</w:t>
      </w:r>
    </w:p>
    <w:p>
      <w:pPr>
        <w:spacing w:line="600" w:lineRule="exact"/>
        <w:ind w:left="638" w:leftChars="304" w:firstLine="160" w:firstLineChars="50"/>
        <w:rPr>
          <w:rFonts w:ascii="黑体" w:hAnsi="Arial" w:eastAsia="黑体"/>
          <w:color w:val="auto"/>
          <w:sz w:val="32"/>
          <w:szCs w:val="32"/>
        </w:rPr>
      </w:pPr>
      <w:r>
        <w:rPr>
          <w:rFonts w:hint="eastAsia" w:ascii="黑体" w:hAnsi="Arial" w:eastAsia="黑体" w:cs="黑体"/>
          <w:color w:val="auto"/>
          <w:sz w:val="32"/>
          <w:szCs w:val="32"/>
          <w:shd w:val="clear" w:color="auto" w:fill="FFFFFF"/>
        </w:rPr>
        <w:t>三、国家机关：</w:t>
      </w:r>
    </w:p>
    <w:p>
      <w:pPr>
        <w:spacing w:line="600" w:lineRule="exact"/>
        <w:ind w:left="638" w:leftChars="304" w:firstLine="160" w:firstLineChars="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（一）县级以上的党委、人大、政府、政协；</w:t>
      </w:r>
    </w:p>
    <w:p>
      <w:pPr>
        <w:spacing w:line="600" w:lineRule="exact"/>
        <w:ind w:left="638" w:leftChars="304" w:firstLine="160" w:firstLineChars="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（二）县级以上的人民检察院、人民法院。</w:t>
      </w:r>
    </w:p>
    <w:p>
      <w:pPr>
        <w:spacing w:line="600" w:lineRule="exact"/>
        <w:ind w:left="638" w:leftChars="304" w:firstLine="160" w:firstLineChars="50"/>
        <w:rPr>
          <w:rFonts w:ascii="黑体" w:hAnsi="Arial" w:eastAsia="黑体"/>
          <w:color w:val="auto"/>
          <w:sz w:val="32"/>
          <w:szCs w:val="32"/>
        </w:rPr>
      </w:pPr>
      <w:r>
        <w:rPr>
          <w:rFonts w:hint="eastAsia" w:ascii="黑体" w:hAnsi="Arial" w:eastAsia="黑体" w:cs="黑体"/>
          <w:color w:val="auto"/>
          <w:sz w:val="32"/>
          <w:szCs w:val="32"/>
          <w:shd w:val="clear" w:color="auto" w:fill="FFFFFF"/>
        </w:rPr>
        <w:t>四、广播、电视和邮政、通信枢纽：</w:t>
      </w:r>
    </w:p>
    <w:p>
      <w:pPr>
        <w:spacing w:line="600" w:lineRule="exact"/>
        <w:ind w:left="638" w:leftChars="304" w:firstLine="160" w:firstLineChars="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（一）县级以上广播电台、电视台；</w:t>
      </w:r>
    </w:p>
    <w:p>
      <w:pPr>
        <w:spacing w:line="600" w:lineRule="exact"/>
        <w:ind w:left="638" w:leftChars="304" w:firstLine="160" w:firstLineChars="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（二）县级以上邮政、通信枢纽单位。</w:t>
      </w:r>
    </w:p>
    <w:p>
      <w:pPr>
        <w:spacing w:line="600" w:lineRule="exact"/>
        <w:ind w:left="638" w:leftChars="304" w:firstLine="160" w:firstLineChars="50"/>
        <w:rPr>
          <w:rFonts w:ascii="黑体" w:hAnsi="Arial" w:eastAsia="黑体"/>
          <w:color w:val="auto"/>
          <w:sz w:val="32"/>
          <w:szCs w:val="32"/>
        </w:rPr>
      </w:pPr>
      <w:r>
        <w:rPr>
          <w:rFonts w:hint="eastAsia" w:ascii="黑体" w:hAnsi="Arial" w:eastAsia="黑体" w:cs="黑体"/>
          <w:color w:val="auto"/>
          <w:sz w:val="32"/>
          <w:szCs w:val="32"/>
          <w:shd w:val="clear" w:color="auto" w:fill="FFFFFF"/>
        </w:rPr>
        <w:t>五、客运车站、码头、民用机场：</w:t>
      </w:r>
    </w:p>
    <w:p>
      <w:pPr>
        <w:spacing w:line="600" w:lineRule="exact"/>
        <w:ind w:firstLine="800" w:firstLineChars="250"/>
        <w:rPr>
          <w:rFonts w:ascii="仿宋_GB2312" w:hAnsi="Arial" w:eastAsia="仿宋_GB2312"/>
          <w:color w:val="auto"/>
          <w:sz w:val="32"/>
          <w:szCs w:val="32"/>
          <w:shd w:val="clear" w:color="auto" w:fill="FFFFFF"/>
        </w:rPr>
      </w:pPr>
      <w:r>
        <w:rPr>
          <w:rFonts w:hint="eastAsia" w:ascii="仿宋_GB2312" w:hAnsi="Arial" w:eastAsia="仿宋_GB2312" w:cs="仿宋_GB2312"/>
          <w:color w:val="auto"/>
          <w:sz w:val="32"/>
          <w:szCs w:val="32"/>
          <w:shd w:val="clear" w:color="auto" w:fill="FFFFFF"/>
        </w:rPr>
        <w:t>（一）建筑面积在</w:t>
      </w:r>
      <w:r>
        <w:rPr>
          <w:rFonts w:ascii="仿宋_GB2312" w:hAnsi="Arial" w:eastAsia="仿宋_GB2312" w:cs="仿宋_GB2312"/>
          <w:color w:val="auto"/>
          <w:sz w:val="32"/>
          <w:szCs w:val="32"/>
          <w:shd w:val="clear" w:color="auto" w:fill="FFFFFF"/>
        </w:rPr>
        <w:t>500</w:t>
      </w:r>
      <w:r>
        <w:rPr>
          <w:rFonts w:hint="eastAsia" w:ascii="仿宋_GB2312" w:hAnsi="Arial" w:eastAsia="仿宋_GB2312" w:cs="仿宋_GB2312"/>
          <w:color w:val="auto"/>
          <w:sz w:val="32"/>
          <w:szCs w:val="32"/>
          <w:shd w:val="clear" w:color="auto" w:fill="FFFFFF"/>
        </w:rPr>
        <w:t>平方米以上的客运车站侯车厅、客运码头候船厅；</w:t>
      </w:r>
    </w:p>
    <w:p>
      <w:pPr>
        <w:spacing w:line="600" w:lineRule="exact"/>
        <w:ind w:firstLine="800" w:firstLineChars="250"/>
        <w:rPr>
          <w:rFonts w:ascii="仿宋_GB2312" w:hAnsi="Arial" w:eastAsia="仿宋_GB2312"/>
          <w:color w:val="auto"/>
          <w:sz w:val="32"/>
          <w:szCs w:val="32"/>
          <w:shd w:val="clear" w:color="auto" w:fill="FFFFFF"/>
        </w:rPr>
      </w:pPr>
      <w:r>
        <w:rPr>
          <w:rFonts w:hint="eastAsia" w:ascii="仿宋_GB2312" w:hAnsi="Arial" w:eastAsia="仿宋_GB2312" w:cs="仿宋_GB2312"/>
          <w:color w:val="auto"/>
          <w:sz w:val="32"/>
          <w:szCs w:val="32"/>
          <w:shd w:val="clear" w:color="auto" w:fill="FFFFFF"/>
        </w:rPr>
        <w:t>（二）民用机场航站楼。</w:t>
      </w:r>
    </w:p>
    <w:p>
      <w:pPr>
        <w:spacing w:line="600" w:lineRule="exact"/>
        <w:ind w:firstLine="800" w:firstLineChars="250"/>
        <w:rPr>
          <w:rFonts w:ascii="黑体" w:hAnsi="Arial" w:eastAsia="黑体"/>
          <w:color w:val="auto"/>
          <w:sz w:val="32"/>
          <w:szCs w:val="32"/>
        </w:rPr>
      </w:pPr>
      <w:r>
        <w:rPr>
          <w:rFonts w:hint="eastAsia" w:ascii="黑体" w:hAnsi="Arial" w:eastAsia="黑体" w:cs="黑体"/>
          <w:color w:val="auto"/>
          <w:sz w:val="32"/>
          <w:szCs w:val="32"/>
          <w:shd w:val="clear" w:color="auto" w:fill="FFFFFF"/>
        </w:rPr>
        <w:t>六、公共图书馆、展览馆、博物馆、档案馆以及具有火灾危险性的文物保护单位：</w:t>
      </w:r>
    </w:p>
    <w:p>
      <w:pPr>
        <w:spacing w:line="600" w:lineRule="exact"/>
        <w:ind w:left="798" w:leftChars="38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（一）建筑面积在</w:t>
      </w:r>
      <w:r>
        <w:rPr>
          <w:rFonts w:ascii="仿宋_GB2312" w:hAnsi="Arial" w:eastAsia="仿宋_GB2312" w:cs="仿宋_GB2312"/>
          <w:color w:val="auto"/>
          <w:sz w:val="32"/>
          <w:szCs w:val="32"/>
          <w:shd w:val="clear" w:color="auto" w:fill="FFFFFF"/>
        </w:rPr>
        <w:t>2000</w:t>
      </w:r>
      <w:r>
        <w:rPr>
          <w:rFonts w:hint="eastAsia" w:ascii="仿宋_GB2312" w:hAnsi="Arial" w:eastAsia="仿宋_GB2312" w:cs="仿宋_GB2312"/>
          <w:color w:val="auto"/>
          <w:sz w:val="32"/>
          <w:szCs w:val="32"/>
          <w:shd w:val="clear" w:color="auto" w:fill="FFFFFF"/>
        </w:rPr>
        <w:t>平方米以上的公共图书馆、展览馆；</w:t>
      </w:r>
      <w:r>
        <w:rPr>
          <w:rFonts w:ascii="仿宋_GB2312" w:hAnsi="Arial" w:eastAsia="仿宋_GB2312"/>
          <w:color w:val="auto"/>
          <w:sz w:val="32"/>
          <w:szCs w:val="32"/>
        </w:rPr>
        <w:br w:type="textWrapping"/>
      </w:r>
      <w:r>
        <w:rPr>
          <w:rFonts w:hint="eastAsia" w:ascii="仿宋_GB2312" w:hAnsi="Arial" w:eastAsia="仿宋_GB2312" w:cs="仿宋_GB2312"/>
          <w:color w:val="auto"/>
          <w:sz w:val="32"/>
          <w:szCs w:val="32"/>
          <w:shd w:val="clear" w:color="auto" w:fill="FFFFFF"/>
        </w:rPr>
        <w:t>（二）公共博物馆、档案馆；</w:t>
      </w:r>
      <w:r>
        <w:rPr>
          <w:rFonts w:ascii="仿宋_GB2312" w:hAnsi="Arial" w:eastAsia="仿宋_GB2312"/>
          <w:color w:val="auto"/>
          <w:sz w:val="32"/>
          <w:szCs w:val="32"/>
        </w:rPr>
        <w:br w:type="textWrapping"/>
      </w:r>
      <w:r>
        <w:rPr>
          <w:rFonts w:hint="eastAsia" w:ascii="仿宋_GB2312" w:hAnsi="Arial" w:eastAsia="仿宋_GB2312" w:cs="仿宋_GB2312"/>
          <w:color w:val="auto"/>
          <w:sz w:val="32"/>
          <w:szCs w:val="32"/>
          <w:shd w:val="clear" w:color="auto" w:fill="FFFFFF"/>
        </w:rPr>
        <w:t>（三）具有火灾危险性的县级以上文物保护单位。</w:t>
      </w:r>
    </w:p>
    <w:p>
      <w:pPr>
        <w:spacing w:line="600" w:lineRule="exact"/>
        <w:ind w:left="798" w:leftChars="380"/>
        <w:rPr>
          <w:rFonts w:ascii="黑体" w:hAnsi="Arial" w:eastAsia="黑体"/>
          <w:color w:val="auto"/>
          <w:sz w:val="32"/>
          <w:szCs w:val="32"/>
        </w:rPr>
      </w:pPr>
      <w:r>
        <w:rPr>
          <w:rFonts w:hint="eastAsia" w:ascii="黑体" w:hAnsi="Arial" w:eastAsia="黑体" w:cs="黑体"/>
          <w:color w:val="auto"/>
          <w:sz w:val="32"/>
          <w:szCs w:val="32"/>
          <w:shd w:val="clear" w:color="auto" w:fill="FFFFFF"/>
        </w:rPr>
        <w:t>七、发电厂（站）和电网经营企业。</w:t>
      </w:r>
    </w:p>
    <w:p>
      <w:pPr>
        <w:spacing w:line="600" w:lineRule="exact"/>
        <w:ind w:firstLine="800" w:firstLineChars="250"/>
        <w:rPr>
          <w:rFonts w:ascii="黑体" w:hAnsi="Arial" w:eastAsia="黑体"/>
          <w:color w:val="auto"/>
          <w:sz w:val="32"/>
          <w:szCs w:val="32"/>
        </w:rPr>
      </w:pPr>
      <w:r>
        <w:rPr>
          <w:rFonts w:hint="eastAsia" w:ascii="黑体" w:hAnsi="Arial" w:eastAsia="黑体" w:cs="黑体"/>
          <w:color w:val="auto"/>
          <w:sz w:val="32"/>
          <w:szCs w:val="32"/>
          <w:shd w:val="clear" w:color="auto" w:fill="FFFFFF"/>
        </w:rPr>
        <w:t>八、易燃易爆化学物品的生产、充装、储存、供应、销售单位：</w:t>
      </w:r>
    </w:p>
    <w:p>
      <w:pPr>
        <w:spacing w:line="600" w:lineRule="exact"/>
        <w:ind w:firstLine="800" w:firstLineChars="2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（一）生产易燃易爆化学物品的工厂；</w:t>
      </w:r>
    </w:p>
    <w:p>
      <w:pPr>
        <w:spacing w:line="600" w:lineRule="exact"/>
        <w:ind w:firstLine="800" w:firstLineChars="2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（二）易燃易爆气体和液体的灌装站、调压站；</w:t>
      </w:r>
    </w:p>
    <w:p>
      <w:pPr>
        <w:spacing w:line="600" w:lineRule="exact"/>
        <w:ind w:firstLine="800" w:firstLineChars="2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（三）储存易燃易爆化学物品的专用仓库（堆场、储罐场所）；</w:t>
      </w:r>
    </w:p>
    <w:p>
      <w:pPr>
        <w:spacing w:line="600" w:lineRule="exact"/>
        <w:ind w:firstLine="800" w:firstLineChars="2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（四）营业性加油站、加气站，液化石油气供应站（换瓶站）；</w:t>
      </w:r>
    </w:p>
    <w:p>
      <w:pPr>
        <w:spacing w:line="600" w:lineRule="exact"/>
        <w:ind w:firstLine="800" w:firstLineChars="2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（五）经营易燃易爆化学物品的化工商店；</w:t>
      </w:r>
    </w:p>
    <w:p>
      <w:pPr>
        <w:spacing w:line="600" w:lineRule="exact"/>
        <w:ind w:firstLine="800" w:firstLineChars="250"/>
        <w:rPr>
          <w:rFonts w:ascii="仿宋_GB2312" w:hAnsi="Arial" w:eastAsia="仿宋_GB2312"/>
          <w:color w:val="auto"/>
          <w:sz w:val="32"/>
          <w:szCs w:val="32"/>
          <w:shd w:val="clear" w:color="auto" w:fill="FFFFFF"/>
        </w:rPr>
      </w:pPr>
      <w:r>
        <w:rPr>
          <w:rFonts w:ascii="仿宋_GB2312" w:hAnsi="Arial" w:eastAsia="仿宋_GB2312" w:cs="仿宋_GB2312"/>
          <w:color w:val="auto"/>
          <w:sz w:val="32"/>
          <w:szCs w:val="32"/>
          <w:shd w:val="clear" w:color="auto" w:fill="FFFFFF"/>
        </w:rPr>
        <w:t>1.</w:t>
      </w:r>
      <w:r>
        <w:rPr>
          <w:rFonts w:hint="eastAsia" w:ascii="仿宋_GB2312" w:hAnsi="Arial" w:eastAsia="仿宋_GB2312" w:cs="仿宋_GB2312"/>
          <w:color w:val="auto"/>
          <w:sz w:val="32"/>
          <w:szCs w:val="32"/>
          <w:shd w:val="clear" w:color="auto" w:fill="FFFFFF"/>
        </w:rPr>
        <w:t>经营甲、乙类易燃易爆化学物品，站内总存量</w:t>
      </w:r>
      <w:r>
        <w:rPr>
          <w:rFonts w:ascii="仿宋_GB2312" w:hAnsi="Arial" w:eastAsia="仿宋_GB2312" w:cs="仿宋_GB2312"/>
          <w:color w:val="auto"/>
          <w:sz w:val="32"/>
          <w:szCs w:val="32"/>
          <w:shd w:val="clear" w:color="auto" w:fill="FFFFFF"/>
        </w:rPr>
        <w:t>300</w:t>
      </w:r>
      <w:r>
        <w:rPr>
          <w:rFonts w:hint="eastAsia" w:ascii="仿宋_GB2312" w:hAnsi="Arial" w:eastAsia="仿宋_GB2312" w:cs="仿宋_GB2312"/>
          <w:color w:val="auto"/>
          <w:sz w:val="32"/>
          <w:szCs w:val="32"/>
          <w:shd w:val="clear" w:color="auto" w:fill="FFFFFF"/>
        </w:rPr>
        <w:t>公斤或</w:t>
      </w:r>
      <w:r>
        <w:rPr>
          <w:rFonts w:ascii="仿宋_GB2312" w:hAnsi="Arial" w:eastAsia="仿宋_GB2312" w:cs="仿宋_GB2312"/>
          <w:color w:val="auto"/>
          <w:sz w:val="32"/>
          <w:szCs w:val="32"/>
          <w:shd w:val="clear" w:color="auto" w:fill="FFFFFF"/>
        </w:rPr>
        <w:t>5</w:t>
      </w:r>
      <w:r>
        <w:rPr>
          <w:rFonts w:hint="eastAsia" w:ascii="仿宋_GB2312" w:hAnsi="Arial" w:eastAsia="仿宋_GB2312" w:cs="仿宋_GB2312"/>
          <w:color w:val="auto"/>
          <w:sz w:val="32"/>
          <w:szCs w:val="32"/>
          <w:shd w:val="clear" w:color="auto" w:fill="FFFFFF"/>
        </w:rPr>
        <w:t>立方米以上的商店；</w:t>
      </w:r>
    </w:p>
    <w:p>
      <w:pPr>
        <w:spacing w:line="600" w:lineRule="exact"/>
        <w:ind w:firstLine="800" w:firstLineChars="250"/>
        <w:rPr>
          <w:rFonts w:ascii="仿宋_GB2312" w:hAnsi="Arial" w:eastAsia="仿宋_GB2312"/>
          <w:color w:val="auto"/>
          <w:sz w:val="32"/>
          <w:szCs w:val="32"/>
          <w:shd w:val="clear" w:color="auto" w:fill="FFFFFF"/>
        </w:rPr>
      </w:pPr>
      <w:r>
        <w:rPr>
          <w:rFonts w:ascii="仿宋_GB2312" w:hAnsi="Arial" w:eastAsia="仿宋_GB2312" w:cs="仿宋_GB2312"/>
          <w:color w:val="auto"/>
          <w:sz w:val="32"/>
          <w:szCs w:val="32"/>
          <w:shd w:val="clear" w:color="auto" w:fill="FFFFFF"/>
        </w:rPr>
        <w:t>2.</w:t>
      </w:r>
      <w:r>
        <w:rPr>
          <w:rFonts w:hint="eastAsia" w:ascii="仿宋_GB2312" w:hAnsi="Arial" w:eastAsia="仿宋_GB2312" w:cs="仿宋_GB2312"/>
          <w:color w:val="auto"/>
          <w:sz w:val="32"/>
          <w:szCs w:val="32"/>
          <w:shd w:val="clear" w:color="auto" w:fill="FFFFFF"/>
        </w:rPr>
        <w:t>经营甲、乙类易燃易爆化学物品营业面积在</w:t>
      </w:r>
      <w:r>
        <w:rPr>
          <w:rFonts w:ascii="仿宋_GB2312" w:hAnsi="Arial" w:eastAsia="仿宋_GB2312" w:cs="仿宋_GB2312"/>
          <w:color w:val="auto"/>
          <w:sz w:val="32"/>
          <w:szCs w:val="32"/>
          <w:shd w:val="clear" w:color="auto" w:fill="FFFFFF"/>
        </w:rPr>
        <w:t>300</w:t>
      </w:r>
      <w:r>
        <w:rPr>
          <w:rFonts w:hint="eastAsia" w:ascii="仿宋_GB2312" w:hAnsi="Arial" w:eastAsia="仿宋_GB2312" w:cs="仿宋_GB2312"/>
          <w:color w:val="auto"/>
          <w:sz w:val="32"/>
          <w:szCs w:val="32"/>
          <w:shd w:val="clear" w:color="auto" w:fill="FFFFFF"/>
        </w:rPr>
        <w:t>平方米以上的商店。</w:t>
      </w:r>
    </w:p>
    <w:p>
      <w:pPr>
        <w:spacing w:line="600" w:lineRule="exact"/>
        <w:ind w:firstLine="800" w:firstLineChars="250"/>
        <w:rPr>
          <w:rFonts w:ascii="黑体" w:hAnsi="Arial" w:eastAsia="黑体"/>
          <w:color w:val="auto"/>
          <w:sz w:val="32"/>
          <w:szCs w:val="32"/>
        </w:rPr>
      </w:pPr>
      <w:r>
        <w:rPr>
          <w:rFonts w:hint="eastAsia" w:ascii="黑体" w:hAnsi="Arial" w:eastAsia="黑体" w:cs="黑体"/>
          <w:color w:val="auto"/>
          <w:sz w:val="32"/>
          <w:szCs w:val="32"/>
          <w:shd w:val="clear" w:color="auto" w:fill="FFFFFF"/>
        </w:rPr>
        <w:t>九、劳动密集型生产、加工企业：</w:t>
      </w:r>
    </w:p>
    <w:p>
      <w:pPr>
        <w:spacing w:line="600" w:lineRule="exact"/>
        <w:ind w:firstLine="800" w:firstLineChars="2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单个生产车间员工在</w:t>
      </w:r>
      <w:r>
        <w:rPr>
          <w:rFonts w:ascii="仿宋_GB2312" w:hAnsi="Arial" w:eastAsia="仿宋_GB2312" w:cs="仿宋_GB2312"/>
          <w:color w:val="auto"/>
          <w:sz w:val="32"/>
          <w:szCs w:val="32"/>
          <w:shd w:val="clear" w:color="auto" w:fill="FFFFFF"/>
        </w:rPr>
        <w:t>100</w:t>
      </w:r>
      <w:r>
        <w:rPr>
          <w:rFonts w:hint="eastAsia" w:ascii="仿宋_GB2312" w:hAnsi="Arial" w:eastAsia="仿宋_GB2312" w:cs="仿宋_GB2312"/>
          <w:color w:val="auto"/>
          <w:sz w:val="32"/>
          <w:szCs w:val="32"/>
          <w:shd w:val="clear" w:color="auto" w:fill="FFFFFF"/>
        </w:rPr>
        <w:t>人以上的服装、鞋帽、玩具、食品等劳动密集型企业。</w:t>
      </w:r>
    </w:p>
    <w:p>
      <w:pPr>
        <w:spacing w:line="600" w:lineRule="exact"/>
        <w:ind w:firstLine="800" w:firstLineChars="250"/>
        <w:rPr>
          <w:rFonts w:ascii="黑体" w:hAnsi="Arial" w:eastAsia="黑体"/>
          <w:color w:val="auto"/>
          <w:sz w:val="32"/>
          <w:szCs w:val="32"/>
          <w:shd w:val="clear" w:color="auto" w:fill="FFFFFF"/>
        </w:rPr>
      </w:pPr>
      <w:r>
        <w:rPr>
          <w:rFonts w:hint="eastAsia" w:ascii="黑体" w:hAnsi="Arial" w:eastAsia="黑体" w:cs="黑体"/>
          <w:color w:val="auto"/>
          <w:sz w:val="32"/>
          <w:szCs w:val="32"/>
          <w:shd w:val="clear" w:color="auto" w:fill="FFFFFF"/>
        </w:rPr>
        <w:t>十、国家和省级科研单位。</w:t>
      </w:r>
    </w:p>
    <w:p>
      <w:pPr>
        <w:spacing w:line="600" w:lineRule="exact"/>
        <w:ind w:firstLine="800" w:firstLineChars="250"/>
        <w:rPr>
          <w:rFonts w:ascii="黑体" w:hAnsi="Arial" w:eastAsia="黑体"/>
          <w:color w:val="auto"/>
          <w:sz w:val="32"/>
          <w:szCs w:val="32"/>
        </w:rPr>
      </w:pPr>
      <w:r>
        <w:rPr>
          <w:rFonts w:hint="eastAsia" w:ascii="黑体" w:hAnsi="Arial" w:eastAsia="黑体" w:cs="黑体"/>
          <w:color w:val="auto"/>
          <w:sz w:val="32"/>
          <w:szCs w:val="32"/>
          <w:shd w:val="clear" w:color="auto" w:fill="FFFFFF"/>
        </w:rPr>
        <w:t>十一、高层公共建筑、地下铁道、地下观光隧道，粮、棉、木材、百货等物资仓库和堆场，重点工程的施工现场：</w:t>
      </w:r>
    </w:p>
    <w:p>
      <w:pPr>
        <w:spacing w:line="600" w:lineRule="exact"/>
        <w:ind w:firstLine="800" w:firstLineChars="2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（一）高层公共建筑建筑高度在</w:t>
      </w:r>
      <w:r>
        <w:rPr>
          <w:rFonts w:ascii="仿宋_GB2312" w:hAnsi="Arial" w:eastAsia="仿宋_GB2312" w:cs="仿宋_GB2312"/>
          <w:color w:val="auto"/>
          <w:sz w:val="32"/>
          <w:szCs w:val="32"/>
          <w:shd w:val="clear" w:color="auto" w:fill="FFFFFF"/>
        </w:rPr>
        <w:t>50</w:t>
      </w:r>
      <w:r>
        <w:rPr>
          <w:rFonts w:hint="eastAsia" w:ascii="仿宋_GB2312" w:hAnsi="Arial" w:eastAsia="仿宋_GB2312" w:cs="仿宋_GB2312"/>
          <w:color w:val="auto"/>
          <w:sz w:val="32"/>
          <w:szCs w:val="32"/>
          <w:shd w:val="clear" w:color="auto" w:fill="FFFFFF"/>
        </w:rPr>
        <w:t>米以上的办公楼（写字楼）、公寓楼等；</w:t>
      </w:r>
    </w:p>
    <w:p>
      <w:pPr>
        <w:spacing w:line="600" w:lineRule="exact"/>
        <w:ind w:firstLine="800" w:firstLineChars="25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（二）城市地下铁道、地下观光隧道等地下公共建筑和城市重要的交通隧道；</w:t>
      </w:r>
    </w:p>
    <w:p>
      <w:pPr>
        <w:spacing w:line="600" w:lineRule="exact"/>
        <w:ind w:left="798" w:leftChars="380"/>
        <w:rPr>
          <w:rFonts w:ascii="仿宋_GB2312" w:hAnsi="Arial" w:eastAsia="仿宋_GB2312"/>
          <w:color w:val="auto"/>
          <w:sz w:val="32"/>
          <w:szCs w:val="32"/>
        </w:rPr>
      </w:pPr>
      <w:r>
        <w:rPr>
          <w:rFonts w:hint="eastAsia" w:ascii="仿宋_GB2312" w:hAnsi="Arial" w:eastAsia="仿宋_GB2312" w:cs="仿宋_GB2312"/>
          <w:color w:val="auto"/>
          <w:sz w:val="32"/>
          <w:szCs w:val="32"/>
          <w:shd w:val="clear" w:color="auto" w:fill="FFFFFF"/>
        </w:rPr>
        <w:t>（三）国家储备粮库、总储量在</w:t>
      </w:r>
      <w:r>
        <w:rPr>
          <w:rFonts w:ascii="仿宋_GB2312" w:hAnsi="Arial" w:eastAsia="仿宋_GB2312" w:cs="仿宋_GB2312"/>
          <w:color w:val="auto"/>
          <w:sz w:val="32"/>
          <w:szCs w:val="32"/>
          <w:shd w:val="clear" w:color="auto" w:fill="FFFFFF"/>
        </w:rPr>
        <w:t>10000</w:t>
      </w:r>
      <w:r>
        <w:rPr>
          <w:rFonts w:hint="eastAsia" w:ascii="仿宋_GB2312" w:hAnsi="Arial" w:eastAsia="仿宋_GB2312" w:cs="仿宋_GB2312"/>
          <w:color w:val="auto"/>
          <w:sz w:val="32"/>
          <w:szCs w:val="32"/>
          <w:shd w:val="clear" w:color="auto" w:fill="FFFFFF"/>
        </w:rPr>
        <w:t>吨以上的其他粮库；（四）总储量在</w:t>
      </w:r>
      <w:r>
        <w:rPr>
          <w:rFonts w:ascii="仿宋_GB2312" w:hAnsi="Arial" w:eastAsia="仿宋_GB2312" w:cs="仿宋_GB2312"/>
          <w:color w:val="auto"/>
          <w:sz w:val="32"/>
          <w:szCs w:val="32"/>
          <w:shd w:val="clear" w:color="auto" w:fill="FFFFFF"/>
        </w:rPr>
        <w:t>500</w:t>
      </w:r>
      <w:r>
        <w:rPr>
          <w:rFonts w:hint="eastAsia" w:ascii="仿宋_GB2312" w:hAnsi="Arial" w:eastAsia="仿宋_GB2312" w:cs="仿宋_GB2312"/>
          <w:color w:val="auto"/>
          <w:sz w:val="32"/>
          <w:szCs w:val="32"/>
          <w:shd w:val="clear" w:color="auto" w:fill="FFFFFF"/>
        </w:rPr>
        <w:t>吨以上的棉库；</w:t>
      </w:r>
      <w:r>
        <w:rPr>
          <w:rFonts w:ascii="仿宋_GB2312" w:hAnsi="Arial" w:eastAsia="仿宋_GB2312"/>
          <w:color w:val="auto"/>
          <w:sz w:val="32"/>
          <w:szCs w:val="32"/>
        </w:rPr>
        <w:br w:type="textWrapping"/>
      </w:r>
      <w:r>
        <w:rPr>
          <w:rFonts w:hint="eastAsia" w:ascii="仿宋_GB2312" w:hAnsi="Arial" w:eastAsia="仿宋_GB2312" w:cs="仿宋_GB2312"/>
          <w:color w:val="auto"/>
          <w:sz w:val="32"/>
          <w:szCs w:val="32"/>
          <w:shd w:val="clear" w:color="auto" w:fill="FFFFFF"/>
        </w:rPr>
        <w:t>（五）总储量在</w:t>
      </w:r>
      <w:r>
        <w:rPr>
          <w:rFonts w:ascii="仿宋_GB2312" w:hAnsi="Arial" w:eastAsia="仿宋_GB2312" w:cs="仿宋_GB2312"/>
          <w:color w:val="auto"/>
          <w:sz w:val="32"/>
          <w:szCs w:val="32"/>
          <w:shd w:val="clear" w:color="auto" w:fill="FFFFFF"/>
        </w:rPr>
        <w:t>10000</w:t>
      </w:r>
      <w:r>
        <w:rPr>
          <w:rFonts w:hint="eastAsia" w:ascii="仿宋_GB2312" w:hAnsi="Arial" w:eastAsia="仿宋_GB2312" w:cs="仿宋_GB2312"/>
          <w:color w:val="auto"/>
          <w:sz w:val="32"/>
          <w:szCs w:val="32"/>
          <w:shd w:val="clear" w:color="auto" w:fill="FFFFFF"/>
        </w:rPr>
        <w:t>立方米以上的木材堆场；</w:t>
      </w:r>
      <w:r>
        <w:rPr>
          <w:rFonts w:ascii="仿宋_GB2312" w:hAnsi="Arial" w:eastAsia="仿宋_GB2312"/>
          <w:color w:val="auto"/>
          <w:sz w:val="32"/>
          <w:szCs w:val="32"/>
        </w:rPr>
        <w:br w:type="textWrapping"/>
      </w:r>
      <w:r>
        <w:rPr>
          <w:rFonts w:hint="eastAsia" w:ascii="仿宋_GB2312" w:hAnsi="Arial" w:eastAsia="仿宋_GB2312" w:cs="仿宋_GB2312"/>
          <w:color w:val="auto"/>
          <w:sz w:val="32"/>
          <w:szCs w:val="32"/>
          <w:shd w:val="clear" w:color="auto" w:fill="FFFFFF"/>
        </w:rPr>
        <w:t>（六）总储存价值在</w:t>
      </w:r>
      <w:r>
        <w:rPr>
          <w:rFonts w:ascii="仿宋_GB2312" w:hAnsi="Arial" w:eastAsia="仿宋_GB2312" w:cs="仿宋_GB2312"/>
          <w:color w:val="auto"/>
          <w:sz w:val="32"/>
          <w:szCs w:val="32"/>
          <w:shd w:val="clear" w:color="auto" w:fill="FFFFFF"/>
        </w:rPr>
        <w:t>5000</w:t>
      </w:r>
      <w:r>
        <w:rPr>
          <w:rFonts w:hint="eastAsia" w:ascii="仿宋_GB2312" w:hAnsi="Arial" w:eastAsia="仿宋_GB2312" w:cs="仿宋_GB2312"/>
          <w:color w:val="auto"/>
          <w:sz w:val="32"/>
          <w:szCs w:val="32"/>
          <w:shd w:val="clear" w:color="auto" w:fill="FFFFFF"/>
        </w:rPr>
        <w:t>万元以上的可燃物品仓库、堆场；</w:t>
      </w:r>
      <w:r>
        <w:rPr>
          <w:rFonts w:ascii="仿宋_GB2312" w:hAnsi="Arial" w:eastAsia="仿宋_GB2312"/>
          <w:color w:val="auto"/>
          <w:sz w:val="32"/>
          <w:szCs w:val="32"/>
        </w:rPr>
        <w:br w:type="textWrapping"/>
      </w:r>
      <w:r>
        <w:rPr>
          <w:rFonts w:hint="eastAsia" w:ascii="仿宋_GB2312" w:hAnsi="Arial" w:eastAsia="仿宋_GB2312" w:cs="仿宋_GB2312"/>
          <w:color w:val="auto"/>
          <w:sz w:val="32"/>
          <w:szCs w:val="32"/>
          <w:shd w:val="clear" w:color="auto" w:fill="FFFFFF"/>
        </w:rPr>
        <w:t>（七）国家和省级等重点建筑工程的施工现场。</w:t>
      </w:r>
    </w:p>
    <w:p>
      <w:pPr>
        <w:spacing w:line="600" w:lineRule="exact"/>
        <w:ind w:firstLine="960" w:firstLineChars="300"/>
        <w:rPr>
          <w:rFonts w:ascii="黑体" w:hAnsi="Arial" w:eastAsia="黑体"/>
          <w:color w:val="auto"/>
          <w:sz w:val="32"/>
          <w:szCs w:val="32"/>
          <w:shd w:val="clear" w:color="auto" w:fill="FFFFFF"/>
        </w:rPr>
      </w:pPr>
      <w:r>
        <w:rPr>
          <w:rFonts w:hint="eastAsia" w:ascii="黑体" w:hAnsi="Arial" w:eastAsia="黑体" w:cs="黑体"/>
          <w:color w:val="auto"/>
          <w:sz w:val="32"/>
          <w:szCs w:val="32"/>
          <w:shd w:val="clear" w:color="auto" w:fill="FFFFFF"/>
        </w:rPr>
        <w:t>十二、其他发生火灾可能性较大以及一旦发生火灾可能造成人身重大伤亡或者财产重大损失的单位。</w:t>
      </w:r>
    </w:p>
    <w:p>
      <w:pPr>
        <w:spacing w:line="600" w:lineRule="exact"/>
        <w:ind w:firstLine="960" w:firstLineChars="300"/>
        <w:rPr>
          <w:rFonts w:ascii="黑体" w:hAnsi="Arial" w:eastAsia="黑体"/>
          <w:color w:val="auto"/>
          <w:sz w:val="32"/>
          <w:szCs w:val="32"/>
          <w:shd w:val="clear" w:color="auto" w:fill="FFFFFF"/>
        </w:rPr>
      </w:pPr>
      <w:r>
        <w:rPr>
          <w:rFonts w:hint="eastAsia" w:ascii="黑体" w:hAnsi="Arial" w:eastAsia="黑体" w:cs="黑体"/>
          <w:color w:val="auto"/>
          <w:sz w:val="32"/>
          <w:szCs w:val="32"/>
          <w:shd w:val="clear" w:color="auto" w:fill="FFFFFF"/>
        </w:rPr>
        <w:t>说明：</w:t>
      </w:r>
    </w:p>
    <w:p>
      <w:pPr>
        <w:spacing w:line="600" w:lineRule="exact"/>
        <w:ind w:firstLine="960" w:firstLineChars="300"/>
        <w:rPr>
          <w:rFonts w:ascii="仿宋_GB2312" w:hAnsi="Arial" w:eastAsia="仿宋_GB2312"/>
          <w:color w:val="auto"/>
          <w:sz w:val="32"/>
          <w:szCs w:val="32"/>
          <w:shd w:val="clear" w:color="auto" w:fill="FFFFFF"/>
        </w:rPr>
      </w:pPr>
      <w:r>
        <w:rPr>
          <w:rFonts w:ascii="仿宋_GB2312" w:hAnsi="Arial" w:eastAsia="仿宋_GB2312" w:cs="仿宋_GB2312"/>
          <w:color w:val="auto"/>
          <w:sz w:val="32"/>
          <w:szCs w:val="32"/>
          <w:shd w:val="clear" w:color="auto" w:fill="FFFFFF"/>
        </w:rPr>
        <w:t>1.</w:t>
      </w:r>
      <w:r>
        <w:rPr>
          <w:rFonts w:hint="eastAsia" w:ascii="仿宋_GB2312" w:hAnsi="Arial" w:eastAsia="仿宋_GB2312" w:cs="仿宋_GB2312"/>
          <w:color w:val="auto"/>
          <w:sz w:val="32"/>
          <w:szCs w:val="32"/>
          <w:shd w:val="clear" w:color="auto" w:fill="FFFFFF"/>
        </w:rPr>
        <w:t>一个物业小区内有多栋高层公寓等建筑物而且同属一个产权单位或物业管理单位的，可算一个消防安全重点单位。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olor w:val="auto"/>
          <w:sz w:val="32"/>
          <w:lang w:val="en-US" w:eastAsia="zh-CN"/>
        </w:rPr>
      </w:pPr>
      <w:r>
        <w:rPr>
          <w:rFonts w:ascii="仿宋_GB2312" w:hAnsi="Arial" w:eastAsia="仿宋_GB2312" w:cs="仿宋_GB2312"/>
          <w:color w:val="auto"/>
          <w:sz w:val="32"/>
          <w:szCs w:val="32"/>
          <w:shd w:val="clear" w:color="auto" w:fill="FFFFFF"/>
        </w:rPr>
        <w:t>2.</w:t>
      </w:r>
      <w:r>
        <w:rPr>
          <w:rFonts w:hint="eastAsia" w:ascii="仿宋_GB2312" w:hAnsi="Arial" w:eastAsia="仿宋_GB2312" w:cs="仿宋_GB2312"/>
          <w:color w:val="auto"/>
          <w:sz w:val="32"/>
          <w:szCs w:val="32"/>
          <w:shd w:val="clear" w:color="auto" w:fill="FFFFFF"/>
        </w:rPr>
        <w:t>在一个符合界定标准的单位或建筑物内另有符合界定标准而法人不同的单位，可分别算为消防安全重点单位，法人相同但多家承包、租赁的可算为一个消防安全重点单位</w:t>
      </w:r>
      <w:r>
        <w:rPr>
          <w:rFonts w:hint="eastAsia" w:ascii="仿宋_GB2312" w:hAnsi="Arial" w:eastAsia="仿宋_GB2312" w:cs="仿宋_GB2312"/>
          <w:color w:val="auto"/>
          <w:sz w:val="32"/>
          <w:szCs w:val="32"/>
          <w:shd w:val="clear" w:color="auto" w:fill="FFFFFF"/>
          <w:lang w:eastAsia="zh-CN"/>
        </w:rPr>
        <w:t>。</w:t>
      </w:r>
    </w:p>
    <w:sectPr>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zOTI0OTY5YmMyNDc3NDlmYzMwYTc1ZjRjMTUyYzIifQ=="/>
  </w:docVars>
  <w:rsids>
    <w:rsidRoot w:val="00000000"/>
    <w:rsid w:val="008E3788"/>
    <w:rsid w:val="01265045"/>
    <w:rsid w:val="01B97F5E"/>
    <w:rsid w:val="022F09D4"/>
    <w:rsid w:val="03A9439D"/>
    <w:rsid w:val="04073203"/>
    <w:rsid w:val="081952B3"/>
    <w:rsid w:val="0E76345F"/>
    <w:rsid w:val="12F72695"/>
    <w:rsid w:val="1AD11245"/>
    <w:rsid w:val="1C552EB5"/>
    <w:rsid w:val="20653333"/>
    <w:rsid w:val="228B233C"/>
    <w:rsid w:val="24343749"/>
    <w:rsid w:val="2CD645C3"/>
    <w:rsid w:val="2FE60C44"/>
    <w:rsid w:val="302727E5"/>
    <w:rsid w:val="31E34AA3"/>
    <w:rsid w:val="32805DAB"/>
    <w:rsid w:val="34C71548"/>
    <w:rsid w:val="3A5E22ED"/>
    <w:rsid w:val="3D6C74FD"/>
    <w:rsid w:val="41B622E7"/>
    <w:rsid w:val="42963DFB"/>
    <w:rsid w:val="43413334"/>
    <w:rsid w:val="43D23F8D"/>
    <w:rsid w:val="44B85F15"/>
    <w:rsid w:val="48C64F7A"/>
    <w:rsid w:val="4E3571BC"/>
    <w:rsid w:val="4F5F526E"/>
    <w:rsid w:val="4F6B04E7"/>
    <w:rsid w:val="54660E4D"/>
    <w:rsid w:val="575A0C04"/>
    <w:rsid w:val="5DF66D9E"/>
    <w:rsid w:val="5F322057"/>
    <w:rsid w:val="60D31618"/>
    <w:rsid w:val="60EE3BD3"/>
    <w:rsid w:val="647C732E"/>
    <w:rsid w:val="6E311FA8"/>
    <w:rsid w:val="6E511E38"/>
    <w:rsid w:val="6EB760D5"/>
    <w:rsid w:val="74866581"/>
    <w:rsid w:val="7502530A"/>
    <w:rsid w:val="751B204F"/>
    <w:rsid w:val="779F7EB8"/>
    <w:rsid w:val="78822E33"/>
    <w:rsid w:val="7AAF12E7"/>
    <w:rsid w:val="7C2A25DC"/>
    <w:rsid w:val="7D423956"/>
    <w:rsid w:val="7E61605D"/>
    <w:rsid w:val="7FA362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0"/>
    <w:pPr>
      <w:spacing w:after="120"/>
    </w:pPr>
    <w:rPr>
      <w:szCs w:val="21"/>
    </w:rPr>
  </w:style>
  <w:style w:type="paragraph" w:styleId="4">
    <w:name w:val="Body Text Indent 2"/>
    <w:basedOn w:val="1"/>
    <w:qFormat/>
    <w:uiPriority w:val="0"/>
    <w:pPr>
      <w:spacing w:after="120" w:line="480" w:lineRule="auto"/>
      <w:ind w:left="420" w:leftChars="200"/>
    </w:pPr>
  </w:style>
  <w:style w:type="paragraph" w:styleId="5">
    <w:name w:val="Normal (Web)"/>
    <w:basedOn w:val="1"/>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4232</Words>
  <Characters>4373</Characters>
  <Lines>0</Lines>
  <Paragraphs>0</Paragraphs>
  <TotalTime>0</TotalTime>
  <ScaleCrop>false</ScaleCrop>
  <LinksUpToDate>false</LinksUpToDate>
  <CharactersWithSpaces>4517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2023-05-15T04:56:00Z</dcterms:created>
  <dc:creator>Administrator</dc:creator>
  <cp:lastModifiedBy>Administrator</cp:lastModifiedBy>
  <cp:lastPrinted>2024-05-09T08:27:14Z</cp:lastPrinted>
  <dcterms:modified xsi:type="dcterms:W3CDTF">2024-05-09T08:28:01Z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45F2A6C60CF344F1A2331B1DAEEC77B1_13</vt:lpwstr>
  </property>
</Properties>
</file>