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仿宋_GB2312"/>
          <w:color w:val="auto"/>
          <w:sz w:val="32"/>
        </w:rPr>
      </w:pPr>
      <w:bookmarkStart w:id="0" w:name="_GoBack"/>
      <w:bookmarkEnd w:id="0"/>
      <w:r>
        <w:rPr>
          <w:rFonts w:hint="eastAsia" w:ascii="Times New Roman" w:hAnsi="Times New Roman" w:eastAsia="仿宋_GB2312"/>
          <w:color w:val="auto"/>
          <w:sz w:val="32"/>
          <w:lang w:val="en-US" w:eastAsia="zh-CN"/>
        </w:rPr>
        <w:t>附件1：</w:t>
      </w:r>
    </w:p>
    <w:p>
      <w:pPr>
        <w:jc w:val="center"/>
        <w:rPr>
          <w:rFonts w:hint="eastAsia" w:ascii="方正小标宋简体" w:hAnsi="新宋体" w:eastAsia="方正小标宋简体"/>
          <w:color w:val="auto"/>
          <w:sz w:val="36"/>
          <w:szCs w:val="36"/>
        </w:rPr>
      </w:pPr>
      <w:r>
        <w:rPr>
          <w:rFonts w:hint="eastAsia" w:ascii="方正小标宋简体" w:hAnsi="新宋体" w:eastAsia="方正小标宋简体"/>
          <w:color w:val="auto"/>
          <w:sz w:val="36"/>
          <w:szCs w:val="36"/>
        </w:rPr>
        <w:t>洛阳市消防安全重点单位</w:t>
      </w:r>
      <w:r>
        <w:rPr>
          <w:rFonts w:hint="eastAsia" w:ascii="方正小标宋简体" w:hAnsi="新宋体" w:eastAsia="方正小标宋简体"/>
          <w:color w:val="auto"/>
          <w:sz w:val="36"/>
          <w:szCs w:val="36"/>
          <w:lang w:eastAsia="zh-CN"/>
        </w:rPr>
        <w:t>（火灾高危单位）</w:t>
      </w:r>
      <w:r>
        <w:rPr>
          <w:rFonts w:hint="eastAsia" w:ascii="方正小标宋简体" w:hAnsi="新宋体" w:eastAsia="方正小标宋简体"/>
          <w:color w:val="auto"/>
          <w:sz w:val="36"/>
          <w:szCs w:val="36"/>
        </w:rPr>
        <w:t>申报表</w:t>
      </w:r>
    </w:p>
    <w:tbl>
      <w:tblPr>
        <w:tblStyle w:val="3"/>
        <w:tblW w:w="51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742"/>
        <w:gridCol w:w="172"/>
        <w:gridCol w:w="284"/>
        <w:gridCol w:w="1014"/>
        <w:gridCol w:w="156"/>
        <w:gridCol w:w="1114"/>
        <w:gridCol w:w="1101"/>
        <w:gridCol w:w="422"/>
        <w:gridCol w:w="886"/>
        <w:gridCol w:w="760"/>
        <w:gridCol w:w="218"/>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749" w:type="pct"/>
            <w:gridSpan w:val="3"/>
            <w:noWrap w:val="0"/>
            <w:vAlign w:val="center"/>
          </w:tcPr>
          <w:p>
            <w:pPr>
              <w:spacing w:line="240" w:lineRule="exact"/>
              <w:jc w:val="center"/>
              <w:rPr>
                <w:rFonts w:hint="eastAsia"/>
                <w:color w:val="auto"/>
              </w:rPr>
            </w:pPr>
            <w:r>
              <w:rPr>
                <w:rFonts w:hint="eastAsia"/>
                <w:color w:val="auto"/>
              </w:rPr>
              <w:t>单位名称</w:t>
            </w:r>
          </w:p>
        </w:tc>
        <w:tc>
          <w:tcPr>
            <w:tcW w:w="1474" w:type="pct"/>
            <w:gridSpan w:val="4"/>
            <w:noWrap w:val="0"/>
            <w:vAlign w:val="center"/>
          </w:tcPr>
          <w:p>
            <w:pPr>
              <w:spacing w:line="240" w:lineRule="exact"/>
              <w:jc w:val="center"/>
              <w:rPr>
                <w:rFonts w:hint="eastAsia"/>
                <w:color w:val="auto"/>
              </w:rPr>
            </w:pPr>
          </w:p>
        </w:tc>
        <w:tc>
          <w:tcPr>
            <w:tcW w:w="631" w:type="pct"/>
            <w:noWrap w:val="0"/>
            <w:vAlign w:val="center"/>
          </w:tcPr>
          <w:p>
            <w:pPr>
              <w:spacing w:line="240" w:lineRule="exact"/>
              <w:jc w:val="center"/>
              <w:rPr>
                <w:rFonts w:hint="eastAsia"/>
                <w:color w:val="auto"/>
              </w:rPr>
            </w:pPr>
            <w:r>
              <w:rPr>
                <w:rFonts w:hint="eastAsia"/>
                <w:color w:val="auto"/>
              </w:rPr>
              <w:t>消防安全</w:t>
            </w:r>
          </w:p>
          <w:p>
            <w:pPr>
              <w:spacing w:line="240" w:lineRule="exact"/>
              <w:jc w:val="center"/>
              <w:rPr>
                <w:rFonts w:hint="eastAsia"/>
                <w:color w:val="auto"/>
              </w:rPr>
            </w:pPr>
            <w:r>
              <w:rPr>
                <w:rFonts w:hint="eastAsia"/>
                <w:color w:val="auto"/>
              </w:rPr>
              <w:t>责任人</w:t>
            </w:r>
          </w:p>
        </w:tc>
        <w:tc>
          <w:tcPr>
            <w:tcW w:w="751" w:type="pct"/>
            <w:gridSpan w:val="2"/>
            <w:noWrap w:val="0"/>
            <w:vAlign w:val="center"/>
          </w:tcPr>
          <w:p>
            <w:pPr>
              <w:spacing w:line="240" w:lineRule="exact"/>
              <w:jc w:val="center"/>
              <w:rPr>
                <w:rFonts w:hint="eastAsia"/>
                <w:color w:val="auto"/>
              </w:rPr>
            </w:pPr>
          </w:p>
        </w:tc>
        <w:tc>
          <w:tcPr>
            <w:tcW w:w="562" w:type="pct"/>
            <w:gridSpan w:val="2"/>
            <w:noWrap w:val="0"/>
            <w:vAlign w:val="center"/>
          </w:tcPr>
          <w:p>
            <w:pPr>
              <w:spacing w:line="240" w:lineRule="exact"/>
              <w:jc w:val="center"/>
              <w:rPr>
                <w:rFonts w:hint="eastAsia"/>
                <w:color w:val="auto"/>
              </w:rPr>
            </w:pPr>
            <w:r>
              <w:rPr>
                <w:rFonts w:hint="eastAsia"/>
                <w:color w:val="auto"/>
              </w:rPr>
              <w:t>联系电话</w:t>
            </w:r>
          </w:p>
        </w:tc>
        <w:tc>
          <w:tcPr>
            <w:tcW w:w="830" w:type="pct"/>
            <w:noWrap w:val="0"/>
            <w:vAlign w:val="center"/>
          </w:tcPr>
          <w:p>
            <w:pPr>
              <w:spacing w:line="240" w:lineRule="exact"/>
              <w:jc w:val="cente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49" w:type="pct"/>
            <w:gridSpan w:val="3"/>
            <w:noWrap w:val="0"/>
            <w:vAlign w:val="center"/>
          </w:tcPr>
          <w:p>
            <w:pPr>
              <w:spacing w:line="240" w:lineRule="exact"/>
              <w:jc w:val="center"/>
              <w:rPr>
                <w:rFonts w:hint="eastAsia"/>
                <w:color w:val="auto"/>
              </w:rPr>
            </w:pPr>
            <w:r>
              <w:rPr>
                <w:rFonts w:hint="eastAsia"/>
                <w:color w:val="auto"/>
              </w:rPr>
              <w:t>地    址</w:t>
            </w:r>
          </w:p>
        </w:tc>
        <w:tc>
          <w:tcPr>
            <w:tcW w:w="1474" w:type="pct"/>
            <w:gridSpan w:val="4"/>
            <w:noWrap w:val="0"/>
            <w:vAlign w:val="center"/>
          </w:tcPr>
          <w:p>
            <w:pPr>
              <w:spacing w:line="240" w:lineRule="exact"/>
              <w:jc w:val="center"/>
              <w:rPr>
                <w:rFonts w:hint="eastAsia"/>
                <w:color w:val="auto"/>
              </w:rPr>
            </w:pPr>
          </w:p>
        </w:tc>
        <w:tc>
          <w:tcPr>
            <w:tcW w:w="631" w:type="pct"/>
            <w:noWrap w:val="0"/>
            <w:vAlign w:val="center"/>
          </w:tcPr>
          <w:p>
            <w:pPr>
              <w:spacing w:line="240" w:lineRule="exact"/>
              <w:jc w:val="center"/>
              <w:rPr>
                <w:rFonts w:hint="eastAsia"/>
                <w:color w:val="auto"/>
              </w:rPr>
            </w:pPr>
            <w:r>
              <w:rPr>
                <w:rFonts w:hint="eastAsia"/>
                <w:color w:val="auto"/>
              </w:rPr>
              <w:t>消防安全</w:t>
            </w:r>
          </w:p>
          <w:p>
            <w:pPr>
              <w:spacing w:line="240" w:lineRule="exact"/>
              <w:jc w:val="center"/>
              <w:rPr>
                <w:rFonts w:hint="eastAsia"/>
                <w:color w:val="auto"/>
              </w:rPr>
            </w:pPr>
            <w:r>
              <w:rPr>
                <w:rFonts w:hint="eastAsia"/>
                <w:color w:val="auto"/>
              </w:rPr>
              <w:t>管理人</w:t>
            </w:r>
          </w:p>
        </w:tc>
        <w:tc>
          <w:tcPr>
            <w:tcW w:w="751" w:type="pct"/>
            <w:gridSpan w:val="2"/>
            <w:noWrap w:val="0"/>
            <w:vAlign w:val="center"/>
          </w:tcPr>
          <w:p>
            <w:pPr>
              <w:spacing w:line="240" w:lineRule="exact"/>
              <w:jc w:val="center"/>
              <w:rPr>
                <w:rFonts w:hint="eastAsia"/>
                <w:color w:val="auto"/>
              </w:rPr>
            </w:pPr>
          </w:p>
        </w:tc>
        <w:tc>
          <w:tcPr>
            <w:tcW w:w="562" w:type="pct"/>
            <w:gridSpan w:val="2"/>
            <w:noWrap w:val="0"/>
            <w:vAlign w:val="center"/>
          </w:tcPr>
          <w:p>
            <w:pPr>
              <w:spacing w:line="240" w:lineRule="exact"/>
              <w:jc w:val="center"/>
              <w:rPr>
                <w:rFonts w:hint="eastAsia"/>
                <w:color w:val="auto"/>
              </w:rPr>
            </w:pPr>
            <w:r>
              <w:rPr>
                <w:rFonts w:hint="eastAsia"/>
                <w:color w:val="auto"/>
              </w:rPr>
              <w:t>联系电话</w:t>
            </w:r>
          </w:p>
        </w:tc>
        <w:tc>
          <w:tcPr>
            <w:tcW w:w="830" w:type="pct"/>
            <w:noWrap w:val="0"/>
            <w:vAlign w:val="center"/>
          </w:tcPr>
          <w:p>
            <w:pPr>
              <w:spacing w:line="240" w:lineRule="exact"/>
              <w:jc w:val="cente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jc w:val="center"/>
        </w:trPr>
        <w:tc>
          <w:tcPr>
            <w:tcW w:w="223" w:type="pct"/>
            <w:vMerge w:val="restart"/>
            <w:noWrap w:val="0"/>
            <w:vAlign w:val="center"/>
          </w:tcPr>
          <w:p>
            <w:pPr>
              <w:jc w:val="center"/>
              <w:rPr>
                <w:rFonts w:hint="eastAsia"/>
                <w:color w:val="auto"/>
              </w:rPr>
            </w:pPr>
            <w:r>
              <w:rPr>
                <w:rFonts w:hint="eastAsia"/>
                <w:color w:val="auto"/>
              </w:rPr>
              <w:t>申</w:t>
            </w:r>
          </w:p>
          <w:p>
            <w:pPr>
              <w:jc w:val="center"/>
              <w:rPr>
                <w:rFonts w:hint="eastAsia"/>
                <w:color w:val="auto"/>
              </w:rPr>
            </w:pPr>
          </w:p>
          <w:p>
            <w:pPr>
              <w:jc w:val="center"/>
              <w:rPr>
                <w:rFonts w:hint="eastAsia"/>
                <w:color w:val="auto"/>
              </w:rPr>
            </w:pPr>
            <w:r>
              <w:rPr>
                <w:rFonts w:hint="eastAsia"/>
                <w:color w:val="auto"/>
              </w:rPr>
              <w:t>报</w:t>
            </w:r>
          </w:p>
          <w:p>
            <w:pPr>
              <w:jc w:val="center"/>
              <w:rPr>
                <w:rFonts w:hint="eastAsia"/>
                <w:color w:val="auto"/>
              </w:rPr>
            </w:pPr>
          </w:p>
          <w:p>
            <w:pPr>
              <w:jc w:val="center"/>
              <w:rPr>
                <w:rFonts w:hint="eastAsia"/>
                <w:color w:val="auto"/>
              </w:rPr>
            </w:pPr>
            <w:r>
              <w:rPr>
                <w:rFonts w:hint="eastAsia"/>
                <w:color w:val="auto"/>
              </w:rPr>
              <w:t>单</w:t>
            </w:r>
          </w:p>
          <w:p>
            <w:pPr>
              <w:jc w:val="center"/>
              <w:rPr>
                <w:rFonts w:hint="eastAsia"/>
                <w:color w:val="auto"/>
              </w:rPr>
            </w:pPr>
          </w:p>
          <w:p>
            <w:pPr>
              <w:jc w:val="center"/>
              <w:rPr>
                <w:rFonts w:hint="eastAsia"/>
                <w:color w:val="auto"/>
              </w:rPr>
            </w:pPr>
            <w:r>
              <w:rPr>
                <w:rFonts w:hint="eastAsia"/>
                <w:color w:val="auto"/>
              </w:rPr>
              <w:t>位</w:t>
            </w:r>
          </w:p>
          <w:p>
            <w:pPr>
              <w:jc w:val="center"/>
              <w:rPr>
                <w:rFonts w:hint="eastAsia"/>
                <w:color w:val="auto"/>
              </w:rPr>
            </w:pPr>
          </w:p>
          <w:p>
            <w:pPr>
              <w:jc w:val="center"/>
              <w:rPr>
                <w:rFonts w:hint="eastAsia"/>
                <w:color w:val="auto"/>
              </w:rPr>
            </w:pPr>
            <w:r>
              <w:rPr>
                <w:rFonts w:hint="eastAsia"/>
                <w:color w:val="auto"/>
              </w:rPr>
              <w:t>属</w:t>
            </w:r>
          </w:p>
          <w:p>
            <w:pPr>
              <w:jc w:val="center"/>
              <w:rPr>
                <w:rFonts w:hint="eastAsia"/>
                <w:color w:val="auto"/>
              </w:rPr>
            </w:pPr>
          </w:p>
          <w:p>
            <w:pPr>
              <w:jc w:val="center"/>
              <w:rPr>
                <w:rFonts w:hint="eastAsia"/>
                <w:color w:val="auto"/>
              </w:rPr>
            </w:pPr>
            <w:r>
              <w:rPr>
                <w:rFonts w:hint="eastAsia"/>
                <w:color w:val="auto"/>
              </w:rPr>
              <w:t>性</w:t>
            </w:r>
          </w:p>
        </w:tc>
        <w:tc>
          <w:tcPr>
            <w:tcW w:w="690" w:type="pct"/>
            <w:gridSpan w:val="3"/>
            <w:vMerge w:val="restart"/>
            <w:noWrap w:val="0"/>
            <w:vAlign w:val="center"/>
          </w:tcPr>
          <w:p>
            <w:pPr>
              <w:spacing w:line="200" w:lineRule="atLeast"/>
              <w:rPr>
                <w:color w:val="auto"/>
              </w:rPr>
            </w:pPr>
            <w:r>
              <w:rPr>
                <w:rFonts w:hint="eastAsia" w:ascii="宋体" w:hAnsi="宋体"/>
                <w:color w:val="auto"/>
              </w:rPr>
              <w:t xml:space="preserve">    宾馆、饭店、商场、集贸市场、体育场馆、会堂、公共娱乐场所等公众聚集场所</w:t>
            </w:r>
          </w:p>
        </w:tc>
        <w:tc>
          <w:tcPr>
            <w:tcW w:w="4086" w:type="pct"/>
            <w:gridSpan w:val="9"/>
            <w:noWrap w:val="0"/>
            <w:vAlign w:val="center"/>
          </w:tcPr>
          <w:p>
            <w:pPr>
              <w:spacing w:line="310" w:lineRule="exact"/>
              <w:rPr>
                <w:rFonts w:hint="eastAsia"/>
                <w:color w:val="auto"/>
              </w:rPr>
            </w:pPr>
            <w:r>
              <w:rPr>
                <w:rFonts w:hint="eastAsia" w:ascii="宋体" w:hAnsi="宋体"/>
                <w:color w:val="auto"/>
              </w:rPr>
              <w:t>□建筑面积在</w:t>
            </w:r>
            <w:r>
              <w:rPr>
                <w:rFonts w:ascii="宋体" w:hAnsi="宋体"/>
                <w:color w:val="auto"/>
              </w:rPr>
              <w:t>1000m</w:t>
            </w:r>
            <w:r>
              <w:rPr>
                <w:rFonts w:ascii="宋体" w:hAnsi="宋体"/>
                <w:color w:val="auto"/>
                <w:vertAlign w:val="superscript"/>
              </w:rPr>
              <w:t>2</w:t>
            </w:r>
            <w:r>
              <w:rPr>
                <w:rFonts w:hint="eastAsia" w:ascii="宋体" w:hAnsi="宋体"/>
                <w:color w:val="auto"/>
              </w:rPr>
              <w:t>（含本数，下同）以上且经营可燃商品的商场、集贸市场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310" w:lineRule="exact"/>
              <w:rPr>
                <w:color w:val="auto"/>
              </w:rPr>
            </w:pPr>
          </w:p>
        </w:tc>
        <w:tc>
          <w:tcPr>
            <w:tcW w:w="4086" w:type="pct"/>
            <w:gridSpan w:val="9"/>
            <w:noWrap w:val="0"/>
            <w:vAlign w:val="center"/>
          </w:tcPr>
          <w:p>
            <w:pPr>
              <w:spacing w:line="310" w:lineRule="exact"/>
              <w:rPr>
                <w:rFonts w:hint="eastAsia" w:ascii="宋体" w:hAnsi="宋体"/>
                <w:color w:val="auto"/>
              </w:rPr>
            </w:pPr>
            <w:r>
              <w:rPr>
                <w:rFonts w:hint="eastAsia" w:ascii="宋体" w:hAnsi="宋体"/>
                <w:color w:val="auto"/>
              </w:rPr>
              <w:t>□客房数在50间以上，或客房数在50间以下但设有商场、歌舞娱乐、餐饮场所等且建筑面积大于2000m</w:t>
            </w:r>
            <w:r>
              <w:rPr>
                <w:rFonts w:hint="eastAsia" w:ascii="宋体" w:hAnsi="宋体"/>
                <w:color w:val="auto"/>
                <w:vertAlign w:val="superscript"/>
              </w:rPr>
              <w:t>2</w:t>
            </w:r>
            <w:r>
              <w:rPr>
                <w:rFonts w:hint="eastAsia" w:ascii="宋体" w:hAnsi="宋体"/>
                <w:color w:val="auto"/>
              </w:rPr>
              <w:t>的宾馆、饭店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310" w:lineRule="exact"/>
              <w:rPr>
                <w:color w:val="auto"/>
              </w:rPr>
            </w:pPr>
          </w:p>
        </w:tc>
        <w:tc>
          <w:tcPr>
            <w:tcW w:w="4086" w:type="pct"/>
            <w:gridSpan w:val="9"/>
            <w:noWrap w:val="0"/>
            <w:vAlign w:val="center"/>
          </w:tcPr>
          <w:p>
            <w:pPr>
              <w:spacing w:line="310" w:lineRule="exact"/>
              <w:rPr>
                <w:rFonts w:hint="eastAsia" w:ascii="宋体" w:hAnsi="宋体"/>
                <w:color w:val="auto"/>
              </w:rPr>
            </w:pPr>
            <w:r>
              <w:rPr>
                <w:rFonts w:hint="eastAsia" w:ascii="宋体" w:hAnsi="宋体"/>
                <w:color w:val="auto"/>
              </w:rPr>
              <w:t>□公共的体育场馆、会堂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310" w:lineRule="exact"/>
              <w:rPr>
                <w:color w:val="auto"/>
              </w:rPr>
            </w:pPr>
          </w:p>
        </w:tc>
        <w:tc>
          <w:tcPr>
            <w:tcW w:w="4086" w:type="pct"/>
            <w:gridSpan w:val="9"/>
            <w:noWrap w:val="0"/>
            <w:vAlign w:val="center"/>
          </w:tcPr>
          <w:p>
            <w:pPr>
              <w:spacing w:line="310" w:lineRule="exact"/>
              <w:rPr>
                <w:rFonts w:hint="eastAsia" w:ascii="宋体" w:hAnsi="宋体"/>
                <w:color w:val="auto"/>
              </w:rPr>
            </w:pPr>
            <w:r>
              <w:rPr>
                <w:rFonts w:hint="eastAsia" w:ascii="宋体" w:hAnsi="宋体"/>
                <w:color w:val="auto"/>
              </w:rPr>
              <w:t>建筑面积在200</w:t>
            </w:r>
            <w:r>
              <w:rPr>
                <w:rFonts w:ascii="宋体" w:hAnsi="宋体"/>
                <w:color w:val="auto"/>
              </w:rPr>
              <w:t>m</w:t>
            </w:r>
            <w:r>
              <w:rPr>
                <w:rFonts w:ascii="宋体" w:hAnsi="宋体"/>
                <w:color w:val="auto"/>
                <w:vertAlign w:val="superscript"/>
              </w:rPr>
              <w:t>2</w:t>
            </w:r>
            <w:r>
              <w:rPr>
                <w:rFonts w:hint="eastAsia" w:ascii="宋体" w:hAnsi="宋体"/>
                <w:color w:val="auto"/>
              </w:rPr>
              <w:t>以上的下列室内公共娱乐场所：□1、影剧院、录像厅、礼堂等演出放映场所；□2、舞厅、KTV等歌舞娱乐场所；□3、具有娱乐功能的夜总会、音乐茶座和餐饮场所；□4、游艺、游乐场所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310" w:lineRule="exact"/>
              <w:rPr>
                <w:color w:val="auto"/>
              </w:rPr>
            </w:pPr>
          </w:p>
        </w:tc>
        <w:tc>
          <w:tcPr>
            <w:tcW w:w="4086" w:type="pct"/>
            <w:gridSpan w:val="9"/>
            <w:noWrap w:val="0"/>
            <w:vAlign w:val="center"/>
          </w:tcPr>
          <w:p>
            <w:pPr>
              <w:spacing w:line="310" w:lineRule="exact"/>
              <w:rPr>
                <w:rFonts w:hint="default" w:ascii="宋体" w:hAnsi="宋体" w:eastAsia="宋体"/>
                <w:color w:val="auto"/>
                <w:lang w:val="en-US" w:eastAsia="zh-CN"/>
              </w:rPr>
            </w:pPr>
            <w:r>
              <w:rPr>
                <w:rFonts w:hint="eastAsia" w:ascii="宋体" w:hAnsi="宋体"/>
                <w:color w:val="auto"/>
              </w:rPr>
              <w:t>□建筑面积在</w:t>
            </w:r>
            <w:r>
              <w:rPr>
                <w:rFonts w:ascii="宋体" w:hAnsi="宋体"/>
                <w:color w:val="auto"/>
              </w:rPr>
              <w:t>500m</w:t>
            </w:r>
            <w:r>
              <w:rPr>
                <w:rFonts w:ascii="宋体" w:hAnsi="宋体"/>
                <w:color w:val="auto"/>
                <w:vertAlign w:val="superscript"/>
              </w:rPr>
              <w:t>2</w:t>
            </w:r>
            <w:r>
              <w:rPr>
                <w:rFonts w:hint="eastAsia" w:ascii="宋体" w:hAnsi="宋体"/>
                <w:color w:val="auto"/>
              </w:rPr>
              <w:t>以上的足浴、美容院、桑拿浴室（洗浴部分面积除外）等营业性健身、休闲场所</w:t>
            </w:r>
            <w:r>
              <w:rPr>
                <w:rFonts w:hint="eastAsia" w:ascii="宋体" w:hAnsi="宋体"/>
                <w:color w:va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223" w:type="pct"/>
            <w:vMerge w:val="continue"/>
            <w:noWrap w:val="0"/>
            <w:vAlign w:val="center"/>
          </w:tcPr>
          <w:p>
            <w:pPr>
              <w:jc w:val="center"/>
              <w:rPr>
                <w:rFonts w:hint="eastAsia"/>
                <w:color w:val="auto"/>
              </w:rPr>
            </w:pPr>
          </w:p>
        </w:tc>
        <w:tc>
          <w:tcPr>
            <w:tcW w:w="690" w:type="pct"/>
            <w:gridSpan w:val="3"/>
            <w:vMerge w:val="restart"/>
            <w:noWrap w:val="0"/>
            <w:vAlign w:val="center"/>
          </w:tcPr>
          <w:p>
            <w:pPr>
              <w:spacing w:line="200" w:lineRule="atLeast"/>
              <w:ind w:firstLine="420" w:firstLineChars="200"/>
              <w:rPr>
                <w:color w:val="auto"/>
              </w:rPr>
            </w:pPr>
            <w:r>
              <w:rPr>
                <w:rFonts w:hint="eastAsia" w:ascii="宋体" w:hAnsi="宋体"/>
                <w:color w:val="auto"/>
              </w:rPr>
              <w:t>易燃易爆化学物品的生产、充装、储存、供应、销售单位</w:t>
            </w:r>
          </w:p>
        </w:tc>
        <w:tc>
          <w:tcPr>
            <w:tcW w:w="4086" w:type="pct"/>
            <w:gridSpan w:val="9"/>
            <w:noWrap w:val="0"/>
            <w:vAlign w:val="center"/>
          </w:tcPr>
          <w:p>
            <w:pPr>
              <w:spacing w:line="310" w:lineRule="exact"/>
              <w:rPr>
                <w:rFonts w:hint="eastAsia" w:ascii="宋体" w:hAnsi="宋体"/>
                <w:color w:val="auto"/>
              </w:rPr>
            </w:pPr>
            <w:r>
              <w:rPr>
                <w:rFonts w:hint="eastAsia" w:ascii="宋体" w:hAnsi="宋体"/>
                <w:color w:val="auto"/>
              </w:rPr>
              <w:t>□生产易燃易爆化学物品的工厂     □易燃易爆气体和液体的灌装站、调压站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200" w:lineRule="atLeast"/>
              <w:ind w:firstLine="420" w:firstLineChars="200"/>
              <w:rPr>
                <w:rFonts w:hint="eastAsia" w:ascii="宋体" w:hAnsi="宋体"/>
                <w:color w:val="auto"/>
              </w:rPr>
            </w:pPr>
          </w:p>
        </w:tc>
        <w:tc>
          <w:tcPr>
            <w:tcW w:w="4086" w:type="pct"/>
            <w:gridSpan w:val="9"/>
            <w:noWrap w:val="0"/>
            <w:vAlign w:val="center"/>
          </w:tcPr>
          <w:p>
            <w:pPr>
              <w:spacing w:line="310" w:lineRule="exact"/>
              <w:rPr>
                <w:rFonts w:hint="eastAsia" w:ascii="宋体" w:hAnsi="宋体"/>
                <w:color w:val="auto"/>
              </w:rPr>
            </w:pPr>
            <w:r>
              <w:rPr>
                <w:rFonts w:hint="eastAsia" w:ascii="宋体" w:hAnsi="宋体"/>
                <w:color w:val="auto"/>
              </w:rPr>
              <w:t>□储存易燃易爆化学物品的专用仓库（堆场、储罐场所）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200" w:lineRule="atLeast"/>
              <w:ind w:firstLine="420" w:firstLineChars="200"/>
              <w:rPr>
                <w:rFonts w:hint="eastAsia" w:ascii="宋体" w:hAnsi="宋体"/>
                <w:color w:val="auto"/>
              </w:rPr>
            </w:pPr>
          </w:p>
        </w:tc>
        <w:tc>
          <w:tcPr>
            <w:tcW w:w="4086" w:type="pct"/>
            <w:gridSpan w:val="9"/>
            <w:noWrap w:val="0"/>
            <w:vAlign w:val="center"/>
          </w:tcPr>
          <w:p>
            <w:pPr>
              <w:spacing w:line="310" w:lineRule="exact"/>
              <w:rPr>
                <w:rFonts w:hint="eastAsia" w:ascii="宋体" w:hAnsi="宋体"/>
                <w:color w:val="auto"/>
              </w:rPr>
            </w:pPr>
            <w:r>
              <w:rPr>
                <w:rFonts w:hint="eastAsia" w:ascii="宋体" w:hAnsi="宋体"/>
                <w:color w:val="auto"/>
              </w:rPr>
              <w:t>□营业性加油站、加气站，液化石油气供应站（换瓶站）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200" w:lineRule="atLeast"/>
              <w:ind w:firstLine="420" w:firstLineChars="200"/>
              <w:rPr>
                <w:rFonts w:hint="eastAsia" w:ascii="宋体" w:hAnsi="宋体"/>
                <w:color w:val="auto"/>
              </w:rPr>
            </w:pPr>
          </w:p>
        </w:tc>
        <w:tc>
          <w:tcPr>
            <w:tcW w:w="672" w:type="pct"/>
            <w:gridSpan w:val="2"/>
            <w:vMerge w:val="restart"/>
            <w:noWrap w:val="0"/>
            <w:vAlign w:val="center"/>
          </w:tcPr>
          <w:p>
            <w:pPr>
              <w:spacing w:line="300" w:lineRule="exact"/>
              <w:rPr>
                <w:rFonts w:hint="eastAsia" w:ascii="宋体" w:hAnsi="宋体"/>
                <w:color w:val="auto"/>
              </w:rPr>
            </w:pPr>
            <w:r>
              <w:rPr>
                <w:rFonts w:hint="eastAsia" w:ascii="宋体" w:hAnsi="宋体"/>
                <w:color w:val="auto"/>
              </w:rPr>
              <w:t>□经营易燃易爆化学物品化工商店</w:t>
            </w:r>
          </w:p>
        </w:tc>
        <w:tc>
          <w:tcPr>
            <w:tcW w:w="3414" w:type="pct"/>
            <w:gridSpan w:val="7"/>
            <w:noWrap w:val="0"/>
            <w:vAlign w:val="center"/>
          </w:tcPr>
          <w:p>
            <w:pPr>
              <w:spacing w:line="310" w:lineRule="exact"/>
              <w:rPr>
                <w:rFonts w:hint="eastAsia" w:ascii="宋体" w:hAnsi="宋体"/>
                <w:color w:val="auto"/>
              </w:rPr>
            </w:pPr>
            <w:r>
              <w:rPr>
                <w:rFonts w:hint="eastAsia" w:ascii="宋体" w:hAnsi="宋体"/>
                <w:color w:val="auto"/>
              </w:rPr>
              <w:t>□经营甲、乙类易燃易爆化学物品，站内总存量</w:t>
            </w:r>
            <w:r>
              <w:rPr>
                <w:rFonts w:ascii="宋体" w:hAnsi="宋体"/>
                <w:color w:val="auto"/>
              </w:rPr>
              <w:t>300</w:t>
            </w:r>
            <w:r>
              <w:rPr>
                <w:rFonts w:hint="eastAsia" w:ascii="宋体" w:hAnsi="宋体"/>
                <w:color w:val="auto"/>
              </w:rPr>
              <w:t>公斤或</w:t>
            </w:r>
            <w:r>
              <w:rPr>
                <w:rFonts w:ascii="宋体" w:hAnsi="宋体"/>
                <w:color w:val="auto"/>
              </w:rPr>
              <w:t>5</w:t>
            </w:r>
            <w:r>
              <w:rPr>
                <w:rFonts w:hint="eastAsia" w:ascii="宋体" w:hAnsi="宋体"/>
                <w:color w:val="auto"/>
              </w:rPr>
              <w:t>立方米以上的商店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690" w:type="pct"/>
            <w:gridSpan w:val="3"/>
            <w:vMerge w:val="continue"/>
            <w:noWrap w:val="0"/>
            <w:vAlign w:val="center"/>
          </w:tcPr>
          <w:p>
            <w:pPr>
              <w:spacing w:line="200" w:lineRule="atLeast"/>
              <w:ind w:firstLine="420" w:firstLineChars="200"/>
              <w:rPr>
                <w:rFonts w:hint="eastAsia" w:ascii="宋体" w:hAnsi="宋体"/>
                <w:color w:val="auto"/>
              </w:rPr>
            </w:pPr>
          </w:p>
        </w:tc>
        <w:tc>
          <w:tcPr>
            <w:tcW w:w="672" w:type="pct"/>
            <w:gridSpan w:val="2"/>
            <w:vMerge w:val="continue"/>
            <w:noWrap w:val="0"/>
            <w:vAlign w:val="center"/>
          </w:tcPr>
          <w:p>
            <w:pPr>
              <w:spacing w:line="240" w:lineRule="exact"/>
              <w:rPr>
                <w:rFonts w:hint="eastAsia" w:ascii="宋体" w:hAnsi="宋体"/>
                <w:color w:val="auto"/>
              </w:rPr>
            </w:pPr>
          </w:p>
        </w:tc>
        <w:tc>
          <w:tcPr>
            <w:tcW w:w="3414" w:type="pct"/>
            <w:gridSpan w:val="7"/>
            <w:noWrap w:val="0"/>
            <w:vAlign w:val="center"/>
          </w:tcPr>
          <w:p>
            <w:pPr>
              <w:spacing w:line="310" w:lineRule="exact"/>
              <w:rPr>
                <w:rFonts w:hint="eastAsia" w:ascii="宋体" w:hAnsi="宋体"/>
                <w:color w:val="auto"/>
              </w:rPr>
            </w:pPr>
            <w:r>
              <w:rPr>
                <w:rFonts w:hint="eastAsia" w:ascii="宋体" w:hAnsi="宋体"/>
                <w:color w:val="auto"/>
              </w:rPr>
              <w:t>□经营甲、乙类易燃易爆化学物品营业面积在</w:t>
            </w:r>
            <w:r>
              <w:rPr>
                <w:rFonts w:ascii="宋体" w:hAnsi="宋体"/>
                <w:color w:val="auto"/>
              </w:rPr>
              <w:t>300m</w:t>
            </w:r>
            <w:r>
              <w:rPr>
                <w:rFonts w:ascii="宋体" w:hAnsi="宋体"/>
                <w:color w:val="auto"/>
                <w:vertAlign w:val="superscript"/>
              </w:rPr>
              <w:t>2</w:t>
            </w:r>
            <w:r>
              <w:rPr>
                <w:rFonts w:hint="eastAsia" w:ascii="宋体" w:hAnsi="宋体"/>
                <w:color w:val="auto"/>
              </w:rPr>
              <w:t>以上的商店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ascii="宋体" w:hAnsi="宋体"/>
                <w:color w:val="auto"/>
              </w:rPr>
            </w:pPr>
            <w:r>
              <w:rPr>
                <w:rFonts w:hint="eastAsia" w:ascii="宋体" w:hAnsi="宋体"/>
                <w:color w:val="auto"/>
              </w:rPr>
              <w:t>□</w:t>
            </w:r>
            <w:r>
              <w:rPr>
                <w:rFonts w:hint="eastAsia" w:ascii="宋体" w:hAnsi="宋体"/>
                <w:color w:val="auto"/>
                <w:lang w:val="en-US" w:eastAsia="zh-CN"/>
              </w:rPr>
              <w:t>剧本杀、密室逃脱等剧本娱乐经营场所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ascii="宋体" w:hAnsi="宋体" w:eastAsia="宋体" w:cs="Times New Roman"/>
                <w:color w:val="auto"/>
                <w:kern w:val="2"/>
                <w:sz w:val="21"/>
                <w:szCs w:val="24"/>
                <w:lang w:val="en-US" w:eastAsia="zh-CN" w:bidi="ar-SA"/>
              </w:rPr>
            </w:pPr>
            <w:r>
              <w:rPr>
                <w:rFonts w:hint="eastAsia" w:ascii="宋体" w:hAnsi="宋体"/>
                <w:color w:val="auto"/>
              </w:rPr>
              <w:t>□</w:t>
            </w:r>
            <w:r>
              <w:rPr>
                <w:rFonts w:hint="default" w:ascii="宋体" w:hAnsi="宋体"/>
                <w:color w:val="auto"/>
                <w:lang w:val="en-US" w:eastAsia="zh-CN"/>
              </w:rPr>
              <w:t>建筑面积在1000平方米以上的室内冰雪活动场所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keepNext w:val="0"/>
              <w:keepLines w:val="0"/>
              <w:pageBreakBefore w:val="0"/>
              <w:widowControl w:val="0"/>
              <w:kinsoku/>
              <w:wordWrap/>
              <w:overflowPunct/>
              <w:topLinePunct w:val="0"/>
              <w:autoSpaceDE/>
              <w:autoSpaceDN/>
              <w:bidi w:val="0"/>
              <w:adjustRightInd/>
              <w:snapToGrid/>
              <w:spacing w:line="310" w:lineRule="exact"/>
              <w:textAlignment w:val="auto"/>
              <w:rPr>
                <w:rFonts w:hint="eastAsia" w:ascii="宋体" w:hAnsi="宋体"/>
                <w:color w:val="auto"/>
              </w:rPr>
            </w:pPr>
            <w:r>
              <w:rPr>
                <w:rFonts w:hint="eastAsia" w:ascii="宋体" w:hAnsi="宋体"/>
                <w:color w:val="auto"/>
              </w:rPr>
              <w:t>□住院床位50张以上医疗保健机构         □住宿床位在</w:t>
            </w:r>
            <w:r>
              <w:rPr>
                <w:rFonts w:ascii="宋体" w:hAnsi="宋体"/>
                <w:color w:val="auto"/>
              </w:rPr>
              <w:t>50</w:t>
            </w:r>
            <w:r>
              <w:rPr>
                <w:rFonts w:hint="eastAsia" w:ascii="宋体" w:hAnsi="宋体"/>
                <w:color w:val="auto"/>
              </w:rPr>
              <w:t>张以上的养老院、福利院</w:t>
            </w:r>
          </w:p>
          <w:p>
            <w:pPr>
              <w:pStyle w:val="2"/>
              <w:keepNext w:val="0"/>
              <w:keepLines w:val="0"/>
              <w:pageBreakBefore w:val="0"/>
              <w:widowControl w:val="0"/>
              <w:kinsoku/>
              <w:wordWrap/>
              <w:overflowPunct/>
              <w:topLinePunct w:val="0"/>
              <w:autoSpaceDE/>
              <w:autoSpaceDN/>
              <w:bidi w:val="0"/>
              <w:adjustRightInd/>
              <w:snapToGrid/>
              <w:spacing w:line="310" w:lineRule="exact"/>
              <w:textAlignment w:val="auto"/>
              <w:rPr>
                <w:rFonts w:hint="eastAsia"/>
                <w:color w:val="auto"/>
              </w:rPr>
            </w:pPr>
            <w:r>
              <w:rPr>
                <w:rFonts w:hint="eastAsia" w:ascii="宋体" w:hAnsi="宋体"/>
                <w:color w:val="auto"/>
              </w:rPr>
              <w:t>□</w:t>
            </w:r>
            <w:r>
              <w:rPr>
                <w:rFonts w:hint="eastAsia"/>
                <w:color w:val="auto"/>
                <w:lang w:val="en-US" w:eastAsia="zh-CN"/>
              </w:rPr>
              <w:t>住宿床位在50张以上的月子中心等孕婴服务场所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ascii="宋体" w:hAnsi="宋体"/>
                <w:color w:val="auto"/>
              </w:rPr>
            </w:pPr>
            <w:r>
              <w:rPr>
                <w:rFonts w:hint="eastAsia" w:ascii="宋体" w:hAnsi="宋体"/>
                <w:color w:val="auto"/>
              </w:rPr>
              <w:t>□学生住宿床位数100张以上的学校        □幼儿住宿床位50张以上托儿所、幼儿园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□县级以上的党委、人大、政府、政协</w:t>
            </w:r>
            <w:r>
              <w:rPr>
                <w:rFonts w:hint="eastAsia" w:ascii="宋体" w:hAnsi="宋体"/>
                <w:color w:val="auto"/>
                <w:lang w:eastAsia="zh-CN"/>
              </w:rPr>
              <w:t>、监察委员会、</w:t>
            </w:r>
            <w:r>
              <w:rPr>
                <w:rFonts w:hint="eastAsia" w:ascii="宋体" w:hAnsi="宋体"/>
                <w:color w:val="auto"/>
              </w:rPr>
              <w:t>人民检察院、人民法院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□县级以上广播电台、电视台    □县级以上邮政、通信枢纽单位</w:t>
            </w:r>
            <w:r>
              <w:rPr>
                <w:rFonts w:hint="eastAsia" w:ascii="宋体" w:hAnsi="宋体"/>
                <w:color w:val="auto"/>
                <w:lang w:val="en-US" w:eastAsia="zh-CN"/>
              </w:rPr>
              <w:t xml:space="preserve">    </w:t>
            </w:r>
            <w:r>
              <w:rPr>
                <w:rFonts w:hint="eastAsia" w:ascii="宋体" w:hAnsi="宋体"/>
                <w:color w:val="auto"/>
              </w:rPr>
              <w:t>□</w:t>
            </w:r>
            <w:r>
              <w:rPr>
                <w:rFonts w:hint="eastAsia" w:ascii="宋体" w:hAnsi="宋体"/>
                <w:color w:val="auto"/>
                <w:lang w:val="en-US" w:eastAsia="zh-CN"/>
              </w:rPr>
              <w:t>县级以上数据中心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□建筑面积在</w:t>
            </w:r>
            <w:r>
              <w:rPr>
                <w:rFonts w:ascii="宋体" w:hAnsi="宋体"/>
                <w:color w:val="auto"/>
              </w:rPr>
              <w:t>500m</w:t>
            </w:r>
            <w:r>
              <w:rPr>
                <w:rFonts w:ascii="宋体" w:hAnsi="宋体"/>
                <w:color w:val="auto"/>
                <w:vertAlign w:val="superscript"/>
              </w:rPr>
              <w:t>2</w:t>
            </w:r>
            <w:r>
              <w:rPr>
                <w:rFonts w:hint="eastAsia" w:ascii="宋体" w:hAnsi="宋体"/>
                <w:color w:val="auto"/>
              </w:rPr>
              <w:t>以上的客运车站侯车厅、客运码头候船厅    □民用机场航站楼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□建筑面积在2000</w:t>
            </w:r>
            <w:r>
              <w:rPr>
                <w:rFonts w:ascii="宋体" w:hAnsi="宋体"/>
                <w:color w:val="auto"/>
              </w:rPr>
              <w:t>m</w:t>
            </w:r>
            <w:r>
              <w:rPr>
                <w:rFonts w:ascii="宋体" w:hAnsi="宋体"/>
                <w:color w:val="auto"/>
                <w:vertAlign w:val="superscript"/>
              </w:rPr>
              <w:t>2</w:t>
            </w:r>
            <w:r>
              <w:rPr>
                <w:rFonts w:hint="eastAsia" w:ascii="宋体" w:hAnsi="宋体"/>
                <w:color w:val="auto"/>
              </w:rPr>
              <w:t>以上的公共图书馆、展览馆               □公共博物馆、档案馆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default" w:eastAsia="宋体"/>
                <w:color w:val="auto"/>
                <w:lang w:val="en-US" w:eastAsia="zh-CN"/>
              </w:rPr>
            </w:pPr>
            <w:r>
              <w:rPr>
                <w:rFonts w:hint="eastAsia" w:ascii="宋体" w:hAnsi="宋体"/>
                <w:color w:val="auto"/>
              </w:rPr>
              <w:t xml:space="preserve">□具有火灾危险性的县级以上文物保护单位 </w:t>
            </w:r>
            <w:r>
              <w:rPr>
                <w:rFonts w:hint="eastAsia" w:ascii="宋体" w:hAnsi="宋体"/>
                <w:color w:val="auto"/>
                <w:lang w:val="en-US" w:eastAsia="zh-CN"/>
              </w:rPr>
              <w:t xml:space="preserve">  </w:t>
            </w:r>
            <w:r>
              <w:rPr>
                <w:rFonts w:hint="eastAsia" w:ascii="宋体" w:hAnsi="宋体"/>
                <w:color w:val="auto"/>
              </w:rPr>
              <w:t>□</w:t>
            </w:r>
            <w:r>
              <w:rPr>
                <w:rFonts w:hint="eastAsia" w:ascii="宋体" w:hAnsi="宋体"/>
                <w:color w:val="auto"/>
                <w:lang w:val="en-US" w:eastAsia="zh-CN"/>
              </w:rPr>
              <w:t>4A级以上具有建筑火灾危险性的旅游景区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ascii="宋体" w:hAnsi="宋体"/>
                <w:color w:val="auto"/>
              </w:rPr>
            </w:pPr>
            <w:r>
              <w:rPr>
                <w:rFonts w:hint="eastAsia" w:ascii="宋体" w:hAnsi="宋体"/>
                <w:color w:val="auto"/>
              </w:rPr>
              <w:t>□单个生产车间员工在</w:t>
            </w:r>
            <w:r>
              <w:rPr>
                <w:rFonts w:ascii="宋体" w:hAnsi="宋体"/>
                <w:color w:val="auto"/>
              </w:rPr>
              <w:t>100</w:t>
            </w:r>
            <w:r>
              <w:rPr>
                <w:rFonts w:hint="eastAsia" w:ascii="宋体" w:hAnsi="宋体"/>
                <w:color w:val="auto"/>
              </w:rPr>
              <w:t>人以上的服装、鞋帽、玩具、食品等劳动密集型企业</w:t>
            </w:r>
          </w:p>
          <w:p>
            <w:pPr>
              <w:pStyle w:val="2"/>
              <w:rPr>
                <w:rFonts w:hint="eastAsia"/>
                <w:color w:val="auto"/>
              </w:rPr>
            </w:pPr>
            <w:r>
              <w:rPr>
                <w:rFonts w:hint="eastAsia" w:ascii="宋体" w:hAnsi="宋体"/>
                <w:color w:val="auto"/>
              </w:rPr>
              <w:t>□</w:t>
            </w:r>
            <w:r>
              <w:rPr>
                <w:rFonts w:hint="eastAsia"/>
                <w:color w:val="auto"/>
                <w:lang w:val="en-US" w:eastAsia="zh-CN"/>
              </w:rPr>
              <w:t>同一建筑内存在多个服装、鞋帽、玩具、木制品、家具、塑料、食品加工、纺织、印染、印刷产品等企业且生产车间员工总人数在100人以上的建筑产权或管理单位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ascii="宋体" w:hAnsi="宋体"/>
                <w:color w:val="auto"/>
              </w:rPr>
            </w:pPr>
            <w:r>
              <w:rPr>
                <w:rFonts w:hint="eastAsia" w:ascii="宋体" w:hAnsi="宋体"/>
                <w:color w:val="auto"/>
              </w:rPr>
              <w:t xml:space="preserve">□发电厂（站）和电网经营企业  </w:t>
            </w:r>
            <w:r>
              <w:rPr>
                <w:rFonts w:hint="eastAsia" w:ascii="宋体" w:hAnsi="宋体"/>
                <w:color w:val="auto"/>
                <w:lang w:val="en-US" w:eastAsia="zh-CN"/>
              </w:rPr>
              <w:t xml:space="preserve">      </w:t>
            </w:r>
            <w:r>
              <w:rPr>
                <w:rFonts w:hint="eastAsia" w:ascii="宋体" w:hAnsi="宋体"/>
                <w:color w:val="auto"/>
              </w:rPr>
              <w:t xml:space="preserve">  □国家和省级科研单位</w:t>
            </w:r>
          </w:p>
          <w:p>
            <w:pPr>
              <w:spacing w:line="310" w:lineRule="exact"/>
              <w:rPr>
                <w:rFonts w:hint="eastAsia"/>
                <w:color w:val="auto"/>
              </w:rPr>
            </w:pPr>
            <w:r>
              <w:rPr>
                <w:rFonts w:hint="eastAsia" w:ascii="宋体" w:hAnsi="宋体"/>
                <w:color w:val="auto"/>
              </w:rPr>
              <w:t>□</w:t>
            </w:r>
            <w:r>
              <w:rPr>
                <w:rFonts w:hint="eastAsia" w:ascii="宋体" w:hAnsi="宋体"/>
                <w:color w:val="auto"/>
                <w:lang w:val="en-US" w:eastAsia="zh-CN"/>
              </w:rPr>
              <w:t>功率为30MW且容量为30MW·h及以上的电化学储能电站</w:t>
            </w:r>
            <w:r>
              <w:rPr>
                <w:rFonts w:hint="eastAsia" w:ascii="宋体" w:hAnsi="宋体"/>
                <w:color w:val="auto"/>
              </w:rPr>
              <w:t xml:space="preserve">          </w:t>
            </w:r>
            <w:r>
              <w:rPr>
                <w:rFonts w:hint="eastAsia" w:ascii="宋体" w:hAnsi="宋体"/>
                <w:color w:val="auto"/>
                <w:spacing w:val="4"/>
                <w:szCs w:val="21"/>
              </w:rPr>
              <w:t xml:space="preserve">    </w:t>
            </w:r>
            <w:r>
              <w:rPr>
                <w:rFonts w:hint="eastAsia" w:ascii="宋体" w:hAnsi="宋体"/>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□高层公共建筑建筑高度在</w:t>
            </w:r>
            <w:r>
              <w:rPr>
                <w:rFonts w:ascii="宋体" w:hAnsi="宋体"/>
                <w:color w:val="auto"/>
              </w:rPr>
              <w:t>50</w:t>
            </w:r>
            <w:r>
              <w:rPr>
                <w:rFonts w:hint="eastAsia" w:ascii="宋体" w:hAnsi="宋体"/>
                <w:color w:val="auto"/>
              </w:rPr>
              <w:t>米以上的办公楼（写字楼）、公寓楼等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□城市地下铁道、地下观光隧道等地下公共建筑和城市重要的交通隧道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□国家储备粮库、总储量在10000吨以上的其他粮库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spacing w:line="360" w:lineRule="exact"/>
              <w:jc w:val="center"/>
              <w:rPr>
                <w:rFonts w:hint="eastAsia"/>
                <w:color w:val="auto"/>
              </w:rPr>
            </w:pPr>
          </w:p>
        </w:tc>
        <w:tc>
          <w:tcPr>
            <w:tcW w:w="4776" w:type="pct"/>
            <w:gridSpan w:val="12"/>
            <w:noWrap w:val="0"/>
            <w:vAlign w:val="center"/>
          </w:tcPr>
          <w:p>
            <w:pPr>
              <w:tabs>
                <w:tab w:val="left" w:pos="4222"/>
              </w:tabs>
              <w:spacing w:line="310" w:lineRule="exact"/>
              <w:rPr>
                <w:rFonts w:hint="eastAsia"/>
                <w:color w:val="auto"/>
              </w:rPr>
            </w:pPr>
            <w:r>
              <w:rPr>
                <w:rFonts w:hint="eastAsia" w:ascii="宋体" w:hAnsi="宋体"/>
                <w:color w:val="auto"/>
              </w:rPr>
              <w:t xml:space="preserve">□总储量在500吨以上的棉库              </w:t>
            </w:r>
            <w:r>
              <w:rPr>
                <w:rFonts w:hint="eastAsia" w:ascii="宋体" w:hAnsi="宋体"/>
                <w:color w:val="auto"/>
              </w:rPr>
              <w:sym w:font="Wingdings 2" w:char="00A3"/>
            </w:r>
            <w:r>
              <w:rPr>
                <w:rFonts w:hint="eastAsia" w:ascii="宋体" w:hAnsi="宋体"/>
                <w:color w:val="auto"/>
              </w:rPr>
              <w:t>总储量在10000立方米的以上的木材堆场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spacing w:line="360" w:lineRule="exact"/>
              <w:jc w:val="center"/>
              <w:rPr>
                <w:rFonts w:hint="eastAsia"/>
                <w:color w:val="auto"/>
              </w:rPr>
            </w:pPr>
          </w:p>
        </w:tc>
        <w:tc>
          <w:tcPr>
            <w:tcW w:w="4776" w:type="pct"/>
            <w:gridSpan w:val="12"/>
            <w:noWrap w:val="0"/>
            <w:vAlign w:val="center"/>
          </w:tcPr>
          <w:p>
            <w:pPr>
              <w:tabs>
                <w:tab w:val="left" w:pos="4222"/>
              </w:tabs>
              <w:spacing w:line="310" w:lineRule="exact"/>
              <w:rPr>
                <w:rFonts w:hint="eastAsia"/>
                <w:color w:val="auto"/>
              </w:rPr>
            </w:pPr>
            <w:r>
              <w:rPr>
                <w:rFonts w:hint="eastAsia" w:ascii="宋体" w:hAnsi="宋体"/>
                <w:color w:val="auto"/>
              </w:rPr>
              <w:t>□总储存价值在</w:t>
            </w:r>
            <w:r>
              <w:rPr>
                <w:rFonts w:ascii="宋体" w:hAnsi="宋体"/>
                <w:color w:val="auto"/>
              </w:rPr>
              <w:t>5000</w:t>
            </w:r>
            <w:r>
              <w:rPr>
                <w:rFonts w:hint="eastAsia" w:ascii="宋体" w:hAnsi="宋体"/>
                <w:color w:val="auto"/>
              </w:rPr>
              <w:t>万元以上的可燃物品仓库、堆场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spacing w:line="360" w:lineRule="exact"/>
              <w:jc w:val="center"/>
              <w:rPr>
                <w:rFonts w:hint="eastAsia"/>
                <w:color w:val="auto"/>
              </w:rPr>
            </w:pPr>
          </w:p>
        </w:tc>
        <w:tc>
          <w:tcPr>
            <w:tcW w:w="4776" w:type="pct"/>
            <w:gridSpan w:val="12"/>
            <w:noWrap w:val="0"/>
            <w:vAlign w:val="center"/>
          </w:tcPr>
          <w:p>
            <w:pPr>
              <w:tabs>
                <w:tab w:val="left" w:pos="4222"/>
              </w:tabs>
              <w:spacing w:line="310" w:lineRule="exact"/>
              <w:rPr>
                <w:rFonts w:hint="eastAsia" w:ascii="宋体" w:hAnsi="宋体"/>
                <w:color w:val="auto"/>
              </w:rPr>
            </w:pPr>
            <w:r>
              <w:rPr>
                <w:rFonts w:hint="eastAsia" w:ascii="宋体" w:hAnsi="宋体"/>
                <w:color w:val="auto"/>
              </w:rPr>
              <w:t>□</w:t>
            </w:r>
            <w:r>
              <w:rPr>
                <w:rFonts w:hint="eastAsia" w:ascii="宋体" w:hAnsi="宋体"/>
                <w:color w:val="auto"/>
                <w:lang w:val="en-US" w:eastAsia="zh-CN"/>
              </w:rPr>
              <w:t>存储型物流建筑单体面积在5000平方米以上，作业型物流建筑、综合型物流建筑单体面积在10000平方米以上的企业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spacing w:line="360" w:lineRule="exact"/>
              <w:jc w:val="center"/>
              <w:rPr>
                <w:rFonts w:hint="eastAsia"/>
                <w:color w:val="auto"/>
              </w:rPr>
            </w:pPr>
          </w:p>
        </w:tc>
        <w:tc>
          <w:tcPr>
            <w:tcW w:w="4776" w:type="pct"/>
            <w:gridSpan w:val="12"/>
            <w:noWrap w:val="0"/>
            <w:vAlign w:val="center"/>
          </w:tcPr>
          <w:p>
            <w:pPr>
              <w:spacing w:line="310" w:lineRule="exact"/>
              <w:rPr>
                <w:rFonts w:hint="eastAsia"/>
                <w:color w:val="auto"/>
              </w:rPr>
            </w:pPr>
            <w:r>
              <w:rPr>
                <w:rFonts w:hint="eastAsia" w:ascii="宋体" w:hAnsi="宋体"/>
                <w:color w:val="auto"/>
              </w:rPr>
              <w:t>□国家和省级等重点工程的施工现场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23" w:type="pct"/>
            <w:vMerge w:val="continue"/>
            <w:noWrap w:val="0"/>
            <w:vAlign w:val="center"/>
          </w:tcPr>
          <w:p>
            <w:pPr>
              <w:spacing w:line="360" w:lineRule="exact"/>
              <w:jc w:val="center"/>
              <w:rPr>
                <w:rFonts w:hint="eastAsia"/>
                <w:color w:val="auto"/>
              </w:rPr>
            </w:pPr>
          </w:p>
        </w:tc>
        <w:tc>
          <w:tcPr>
            <w:tcW w:w="4776" w:type="pct"/>
            <w:gridSpan w:val="12"/>
            <w:noWrap w:val="0"/>
            <w:vAlign w:val="center"/>
          </w:tcPr>
          <w:p>
            <w:pPr>
              <w:tabs>
                <w:tab w:val="left" w:pos="4222"/>
              </w:tabs>
              <w:spacing w:line="310" w:lineRule="exact"/>
              <w:rPr>
                <w:rFonts w:hint="eastAsia"/>
                <w:color w:val="auto"/>
              </w:rPr>
            </w:pPr>
            <w:r>
              <w:rPr>
                <w:rFonts w:hint="eastAsia" w:ascii="宋体" w:hAnsi="宋体"/>
                <w:color w:val="auto"/>
              </w:rPr>
              <w:t>□其他发生火灾可能性较大以及一旦发生火灾可能造成人身重大伤亡或者财产重大损失的单位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 w:hRule="atLeast"/>
          <w:jc w:val="center"/>
        </w:trPr>
        <w:tc>
          <w:tcPr>
            <w:tcW w:w="223" w:type="pct"/>
            <w:vMerge w:val="continue"/>
            <w:tcBorders>
              <w:bottom w:val="single" w:color="auto" w:sz="4" w:space="0"/>
            </w:tcBorders>
            <w:noWrap w:val="0"/>
            <w:vAlign w:val="center"/>
          </w:tcPr>
          <w:p>
            <w:pPr>
              <w:spacing w:line="360" w:lineRule="exact"/>
              <w:jc w:val="center"/>
              <w:rPr>
                <w:rFonts w:hint="eastAsia"/>
                <w:color w:val="auto"/>
              </w:rPr>
            </w:pPr>
          </w:p>
        </w:tc>
        <w:tc>
          <w:tcPr>
            <w:tcW w:w="4776" w:type="pct"/>
            <w:gridSpan w:val="12"/>
            <w:tcBorders>
              <w:bottom w:val="single" w:color="auto" w:sz="4" w:space="0"/>
            </w:tcBorders>
            <w:noWrap w:val="0"/>
            <w:vAlign w:val="center"/>
          </w:tcPr>
          <w:p>
            <w:pPr>
              <w:spacing w:line="310" w:lineRule="exact"/>
              <w:rPr>
                <w:rFonts w:hint="eastAsia"/>
                <w:color w:val="auto"/>
              </w:rPr>
            </w:pPr>
            <w:r>
              <w:rPr>
                <w:rFonts w:hint="eastAsia" w:ascii="宋体" w:hAnsi="宋体"/>
                <w:color w:val="auto"/>
              </w:rPr>
              <w:t>其他：</w:t>
            </w:r>
            <w:r>
              <w:rPr>
                <w:rFonts w:ascii="宋体" w:hAnsi="宋体"/>
                <w:color w:val="auto"/>
              </w:rPr>
              <w:t>1.</w:t>
            </w:r>
            <w:r>
              <w:rPr>
                <w:rFonts w:hint="eastAsia" w:ascii="宋体" w:hAnsi="宋体"/>
                <w:color w:val="auto"/>
              </w:rPr>
              <w:t>一个物业小区内有多栋高层公寓等建筑物而且同属一个产权单位或物业管理单位的，可算一个消防安全重点单位。</w:t>
            </w:r>
            <w:r>
              <w:rPr>
                <w:rFonts w:ascii="宋体" w:hAnsi="宋体"/>
                <w:color w:val="auto"/>
              </w:rPr>
              <w:t>2.</w:t>
            </w:r>
            <w:r>
              <w:rPr>
                <w:rFonts w:hint="eastAsia" w:ascii="宋体" w:hAnsi="宋体"/>
                <w:color w:val="auto"/>
              </w:rPr>
              <w:t>在一个符合界定标准的单位或建筑物内另有符合界定标准而法人不同的单位，可分别算为消防安全重点单位，法人相同但多家承包、租赁的可算为一个消防安全重点单位。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5000" w:type="pct"/>
            <w:gridSpan w:val="13"/>
            <w:noWrap w:val="0"/>
            <w:vAlign w:val="center"/>
          </w:tcPr>
          <w:p>
            <w:pPr>
              <w:jc w:val="center"/>
              <w:rPr>
                <w:rFonts w:hint="eastAsia"/>
                <w:color w:val="auto"/>
              </w:rPr>
            </w:pPr>
            <w:r>
              <w:rPr>
                <w:rFonts w:hint="eastAsia"/>
                <w:color w:val="auto"/>
                <w:sz w:val="24"/>
              </w:rPr>
              <w:t>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649" w:type="pct"/>
            <w:gridSpan w:val="2"/>
            <w:noWrap w:val="0"/>
            <w:vAlign w:val="center"/>
          </w:tcPr>
          <w:p>
            <w:pPr>
              <w:spacing w:line="300" w:lineRule="exact"/>
              <w:jc w:val="center"/>
              <w:rPr>
                <w:rFonts w:hint="eastAsia"/>
                <w:color w:val="auto"/>
                <w:szCs w:val="18"/>
              </w:rPr>
            </w:pPr>
            <w:r>
              <w:rPr>
                <w:rFonts w:hint="eastAsia"/>
                <w:color w:val="auto"/>
                <w:szCs w:val="18"/>
              </w:rPr>
              <w:t>主要建筑（所在建筑）层数</w:t>
            </w:r>
          </w:p>
        </w:tc>
        <w:tc>
          <w:tcPr>
            <w:tcW w:w="845" w:type="pct"/>
            <w:gridSpan w:val="3"/>
            <w:noWrap w:val="0"/>
            <w:vAlign w:val="center"/>
          </w:tcPr>
          <w:p>
            <w:pPr>
              <w:spacing w:line="300" w:lineRule="exact"/>
              <w:jc w:val="center"/>
              <w:rPr>
                <w:rFonts w:hint="eastAsia"/>
                <w:color w:val="auto"/>
                <w:szCs w:val="18"/>
              </w:rPr>
            </w:pPr>
            <w:r>
              <w:rPr>
                <w:rFonts w:hint="eastAsia"/>
                <w:color w:val="auto"/>
                <w:szCs w:val="18"/>
              </w:rPr>
              <w:t>场所建筑面积（占地面积）</w:t>
            </w:r>
          </w:p>
        </w:tc>
        <w:tc>
          <w:tcPr>
            <w:tcW w:w="1603" w:type="pct"/>
            <w:gridSpan w:val="4"/>
            <w:noWrap w:val="0"/>
            <w:vAlign w:val="center"/>
          </w:tcPr>
          <w:p>
            <w:pPr>
              <w:jc w:val="center"/>
              <w:rPr>
                <w:rFonts w:hint="eastAsia"/>
                <w:color w:val="auto"/>
                <w:szCs w:val="18"/>
              </w:rPr>
            </w:pPr>
            <w:r>
              <w:rPr>
                <w:rFonts w:hint="eastAsia"/>
                <w:color w:val="auto"/>
                <w:szCs w:val="18"/>
              </w:rPr>
              <w:t>场所规模</w:t>
            </w:r>
          </w:p>
        </w:tc>
        <w:tc>
          <w:tcPr>
            <w:tcW w:w="944" w:type="pct"/>
            <w:gridSpan w:val="2"/>
            <w:noWrap w:val="0"/>
            <w:vAlign w:val="center"/>
          </w:tcPr>
          <w:p>
            <w:pPr>
              <w:spacing w:line="300" w:lineRule="exact"/>
              <w:jc w:val="center"/>
              <w:rPr>
                <w:color w:val="auto"/>
                <w:szCs w:val="18"/>
              </w:rPr>
            </w:pPr>
            <w:r>
              <w:rPr>
                <w:rFonts w:hint="eastAsia"/>
                <w:color w:val="auto"/>
                <w:szCs w:val="18"/>
              </w:rPr>
              <w:t>是否设置有消防控制室</w:t>
            </w:r>
          </w:p>
        </w:tc>
        <w:tc>
          <w:tcPr>
            <w:tcW w:w="957" w:type="pct"/>
            <w:gridSpan w:val="2"/>
            <w:noWrap w:val="0"/>
            <w:vAlign w:val="center"/>
          </w:tcPr>
          <w:p>
            <w:pPr>
              <w:spacing w:line="300" w:lineRule="exact"/>
              <w:jc w:val="center"/>
              <w:rPr>
                <w:color w:val="auto"/>
                <w:szCs w:val="18"/>
              </w:rPr>
            </w:pPr>
            <w:r>
              <w:rPr>
                <w:rFonts w:hint="eastAsia"/>
                <w:color w:val="auto"/>
                <w:szCs w:val="18"/>
              </w:rPr>
              <w:t>是否设置有自动消防设施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649" w:type="pct"/>
            <w:gridSpan w:val="2"/>
            <w:noWrap w:val="0"/>
            <w:vAlign w:val="center"/>
          </w:tcPr>
          <w:p>
            <w:pPr>
              <w:spacing w:line="300" w:lineRule="exact"/>
              <w:rPr>
                <w:rFonts w:hint="eastAsia"/>
                <w:color w:val="auto"/>
              </w:rPr>
            </w:pPr>
          </w:p>
        </w:tc>
        <w:tc>
          <w:tcPr>
            <w:tcW w:w="845" w:type="pct"/>
            <w:gridSpan w:val="3"/>
            <w:noWrap w:val="0"/>
            <w:vAlign w:val="center"/>
          </w:tcPr>
          <w:p>
            <w:pPr>
              <w:spacing w:line="300" w:lineRule="exact"/>
              <w:rPr>
                <w:rFonts w:hint="eastAsia"/>
                <w:color w:val="auto"/>
              </w:rPr>
            </w:pPr>
          </w:p>
        </w:tc>
        <w:tc>
          <w:tcPr>
            <w:tcW w:w="1603" w:type="pct"/>
            <w:gridSpan w:val="4"/>
            <w:noWrap w:val="0"/>
            <w:vAlign w:val="center"/>
          </w:tcPr>
          <w:p>
            <w:pPr>
              <w:rPr>
                <w:rFonts w:hint="eastAsia"/>
                <w:color w:val="auto"/>
              </w:rPr>
            </w:pPr>
          </w:p>
        </w:tc>
        <w:tc>
          <w:tcPr>
            <w:tcW w:w="944" w:type="pct"/>
            <w:gridSpan w:val="2"/>
            <w:noWrap w:val="0"/>
            <w:vAlign w:val="center"/>
          </w:tcPr>
          <w:p>
            <w:pPr>
              <w:rPr>
                <w:rFonts w:hint="eastAsia"/>
                <w:color w:val="auto"/>
              </w:rPr>
            </w:pPr>
          </w:p>
        </w:tc>
        <w:tc>
          <w:tcPr>
            <w:tcW w:w="957" w:type="pct"/>
            <w:gridSpan w:val="2"/>
            <w:noWrap w:val="0"/>
            <w:vAlign w:val="center"/>
          </w:tcPr>
          <w:p>
            <w:pPr>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649" w:type="pct"/>
            <w:gridSpan w:val="2"/>
            <w:noWrap w:val="0"/>
            <w:vAlign w:val="center"/>
          </w:tcPr>
          <w:p>
            <w:pPr>
              <w:spacing w:line="300" w:lineRule="exact"/>
              <w:jc w:val="center"/>
              <w:rPr>
                <w:rFonts w:hint="eastAsia"/>
                <w:color w:val="auto"/>
              </w:rPr>
            </w:pPr>
            <w:r>
              <w:rPr>
                <w:rFonts w:hint="eastAsia"/>
                <w:color w:val="auto"/>
                <w:szCs w:val="18"/>
              </w:rPr>
              <w:t>自动消防设施设置情况</w:t>
            </w:r>
          </w:p>
        </w:tc>
        <w:tc>
          <w:tcPr>
            <w:tcW w:w="4350" w:type="pct"/>
            <w:gridSpan w:val="11"/>
            <w:noWrap w:val="0"/>
            <w:vAlign w:val="center"/>
          </w:tcPr>
          <w:p>
            <w:pPr>
              <w:spacing w:line="300" w:lineRule="exact"/>
              <w:rPr>
                <w:rFonts w:hint="eastAsia"/>
                <w:color w:val="auto"/>
              </w:rPr>
            </w:pPr>
            <w:r>
              <w:rPr>
                <w:rFonts w:hint="eastAsia"/>
                <w:color w:val="auto"/>
                <w:szCs w:val="18"/>
              </w:rPr>
              <w:t>□火灾自动报警系统   □自动喷水灭火系统   □机械防烟系统   □机械排烟系统  □气体灭火系统□预作用灭火系统     □消防水炮      □高压细水雾灭火系统     □其他自动报警、灭火设施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jc w:val="center"/>
        </w:trPr>
        <w:tc>
          <w:tcPr>
            <w:tcW w:w="5000" w:type="pct"/>
            <w:gridSpan w:val="13"/>
            <w:noWrap w:val="0"/>
            <w:vAlign w:val="center"/>
          </w:tcPr>
          <w:p>
            <w:pPr>
              <w:spacing w:line="300" w:lineRule="exact"/>
              <w:ind w:firstLine="420" w:firstLineChars="200"/>
              <w:rPr>
                <w:rFonts w:hint="eastAsia"/>
                <w:color w:val="auto"/>
              </w:rPr>
            </w:pPr>
            <w:r>
              <w:rPr>
                <w:rFonts w:hint="eastAsia"/>
                <w:color w:val="auto"/>
                <w:szCs w:val="18"/>
              </w:rPr>
              <w:t>场所规模是指按照重点单位界定标准规定的宾馆、饭店的客房数，医院、养老院</w:t>
            </w:r>
            <w:r>
              <w:rPr>
                <w:rFonts w:hint="eastAsia"/>
                <w:color w:val="auto"/>
                <w:szCs w:val="18"/>
                <w:lang w:eastAsia="zh-CN"/>
              </w:rPr>
              <w:t>、</w:t>
            </w:r>
            <w:r>
              <w:rPr>
                <w:rFonts w:hint="eastAsia"/>
                <w:color w:val="auto"/>
                <w:szCs w:val="18"/>
              </w:rPr>
              <w:t>寄宿制的学校托儿所、幼儿园</w:t>
            </w:r>
            <w:r>
              <w:rPr>
                <w:rFonts w:hint="eastAsia"/>
                <w:color w:val="auto"/>
                <w:szCs w:val="18"/>
                <w:lang w:val="en-US" w:eastAsia="zh-CN"/>
              </w:rPr>
              <w:t>和</w:t>
            </w:r>
            <w:r>
              <w:rPr>
                <w:rFonts w:hint="eastAsia"/>
                <w:color w:val="auto"/>
                <w:lang w:val="en-US" w:eastAsia="zh-CN"/>
              </w:rPr>
              <w:t>月子中心等孕婴服务场所</w:t>
            </w:r>
            <w:r>
              <w:rPr>
                <w:rFonts w:hint="eastAsia"/>
                <w:color w:val="auto"/>
                <w:szCs w:val="18"/>
              </w:rPr>
              <w:t>的床位数，劳动密集型生产、加工企业单个生产车间的员工人数，易燃易爆化学物品以及粮、棉、木材、百货等物资的存储量和粮、棉、木材、百货等物资的存储价值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13"/>
            <w:noWrap w:val="0"/>
            <w:vAlign w:val="center"/>
          </w:tcPr>
          <w:p>
            <w:pPr>
              <w:ind w:firstLine="420"/>
              <w:rPr>
                <w:rFonts w:hint="eastAsia"/>
                <w:color w:val="auto"/>
              </w:rPr>
            </w:pPr>
            <w:r>
              <w:rPr>
                <w:rFonts w:hint="eastAsia" w:ascii="宋体" w:hAnsi="宋体"/>
                <w:color w:val="auto"/>
              </w:rPr>
              <w:t>□</w:t>
            </w:r>
            <w:r>
              <w:rPr>
                <w:rFonts w:hint="eastAsia"/>
                <w:color w:val="auto"/>
              </w:rPr>
              <w:t>根据《机关、团体、企业、事业单位消防安全管理规定》、《河南省消防安全重点单位界定标准》、《将有关场所和单位纳入消防安全重点单位界定标准》，我单位属消防安全重点单位，特此申报。</w:t>
            </w:r>
          </w:p>
          <w:p>
            <w:pPr>
              <w:ind w:firstLine="420"/>
              <w:rPr>
                <w:rFonts w:hint="eastAsia" w:eastAsia="宋体"/>
                <w:color w:val="auto"/>
                <w:lang w:eastAsia="zh-CN"/>
              </w:rPr>
            </w:pPr>
            <w:r>
              <w:rPr>
                <w:rFonts w:hint="eastAsia" w:ascii="宋体" w:hAnsi="宋体"/>
                <w:color w:val="auto"/>
              </w:rPr>
              <w:t>□</w:t>
            </w:r>
            <w:r>
              <w:rPr>
                <w:rFonts w:hint="eastAsia" w:ascii="宋体" w:hAnsi="宋体"/>
                <w:color w:val="auto"/>
                <w:lang w:eastAsia="zh-CN"/>
              </w:rPr>
              <w:t>根据《河南省火灾高危单位消防安全管理规定》和《河南省火灾高危单位界定标准》，我单位属于火灾高位单位，特此申报。</w:t>
            </w:r>
          </w:p>
          <w:p>
            <w:pPr>
              <w:ind w:firstLine="420"/>
              <w:rPr>
                <w:rFonts w:hint="eastAsia"/>
                <w:color w:val="auto"/>
              </w:rPr>
            </w:pPr>
          </w:p>
          <w:p>
            <w:pPr>
              <w:ind w:firstLine="5250"/>
              <w:rPr>
                <w:rFonts w:hint="eastAsia"/>
                <w:color w:val="auto"/>
              </w:rPr>
            </w:pPr>
            <w:r>
              <w:rPr>
                <w:rFonts w:hint="eastAsia"/>
                <w:color w:val="auto"/>
              </w:rPr>
              <w:t>单位（盖章）</w:t>
            </w:r>
          </w:p>
          <w:p>
            <w:pPr>
              <w:ind w:firstLine="5250"/>
              <w:rPr>
                <w:rFonts w:hint="eastAsia"/>
                <w:color w:val="auto"/>
              </w:rPr>
            </w:pPr>
            <w:r>
              <w:rPr>
                <w:rFonts w:hint="eastAsia"/>
                <w:color w:val="auto"/>
              </w:rPr>
              <w:t>法定代表人/主要负责人（签名）：</w:t>
            </w:r>
          </w:p>
          <w:p>
            <w:pPr>
              <w:ind w:firstLine="5250"/>
              <w:rPr>
                <w:rFonts w:hint="eastAsia"/>
                <w:color w:val="auto"/>
              </w:rPr>
            </w:pPr>
          </w:p>
          <w:p>
            <w:pPr>
              <w:ind w:firstLine="5250"/>
              <w:rPr>
                <w:rFonts w:hint="eastAsia"/>
                <w:color w:val="auto"/>
              </w:rPr>
            </w:pPr>
          </w:p>
          <w:p>
            <w:pPr>
              <w:ind w:firstLine="6930"/>
              <w:rPr>
                <w:rFonts w:hint="eastAsia"/>
                <w:color w:val="auto"/>
              </w:rPr>
            </w:pPr>
            <w:r>
              <w:rPr>
                <w:rFonts w:hint="eastAsia"/>
                <w:color w:va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5000" w:type="pct"/>
            <w:gridSpan w:val="13"/>
            <w:noWrap w:val="0"/>
            <w:vAlign w:val="center"/>
          </w:tcPr>
          <w:p>
            <w:pPr>
              <w:ind w:firstLine="420"/>
              <w:rPr>
                <w:rFonts w:hint="eastAsia" w:eastAsia="宋体"/>
                <w:color w:val="auto"/>
                <w:lang w:eastAsia="zh-CN"/>
              </w:rPr>
            </w:pPr>
            <w:r>
              <w:rPr>
                <w:rFonts w:hint="eastAsia"/>
                <w:color w:val="auto"/>
                <w:lang w:val="en-US" w:eastAsia="zh-CN"/>
              </w:rPr>
              <w:t>备注：</w:t>
            </w:r>
          </w:p>
        </w:tc>
      </w:tr>
    </w:tbl>
    <w:p>
      <w:pPr>
        <w:ind w:firstLine="480"/>
        <w:rPr>
          <w:rFonts w:hint="eastAsia" w:eastAsia="宋体"/>
          <w:lang w:eastAsia="zh-CN"/>
        </w:rPr>
      </w:pPr>
      <w:r>
        <w:rPr>
          <w:rFonts w:hint="eastAsia" w:eastAsia="楷体_GB2312"/>
          <w:color w:val="auto"/>
          <w:sz w:val="24"/>
        </w:rPr>
        <w:t>注：各单位自行对照，并在申报单位属性栏内选择一项打“</w:t>
      </w:r>
      <w:r>
        <w:rPr>
          <w:rFonts w:hint="eastAsia" w:ascii="宋体" w:hAnsi="宋体" w:eastAsia="楷体_GB2312"/>
          <w:color w:val="auto"/>
          <w:sz w:val="24"/>
        </w:rPr>
        <w:t>√</w:t>
      </w:r>
      <w:r>
        <w:rPr>
          <w:rFonts w:hint="eastAsia" w:eastAsia="楷体_GB2312"/>
          <w:color w:val="auto"/>
          <w:sz w:val="24"/>
        </w:rPr>
        <w:t>”</w:t>
      </w:r>
      <w:r>
        <w:rPr>
          <w:rFonts w:hint="eastAsia" w:eastAsia="楷体_GB2312"/>
          <w:color w:val="auto"/>
          <w:sz w:val="24"/>
          <w:lang w:eastAsia="zh-CN"/>
        </w:rPr>
        <w:t>。</w:t>
      </w:r>
    </w:p>
    <w:sectPr>
      <w:pgSz w:w="11906" w:h="16838"/>
      <w:pgMar w:top="567" w:right="1800" w:bottom="56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zOTI0OTY5YmMyNDc3NDlmYzMwYTc1ZjRjMTUyYzIifQ=="/>
  </w:docVars>
  <w:rsids>
    <w:rsidRoot w:val="5EBC5D78"/>
    <w:rsid w:val="09732121"/>
    <w:rsid w:val="26C041E7"/>
    <w:rsid w:val="5EBC5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2024-04-23T07:44:00Z</dcterms:created>
  <dc:creator>柴小鑫</dc:creator>
  <cp:lastModifiedBy>Administrator</cp:lastModifiedBy>
  <dcterms:modified xsi:type="dcterms:W3CDTF">2024-05-09T08:24:22Z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2460C01CB79646B9B5A0F110D95B4FE8_13</vt:lpwstr>
  </property>
</Properties>
</file>