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/>
          <w:color w:val="auto"/>
          <w:sz w:val="32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32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36"/>
          <w:lang w:val="en-US" w:eastAsia="zh-CN"/>
        </w:rPr>
        <w:t>关于将有关场所和单位纳入消防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36"/>
          <w:lang w:val="en-US" w:eastAsia="zh-CN"/>
        </w:rPr>
        <w:t>安全重点单位界定标准的通知</w:t>
      </w:r>
    </w:p>
    <w:p>
      <w:pPr>
        <w:pStyle w:val="2"/>
        <w:rPr>
          <w:rFonts w:hint="default"/>
          <w:color w:val="auto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方正楷体_GBK"/>
          <w:color w:val="auto"/>
          <w:sz w:val="32"/>
          <w:lang w:val="en-US" w:eastAsia="zh-CN"/>
        </w:rPr>
      </w:pPr>
      <w:r>
        <w:rPr>
          <w:rFonts w:hint="eastAsia" w:ascii="方正楷体_GBK" w:eastAsia="方正楷体_GBK"/>
          <w:b/>
          <w:color w:val="auto"/>
          <w:sz w:val="32"/>
          <w:szCs w:val="32"/>
        </w:rPr>
        <w:t>在原来消防安全重点单位界定标准的基层上增加下列场所和单位</w:t>
      </w:r>
      <w:r>
        <w:rPr>
          <w:rFonts w:hint="eastAsia" w:ascii="方正楷体_GBK" w:eastAsia="方正楷体_GBK"/>
          <w:b/>
          <w:color w:val="auto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/>
          <w:color w:val="auto"/>
          <w:sz w:val="32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32"/>
          <w:lang w:val="en-US" w:eastAsia="zh-CN"/>
        </w:rPr>
        <w:t>一、</w:t>
      </w:r>
      <w:r>
        <w:rPr>
          <w:rFonts w:hint="default" w:ascii="Times New Roman" w:hAnsi="Times New Roman" w:eastAsia="仿宋_GB2312"/>
          <w:color w:val="auto"/>
          <w:sz w:val="32"/>
          <w:lang w:val="en-US" w:eastAsia="zh-CN"/>
        </w:rPr>
        <w:t>建筑面积在500平方米以上的剧本杀、密室逃脱等剧本娱乐经营场所；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/>
          <w:color w:val="auto"/>
          <w:sz w:val="32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32"/>
          <w:lang w:val="en-US" w:eastAsia="zh-CN"/>
        </w:rPr>
        <w:t>二、</w:t>
      </w:r>
      <w:r>
        <w:rPr>
          <w:rFonts w:hint="default" w:ascii="Times New Roman" w:hAnsi="Times New Roman" w:eastAsia="仿宋_GB2312"/>
          <w:color w:val="auto"/>
          <w:sz w:val="32"/>
          <w:lang w:val="en-US" w:eastAsia="zh-CN"/>
        </w:rPr>
        <w:t>建筑面积在1000平方米以上的室内冰雪活动场所</w:t>
      </w:r>
      <w:r>
        <w:rPr>
          <w:rFonts w:hint="eastAsia" w:ascii="Times New Roman" w:hAnsi="Times New Roman" w:eastAsia="仿宋_GB2312"/>
          <w:color w:val="auto"/>
          <w:sz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/>
          <w:color w:val="auto"/>
          <w:sz w:val="32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32"/>
          <w:lang w:val="en-US" w:eastAsia="zh-CN"/>
        </w:rPr>
        <w:t>三、</w:t>
      </w:r>
      <w:r>
        <w:rPr>
          <w:rFonts w:hint="default" w:ascii="Times New Roman" w:hAnsi="Times New Roman" w:eastAsia="仿宋_GB2312"/>
          <w:color w:val="auto"/>
          <w:sz w:val="32"/>
          <w:lang w:val="en-US" w:eastAsia="zh-CN"/>
        </w:rPr>
        <w:t>住宿床位在50张以上的月子中心等孕婴服务场所；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/>
          <w:color w:val="auto"/>
          <w:sz w:val="32"/>
          <w:lang w:val="en-US" w:eastAsia="zh-CN"/>
        </w:rPr>
      </w:pPr>
      <w:r>
        <w:rPr>
          <w:rFonts w:hint="default" w:ascii="Times New Roman" w:hAnsi="Times New Roman" w:eastAsia="仿宋_GB2312"/>
          <w:color w:val="auto"/>
          <w:sz w:val="32"/>
          <w:lang w:val="en-US" w:eastAsia="zh-CN"/>
        </w:rPr>
        <w:t>四</w:t>
      </w:r>
      <w:r>
        <w:rPr>
          <w:rFonts w:hint="eastAsia" w:ascii="Times New Roman" w:hAnsi="Times New Roman" w:eastAsia="仿宋_GB2312"/>
          <w:color w:val="auto"/>
          <w:sz w:val="32"/>
          <w:lang w:val="en-US" w:eastAsia="zh-CN"/>
        </w:rPr>
        <w:t>、</w:t>
      </w:r>
      <w:r>
        <w:rPr>
          <w:rFonts w:hint="default" w:ascii="Times New Roman" w:hAnsi="Times New Roman" w:eastAsia="仿宋_GB2312"/>
          <w:color w:val="auto"/>
          <w:sz w:val="32"/>
          <w:lang w:val="en-US" w:eastAsia="zh-CN"/>
        </w:rPr>
        <w:t>县级以上数据中心</w:t>
      </w:r>
      <w:r>
        <w:rPr>
          <w:rFonts w:hint="eastAsia" w:ascii="Times New Roman" w:hAnsi="Times New Roman" w:eastAsia="仿宋_GB2312"/>
          <w:color w:val="auto"/>
          <w:sz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/>
          <w:color w:val="auto"/>
          <w:sz w:val="32"/>
          <w:lang w:val="en-US" w:eastAsia="zh-CN"/>
        </w:rPr>
      </w:pPr>
      <w:r>
        <w:rPr>
          <w:rFonts w:hint="default" w:ascii="Times New Roman" w:hAnsi="Times New Roman" w:eastAsia="仿宋_GB2312"/>
          <w:color w:val="auto"/>
          <w:sz w:val="32"/>
          <w:lang w:val="en-US" w:eastAsia="zh-CN"/>
        </w:rPr>
        <w:t>五</w:t>
      </w:r>
      <w:r>
        <w:rPr>
          <w:rFonts w:hint="eastAsia" w:ascii="Times New Roman" w:hAnsi="Times New Roman" w:eastAsia="仿宋_GB2312"/>
          <w:color w:val="auto"/>
          <w:sz w:val="32"/>
          <w:lang w:val="en-US" w:eastAsia="zh-CN"/>
        </w:rPr>
        <w:t>、</w:t>
      </w:r>
      <w:r>
        <w:rPr>
          <w:rFonts w:hint="default" w:ascii="Times New Roman" w:hAnsi="Times New Roman" w:eastAsia="仿宋_GB2312"/>
          <w:color w:val="auto"/>
          <w:sz w:val="32"/>
          <w:lang w:val="en-US" w:eastAsia="zh-CN"/>
        </w:rPr>
        <w:t>4A级以上具有建筑火灾危险性的旅游景区</w:t>
      </w:r>
      <w:r>
        <w:rPr>
          <w:rFonts w:hint="eastAsia" w:ascii="Times New Roman" w:hAnsi="Times New Roman" w:eastAsia="仿宋_GB2312"/>
          <w:color w:val="auto"/>
          <w:sz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/>
          <w:color w:val="auto"/>
          <w:sz w:val="32"/>
          <w:lang w:val="en-US" w:eastAsia="zh-CN"/>
        </w:rPr>
      </w:pPr>
      <w:r>
        <w:rPr>
          <w:rFonts w:hint="default" w:ascii="Times New Roman" w:hAnsi="Times New Roman" w:eastAsia="仿宋_GB2312"/>
          <w:color w:val="auto"/>
          <w:sz w:val="32"/>
          <w:lang w:val="en-US" w:eastAsia="zh-CN"/>
        </w:rPr>
        <w:t>六</w:t>
      </w:r>
      <w:r>
        <w:rPr>
          <w:rFonts w:hint="eastAsia" w:ascii="Times New Roman" w:hAnsi="Times New Roman" w:eastAsia="仿宋_GB2312"/>
          <w:color w:val="auto"/>
          <w:sz w:val="32"/>
          <w:lang w:val="en-US" w:eastAsia="zh-CN"/>
        </w:rPr>
        <w:t>、功率为30MW且容量为30MW·h及以上的电化学储能电站；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/>
          <w:color w:val="auto"/>
          <w:sz w:val="32"/>
          <w:lang w:val="en-US" w:eastAsia="zh-CN"/>
        </w:rPr>
      </w:pPr>
      <w:r>
        <w:rPr>
          <w:rFonts w:hint="default" w:ascii="Times New Roman" w:hAnsi="Times New Roman" w:eastAsia="仿宋_GB2312"/>
          <w:color w:val="auto"/>
          <w:sz w:val="32"/>
          <w:lang w:val="en-US" w:eastAsia="zh-CN"/>
        </w:rPr>
        <w:t>七</w:t>
      </w:r>
      <w:r>
        <w:rPr>
          <w:rFonts w:hint="eastAsia" w:ascii="Times New Roman" w:hAnsi="Times New Roman" w:eastAsia="仿宋_GB2312"/>
          <w:color w:val="auto"/>
          <w:sz w:val="32"/>
          <w:lang w:val="en-US" w:eastAsia="zh-CN"/>
        </w:rPr>
        <w:t>、</w:t>
      </w:r>
      <w:r>
        <w:rPr>
          <w:rFonts w:hint="default" w:ascii="Times New Roman" w:hAnsi="Times New Roman" w:eastAsia="仿宋_GB2312"/>
          <w:color w:val="auto"/>
          <w:sz w:val="32"/>
          <w:lang w:val="en-US" w:eastAsia="zh-CN"/>
        </w:rPr>
        <w:t>同一建筑内存在多个服装、鞋帽、玩具、木制品、家具、塑料、食品加工、纺织、印染、印刷产品</w:t>
      </w:r>
      <w:r>
        <w:rPr>
          <w:rFonts w:hint="eastAsia" w:ascii="Times New Roman" w:hAnsi="Times New Roman" w:eastAsia="仿宋_GB2312"/>
          <w:color w:val="auto"/>
          <w:sz w:val="32"/>
          <w:lang w:val="en-US" w:eastAsia="zh-CN"/>
        </w:rPr>
        <w:t>等</w:t>
      </w:r>
      <w:r>
        <w:rPr>
          <w:rFonts w:hint="default" w:ascii="Times New Roman" w:hAnsi="Times New Roman" w:eastAsia="仿宋_GB2312"/>
          <w:color w:val="auto"/>
          <w:sz w:val="32"/>
          <w:lang w:val="en-US" w:eastAsia="zh-CN"/>
        </w:rPr>
        <w:t>企业且生产车间员工总人数在100人以上的建筑产权或管理单位；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</w:pPr>
      <w:r>
        <w:rPr>
          <w:rFonts w:hint="default" w:ascii="Times New Roman" w:hAnsi="Times New Roman" w:eastAsia="仿宋_GB2312"/>
          <w:color w:val="auto"/>
          <w:sz w:val="32"/>
          <w:lang w:val="en-US" w:eastAsia="zh-CN"/>
        </w:rPr>
        <w:t>八</w:t>
      </w:r>
      <w:r>
        <w:rPr>
          <w:rFonts w:hint="eastAsia" w:ascii="Times New Roman" w:hAnsi="Times New Roman" w:eastAsia="仿宋_GB2312"/>
          <w:color w:val="auto"/>
          <w:sz w:val="32"/>
          <w:lang w:val="en-US" w:eastAsia="zh-CN"/>
        </w:rPr>
        <w:t>、</w:t>
      </w:r>
      <w:r>
        <w:rPr>
          <w:rFonts w:hint="default" w:ascii="Times New Roman" w:hAnsi="Times New Roman" w:eastAsia="仿宋_GB2312"/>
          <w:color w:val="auto"/>
          <w:sz w:val="32"/>
          <w:lang w:val="en-US" w:eastAsia="zh-CN"/>
        </w:rPr>
        <w:t>存储型物流建筑单体面积在5000平方米以上，作业型物流建筑、综合型物流建筑单体面积在10000平方米以上的企业</w:t>
      </w:r>
      <w:r>
        <w:rPr>
          <w:rFonts w:hint="eastAsia" w:ascii="Times New Roman" w:hAnsi="Times New Roman" w:eastAsia="仿宋_GB2312"/>
          <w:color w:val="auto"/>
          <w:sz w:val="32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1MDAxY2ZkNTcyYTA0MjJiODZkYTc5NzBhNzFiMjAifQ=="/>
  </w:docVars>
  <w:rsids>
    <w:rsidRoot w:val="6EE571EE"/>
    <w:rsid w:val="0E06729E"/>
    <w:rsid w:val="1BB36686"/>
    <w:rsid w:val="6EE57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2024-04-23T07:46:00Z</dcterms:created>
  <dc:creator>柴小鑫</dc:creator>
  <cp:lastModifiedBy>Administrator</cp:lastModifiedBy>
  <dcterms:modified xsi:type="dcterms:W3CDTF">2024-05-13T09:39:47Z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950D18EF443142A99812075B546F8B26_13</vt:lpwstr>
  </property>
</Properties>
</file>