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eastAsia="zh-CN"/>
        </w:rPr>
        <w:t>附件</w:t>
      </w:r>
      <w:r>
        <w:rPr>
          <w:rFonts w:hint="eastAsia" w:ascii="黑体" w:hAnsi="黑体" w:eastAsia="黑体" w:cs="黑体"/>
          <w:color w:val="auto"/>
          <w:sz w:val="32"/>
          <w:szCs w:val="32"/>
          <w:highlight w:val="none"/>
          <w:lang w:val="en-US" w:eastAsia="zh-CN"/>
        </w:rPr>
        <w:t>2</w:t>
      </w: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黑体" w:hAnsi="黑体" w:eastAsia="黑体" w:cs="黑体"/>
          <w:color w:val="auto"/>
          <w:sz w:val="32"/>
          <w:szCs w:val="32"/>
          <w:highlight w:val="none"/>
          <w:lang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Times New Roman" w:hAnsi="Times New Roman" w:eastAsia="方正小标宋简体" w:cs="Times New Roman"/>
          <w:color w:val="auto"/>
          <w:sz w:val="44"/>
          <w:szCs w:val="44"/>
          <w:highlight w:val="none"/>
          <w:lang w:val="en-US" w:eastAsia="zh-CN"/>
        </w:rPr>
      </w:pPr>
      <w:bookmarkStart w:id="4" w:name="_GoBack"/>
      <w:r>
        <w:rPr>
          <w:rFonts w:hint="eastAsia" w:ascii="Times New Roman" w:hAnsi="Times New Roman" w:eastAsia="方正小标宋简体" w:cs="Times New Roman"/>
          <w:color w:val="auto"/>
          <w:sz w:val="44"/>
          <w:szCs w:val="44"/>
          <w:highlight w:val="none"/>
          <w:lang w:val="en-US" w:eastAsia="zh-CN"/>
        </w:rPr>
        <w:t>洛阳市龙门石窟保护管理条例</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楷体" w:hAnsi="楷体" w:eastAsia="楷体" w:cs="楷体"/>
          <w:color w:val="auto"/>
          <w:sz w:val="32"/>
          <w:szCs w:val="32"/>
          <w:highlight w:val="none"/>
        </w:rPr>
      </w:pPr>
      <w:r>
        <w:rPr>
          <w:rFonts w:hint="eastAsia" w:ascii="楷体" w:hAnsi="楷体" w:eastAsia="楷体" w:cs="楷体"/>
          <w:color w:val="auto"/>
          <w:sz w:val="32"/>
          <w:szCs w:val="32"/>
          <w:highlight w:val="none"/>
          <w:lang w:eastAsia="zh-CN"/>
        </w:rPr>
        <w:t>（征求意见稿）</w:t>
      </w:r>
    </w:p>
    <w:bookmarkEnd w:id="4"/>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ascii="黑体" w:hAnsi="黑体" w:eastAsia="黑体" w:cs="Times New Roman"/>
          <w:color w:val="auto"/>
          <w:sz w:val="32"/>
          <w:szCs w:val="32"/>
          <w:highlight w:val="none"/>
        </w:rPr>
      </w:pPr>
    </w:p>
    <w:p>
      <w:pPr>
        <w:keepNext w:val="0"/>
        <w:keepLines w:val="0"/>
        <w:pageBreakBefore w:val="0"/>
        <w:kinsoku/>
        <w:wordWrap/>
        <w:overflowPunct/>
        <w:topLinePunct w:val="0"/>
        <w:autoSpaceDE/>
        <w:autoSpaceDN/>
        <w:bidi w:val="0"/>
        <w:adjustRightInd w:val="0"/>
        <w:snapToGrid w:val="0"/>
        <w:spacing w:beforeLines="0" w:afterLines="0" w:line="580" w:lineRule="exact"/>
        <w:jc w:val="center"/>
        <w:textAlignment w:val="auto"/>
        <w:rPr>
          <w:rFonts w:hint="default" w:ascii="Times New Roman" w:hAnsi="Times New Roman" w:eastAsia="楷体_GB2312" w:cs="Times New Roman"/>
          <w:sz w:val="32"/>
          <w:szCs w:val="32"/>
        </w:rPr>
      </w:pPr>
      <w:r>
        <w:rPr>
          <w:rFonts w:hint="default" w:ascii="楷体_GB2312" w:hAnsi="Times New Roman" w:eastAsia="楷体_GB2312" w:cs="Times New Roman"/>
          <w:sz w:val="32"/>
          <w:szCs w:val="32"/>
        </w:rPr>
        <w:t>目   录</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960" w:firstLineChars="300"/>
        <w:jc w:val="left"/>
        <w:textAlignment w:val="auto"/>
        <w:rPr>
          <w:rFonts w:hint="default" w:ascii="Times New Roman" w:hAnsi="Times New Roman" w:eastAsia="楷体_GB2312" w:cs="Times New Roman"/>
          <w:sz w:val="32"/>
          <w:szCs w:val="32"/>
        </w:rPr>
      </w:pP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jc w:val="left"/>
        <w:textAlignment w:val="auto"/>
        <w:rPr>
          <w:rFonts w:hint="default" w:ascii="Times New Roman" w:hAnsi="Times New Roman" w:eastAsia="楷体_GB2312" w:cs="Times New Roman"/>
          <w:sz w:val="32"/>
          <w:szCs w:val="32"/>
        </w:rPr>
      </w:pPr>
      <w:r>
        <w:rPr>
          <w:rFonts w:hint="default" w:ascii="楷体_GB2312" w:hAnsi="Times New Roman" w:eastAsia="楷体_GB2312" w:cs="Times New Roman"/>
          <w:sz w:val="32"/>
          <w:szCs w:val="32"/>
        </w:rPr>
        <w:t>第一章  总  则</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jc w:val="left"/>
        <w:textAlignment w:val="auto"/>
        <w:rPr>
          <w:rFonts w:hint="default" w:ascii="Times New Roman" w:hAnsi="Times New Roman" w:eastAsia="楷体_GB2312" w:cs="Times New Roman"/>
          <w:sz w:val="32"/>
          <w:szCs w:val="32"/>
        </w:rPr>
      </w:pPr>
      <w:r>
        <w:rPr>
          <w:rFonts w:hint="default" w:ascii="楷体_GB2312" w:hAnsi="Times New Roman" w:eastAsia="楷体_GB2312" w:cs="Times New Roman"/>
          <w:sz w:val="32"/>
          <w:szCs w:val="32"/>
        </w:rPr>
        <w:t>第二章  保护管理</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jc w:val="left"/>
        <w:textAlignment w:val="auto"/>
        <w:rPr>
          <w:rFonts w:hint="default" w:ascii="Times New Roman" w:hAnsi="Times New Roman" w:eastAsia="楷体_GB2312" w:cs="Times New Roman"/>
          <w:sz w:val="32"/>
          <w:szCs w:val="32"/>
        </w:rPr>
      </w:pPr>
      <w:r>
        <w:rPr>
          <w:rFonts w:hint="default" w:ascii="楷体_GB2312" w:hAnsi="Times New Roman" w:eastAsia="楷体_GB2312" w:cs="Times New Roman"/>
          <w:sz w:val="32"/>
          <w:szCs w:val="32"/>
        </w:rPr>
        <w:t>第三章  合理利用</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jc w:val="left"/>
        <w:textAlignment w:val="auto"/>
        <w:rPr>
          <w:rFonts w:hint="default" w:ascii="Times New Roman" w:hAnsi="Times New Roman" w:eastAsia="楷体_GB2312" w:cs="Times New Roman"/>
          <w:sz w:val="32"/>
          <w:szCs w:val="32"/>
        </w:rPr>
      </w:pPr>
      <w:r>
        <w:rPr>
          <w:rFonts w:hint="default" w:ascii="楷体_GB2312" w:hAnsi="Times New Roman" w:eastAsia="楷体_GB2312" w:cs="Times New Roman"/>
          <w:sz w:val="32"/>
          <w:szCs w:val="32"/>
        </w:rPr>
        <w:t>第四章  法律责任</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jc w:val="left"/>
        <w:textAlignment w:val="auto"/>
        <w:rPr>
          <w:rFonts w:hint="default" w:ascii="Times New Roman" w:hAnsi="Times New Roman" w:eastAsia="楷体_GB2312" w:cs="Times New Roman"/>
          <w:sz w:val="32"/>
          <w:szCs w:val="32"/>
        </w:rPr>
      </w:pPr>
      <w:r>
        <w:rPr>
          <w:rFonts w:hint="default" w:ascii="楷体_GB2312" w:hAnsi="Times New Roman" w:eastAsia="楷体_GB2312" w:cs="Times New Roman"/>
          <w:sz w:val="32"/>
          <w:szCs w:val="32"/>
        </w:rPr>
        <w:t>第五章  附  则</w:t>
      </w:r>
    </w:p>
    <w:p>
      <w:pPr>
        <w:keepNext w:val="0"/>
        <w:keepLines w:val="0"/>
        <w:pageBreakBefore w:val="0"/>
        <w:kinsoku/>
        <w:wordWrap/>
        <w:overflowPunct/>
        <w:topLinePunct w:val="0"/>
        <w:autoSpaceDE/>
        <w:autoSpaceDN/>
        <w:bidi w:val="0"/>
        <w:adjustRightInd w:val="0"/>
        <w:snapToGrid w:val="0"/>
        <w:spacing w:beforeLines="0" w:afterLines="0" w:line="580" w:lineRule="exact"/>
        <w:jc w:val="center"/>
        <w:textAlignment w:val="auto"/>
        <w:rPr>
          <w:rFonts w:hint="default" w:ascii="Times New Roman" w:hAnsi="Times New Roman" w:eastAsia="黑体" w:cs="Times New Roman"/>
          <w:color w:val="000000"/>
          <w:kern w:val="0"/>
          <w:sz w:val="32"/>
          <w:szCs w:val="32"/>
        </w:rPr>
      </w:pPr>
    </w:p>
    <w:p>
      <w:pPr>
        <w:keepNext w:val="0"/>
        <w:keepLines w:val="0"/>
        <w:pageBreakBefore w:val="0"/>
        <w:kinsoku/>
        <w:wordWrap/>
        <w:overflowPunct/>
        <w:topLinePunct w:val="0"/>
        <w:autoSpaceDE/>
        <w:autoSpaceDN/>
        <w:bidi w:val="0"/>
        <w:adjustRightInd w:val="0"/>
        <w:snapToGrid w:val="0"/>
        <w:spacing w:beforeLines="0" w:afterLines="0" w:line="580" w:lineRule="exact"/>
        <w:jc w:val="center"/>
        <w:textAlignment w:val="auto"/>
        <w:rPr>
          <w:rFonts w:hint="default" w:ascii="Times New Roman" w:hAnsi="Times New Roman" w:eastAsia="黑体" w:cs="Times New Roman"/>
          <w:color w:val="000000"/>
          <w:kern w:val="0"/>
          <w:sz w:val="32"/>
          <w:szCs w:val="32"/>
        </w:rPr>
      </w:pPr>
      <w:r>
        <w:rPr>
          <w:rFonts w:hint="eastAsia" w:ascii="黑体" w:hAnsi="Times New Roman" w:eastAsia="黑体" w:cs="Times New Roman"/>
          <w:color w:val="000000"/>
          <w:kern w:val="0"/>
          <w:sz w:val="32"/>
          <w:szCs w:val="32"/>
        </w:rPr>
        <w:t>第一章  总  则</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黑体" w:cs="Times New Roman"/>
          <w:color w:val="000000"/>
          <w:kern w:val="0"/>
          <w:sz w:val="32"/>
          <w:szCs w:val="32"/>
        </w:rPr>
      </w:pP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kern w:val="0"/>
          <w:sz w:val="32"/>
          <w:szCs w:val="32"/>
        </w:rPr>
      </w:pPr>
      <w:r>
        <w:rPr>
          <w:rFonts w:hint="eastAsia" w:ascii="黑体" w:hAnsi="Times New Roman" w:eastAsia="黑体" w:cs="Times New Roman"/>
          <w:color w:val="000000"/>
          <w:kern w:val="0"/>
          <w:sz w:val="32"/>
          <w:szCs w:val="32"/>
        </w:rPr>
        <w:t>第一条【立法目的】</w:t>
      </w:r>
      <w:r>
        <w:rPr>
          <w:rFonts w:hint="eastAsia" w:ascii="仿宋_GB2312" w:hAnsi="Times New Roman" w:eastAsia="仿宋_GB2312" w:cs="Times New Roman"/>
          <w:sz w:val="32"/>
          <w:szCs w:val="32"/>
        </w:rPr>
        <w:t>　</w:t>
      </w:r>
      <w:r>
        <w:rPr>
          <w:rFonts w:hint="eastAsia" w:ascii="仿宋_GB2312" w:hAnsi="Times New Roman" w:eastAsia="仿宋_GB2312" w:cs="Times New Roman"/>
          <w:color w:val="000000"/>
          <w:kern w:val="0"/>
          <w:sz w:val="32"/>
          <w:szCs w:val="32"/>
        </w:rPr>
        <w:t>为了加强龙门石窟的保护、管理和利用，促进龙门石窟文化研究，弘扬中华民族优秀历史文化，推动文博事业和文旅产业高质量发展，根据《中华人民共和国文物保护法》等法律、法规，结合本市实际，制定本条例。</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textAlignment w:val="auto"/>
        <w:rPr>
          <w:rFonts w:hint="default" w:ascii="Times New Roman" w:hAnsi="Times New Roman" w:eastAsia="仿宋_GB2312" w:cs="Times New Roman"/>
          <w:color w:val="000000"/>
          <w:kern w:val="0"/>
          <w:sz w:val="32"/>
          <w:szCs w:val="32"/>
        </w:rPr>
      </w:pPr>
      <w:r>
        <w:rPr>
          <w:rFonts w:hint="eastAsia" w:ascii="黑体" w:hAnsi="Times New Roman" w:eastAsia="黑体" w:cs="Times New Roman"/>
          <w:color w:val="000000"/>
          <w:kern w:val="0"/>
          <w:sz w:val="32"/>
          <w:szCs w:val="32"/>
        </w:rPr>
        <w:t>第二条【适用范围】</w:t>
      </w:r>
      <w:r>
        <w:rPr>
          <w:rFonts w:hint="eastAsia" w:ascii="仿宋_GB2312" w:hAnsi="Times New Roman" w:eastAsia="仿宋_GB2312" w:cs="Times New Roman"/>
          <w:sz w:val="32"/>
          <w:szCs w:val="32"/>
        </w:rPr>
        <w:t>　</w:t>
      </w:r>
      <w:r>
        <w:rPr>
          <w:rFonts w:hint="eastAsia" w:ascii="仿宋_GB2312" w:hAnsi="Times New Roman" w:eastAsia="仿宋_GB2312" w:cs="Times New Roman"/>
          <w:color w:val="000000"/>
          <w:kern w:val="0"/>
          <w:sz w:val="32"/>
          <w:szCs w:val="32"/>
        </w:rPr>
        <w:t>龙门石窟的保护、管理、研究、利用</w:t>
      </w:r>
      <w:r>
        <w:rPr>
          <w:rFonts w:hint="eastAsia" w:ascii="仿宋_GB2312" w:hAnsi="Times New Roman" w:eastAsia="仿宋_GB2312" w:cs="Times New Roman"/>
          <w:sz w:val="32"/>
          <w:szCs w:val="32"/>
        </w:rPr>
        <w:t>以及在保护范围内游览、考察或者进行其他活动，</w:t>
      </w:r>
      <w:r>
        <w:rPr>
          <w:rFonts w:hint="eastAsia" w:ascii="仿宋_GB2312" w:hAnsi="Times New Roman" w:eastAsia="仿宋_GB2312" w:cs="Times New Roman"/>
          <w:color w:val="000000"/>
          <w:kern w:val="0"/>
          <w:sz w:val="32"/>
          <w:szCs w:val="32"/>
        </w:rPr>
        <w:t>适用本条例。</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textAlignment w:val="auto"/>
        <w:rPr>
          <w:rFonts w:hint="default" w:ascii="Times New Roman"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本条例未作规定的，适用有关法律、法规的规定。</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32"/>
        </w:rPr>
      </w:pPr>
      <w:r>
        <w:rPr>
          <w:rFonts w:hint="eastAsia" w:ascii="黑体" w:hAnsi="Times New Roman" w:eastAsia="黑体" w:cs="Times New Roman"/>
          <w:color w:val="000000"/>
          <w:kern w:val="0"/>
          <w:sz w:val="32"/>
          <w:szCs w:val="32"/>
        </w:rPr>
        <w:t>第三条【基本原则】</w:t>
      </w:r>
      <w:r>
        <w:rPr>
          <w:rFonts w:hint="eastAsia" w:ascii="仿宋_GB2312" w:hAnsi="Times New Roman" w:eastAsia="仿宋_GB2312" w:cs="Times New Roman"/>
          <w:sz w:val="32"/>
          <w:szCs w:val="32"/>
        </w:rPr>
        <w:t>　龙门石窟的保护管理，应当贯彻保护为主、抢救第一、合理利用、加强管理的方针，坚持系统性保护和统一监管督察，正确处理经济建设、社会发展与文物保护的关系，确保龙门石窟安全及其人文景观和自然生态的协调性。</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32"/>
        </w:rPr>
      </w:pPr>
      <w:r>
        <w:rPr>
          <w:rFonts w:hint="eastAsia" w:ascii="黑体" w:hAnsi="Times New Roman" w:eastAsia="黑体" w:cs="Times New Roman"/>
          <w:color w:val="000000"/>
          <w:kern w:val="0"/>
          <w:sz w:val="32"/>
          <w:szCs w:val="32"/>
        </w:rPr>
        <w:t>第四条【政府职责】</w:t>
      </w:r>
      <w:r>
        <w:rPr>
          <w:rFonts w:hint="eastAsia" w:ascii="仿宋_GB2312" w:hAnsi="Times New Roman" w:eastAsia="仿宋_GB2312" w:cs="Times New Roman"/>
          <w:sz w:val="32"/>
          <w:szCs w:val="32"/>
        </w:rPr>
        <w:t>　市人民政府应当加强龙门石窟保护管理工作的组织领导，定期召开</w:t>
      </w:r>
      <w:r>
        <w:rPr>
          <w:rFonts w:hint="eastAsia" w:ascii="仿宋_GB2312" w:hAnsi="Times New Roman" w:eastAsia="仿宋_GB2312" w:cs="Times New Roman"/>
          <w:color w:val="000000"/>
          <w:sz w:val="32"/>
          <w:szCs w:val="32"/>
        </w:rPr>
        <w:t>联席会议，协调解决重大事项和重要问题，</w:t>
      </w:r>
      <w:r>
        <w:rPr>
          <w:rFonts w:hint="eastAsia" w:ascii="仿宋_GB2312" w:hAnsi="Times New Roman" w:eastAsia="仿宋_GB2312" w:cs="Times New Roman"/>
          <w:sz w:val="32"/>
          <w:szCs w:val="32"/>
        </w:rPr>
        <w:t>将龙门石窟保护管理纳入国民经济和社会发展规划，所需经费列入本级财政预算。</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32"/>
        </w:rPr>
      </w:pPr>
      <w:r>
        <w:rPr>
          <w:rFonts w:hint="eastAsia" w:ascii="仿宋_GB2312" w:hAnsi="Times New Roman" w:eastAsia="仿宋_GB2312" w:cs="Times New Roman"/>
          <w:sz w:val="32"/>
          <w:szCs w:val="32"/>
        </w:rPr>
        <w:t>洛龙区人民政府负责龙门石窟周边环境治理、治安管控、异地搬迁、旅游发展等社会事务管理工作。</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32"/>
        </w:rPr>
      </w:pPr>
      <w:r>
        <w:rPr>
          <w:rFonts w:hint="eastAsia" w:ascii="仿宋_GB2312" w:hAnsi="Times New Roman" w:eastAsia="仿宋_GB2312" w:cs="Times New Roman"/>
          <w:sz w:val="32"/>
          <w:szCs w:val="32"/>
        </w:rPr>
        <w:t>龙门石窟所在地街道办事处配合有关部门做好龙门石窟保护管理相关工作。</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kern w:val="0"/>
          <w:sz w:val="32"/>
          <w:szCs w:val="32"/>
        </w:rPr>
      </w:pPr>
      <w:r>
        <w:rPr>
          <w:rFonts w:hint="eastAsia" w:ascii="黑体" w:hAnsi="Times New Roman" w:eastAsia="黑体" w:cs="Times New Roman"/>
          <w:color w:val="000000"/>
          <w:kern w:val="0"/>
          <w:sz w:val="32"/>
          <w:szCs w:val="32"/>
        </w:rPr>
        <w:t xml:space="preserve">第五条【部门职责】  </w:t>
      </w:r>
      <w:r>
        <w:rPr>
          <w:rFonts w:hint="eastAsia" w:ascii="仿宋_GB2312" w:hAnsi="Times New Roman" w:eastAsia="仿宋_GB2312" w:cs="Times New Roman"/>
          <w:color w:val="000000"/>
          <w:kern w:val="0"/>
          <w:sz w:val="32"/>
          <w:szCs w:val="32"/>
        </w:rPr>
        <w:t>市文物行政部门负责龙门石窟</w:t>
      </w:r>
      <w:r>
        <w:rPr>
          <w:rFonts w:hint="eastAsia" w:ascii="仿宋_GB2312" w:hAnsi="Times New Roman" w:eastAsia="仿宋_GB2312" w:cs="Times New Roman"/>
          <w:sz w:val="32"/>
          <w:szCs w:val="32"/>
        </w:rPr>
        <w:t>及其附属文物</w:t>
      </w:r>
      <w:r>
        <w:rPr>
          <w:rFonts w:hint="eastAsia" w:ascii="仿宋_GB2312" w:hAnsi="Times New Roman" w:eastAsia="仿宋_GB2312" w:cs="Times New Roman"/>
          <w:color w:val="000000"/>
          <w:kern w:val="0"/>
          <w:sz w:val="32"/>
          <w:szCs w:val="32"/>
        </w:rPr>
        <w:t>保护的监督管理。</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市发展和改革、公安、财政、自然资源和规划、林业、生态环境、文化广电和旅游、应急管理、市场监督管理等部门应当按照各自职责，共同做好龙门石窟保护管理相关工作。</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i/>
          <w:color w:val="000000"/>
          <w:sz w:val="32"/>
          <w:szCs w:val="32"/>
        </w:rPr>
      </w:pPr>
      <w:r>
        <w:rPr>
          <w:rFonts w:hint="eastAsia" w:ascii="黑体" w:hAnsi="Times New Roman" w:eastAsia="黑体" w:cs="Times New Roman"/>
          <w:color w:val="000000"/>
          <w:kern w:val="0"/>
          <w:sz w:val="32"/>
          <w:szCs w:val="32"/>
        </w:rPr>
        <w:t xml:space="preserve">第六条【机构职责】  </w:t>
      </w:r>
      <w:r>
        <w:rPr>
          <w:rFonts w:hint="eastAsia" w:ascii="仿宋_GB2312" w:hAnsi="Times New Roman" w:eastAsia="仿宋_GB2312" w:cs="Times New Roman"/>
          <w:color w:val="000000"/>
          <w:kern w:val="0"/>
          <w:sz w:val="32"/>
          <w:szCs w:val="32"/>
        </w:rPr>
        <w:t>龙门石窟保护管理机构具体负责龙门石窟及其附属文物安全保卫、修缮保养、科学研究、陈列展示、传承传播</w:t>
      </w:r>
      <w:r>
        <w:rPr>
          <w:rFonts w:hint="eastAsia" w:ascii="Times New Roman" w:hAnsi="Times New Roman" w:eastAsia="仿宋_GB2312" w:cs="Times New Roman"/>
          <w:color w:val="000000"/>
          <w:kern w:val="0"/>
          <w:sz w:val="32"/>
          <w:szCs w:val="32"/>
        </w:rPr>
        <w:t>、文化旅游</w:t>
      </w:r>
      <w:r>
        <w:rPr>
          <w:rFonts w:hint="eastAsia" w:ascii="仿宋_GB2312" w:hAnsi="Times New Roman" w:eastAsia="仿宋_GB2312" w:cs="Times New Roman"/>
          <w:color w:val="000000"/>
          <w:kern w:val="0"/>
          <w:sz w:val="32"/>
          <w:szCs w:val="32"/>
        </w:rPr>
        <w:t>以及合理利用等工作。</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32"/>
        </w:rPr>
      </w:pPr>
      <w:r>
        <w:rPr>
          <w:rFonts w:hint="eastAsia" w:ascii="黑体" w:hAnsi="Times New Roman" w:eastAsia="黑体" w:cs="Times New Roman"/>
          <w:color w:val="000000"/>
          <w:kern w:val="0"/>
          <w:sz w:val="32"/>
          <w:szCs w:val="32"/>
        </w:rPr>
        <w:t xml:space="preserve">第七条【资金管理】  </w:t>
      </w:r>
      <w:r>
        <w:rPr>
          <w:rFonts w:hint="eastAsia" w:ascii="仿宋_GB2312" w:hAnsi="Times New Roman" w:eastAsia="仿宋_GB2312" w:cs="Times New Roman"/>
          <w:sz w:val="32"/>
          <w:szCs w:val="32"/>
        </w:rPr>
        <w:t>龙门石窟保护管理经费和资金的来源：</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32"/>
        </w:rPr>
      </w:pPr>
      <w:r>
        <w:rPr>
          <w:rFonts w:hint="eastAsia" w:ascii="仿宋_GB2312" w:hAnsi="Times New Roman" w:eastAsia="仿宋_GB2312" w:cs="Times New Roman"/>
          <w:sz w:val="32"/>
          <w:szCs w:val="32"/>
        </w:rPr>
        <w:t>（一）国务院、省文物行政部门和其他有关部门的专项拨款；</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32"/>
        </w:rPr>
      </w:pPr>
      <w:r>
        <w:rPr>
          <w:rFonts w:hint="eastAsia" w:ascii="仿宋_GB2312" w:hAnsi="Times New Roman" w:eastAsia="仿宋_GB2312" w:cs="Times New Roman"/>
          <w:sz w:val="32"/>
          <w:szCs w:val="32"/>
        </w:rPr>
        <w:t>（二）市级财政预算；</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32"/>
        </w:rPr>
      </w:pPr>
      <w:r>
        <w:rPr>
          <w:rFonts w:hint="eastAsia" w:ascii="仿宋_GB2312" w:hAnsi="Times New Roman" w:eastAsia="仿宋_GB2312" w:cs="Times New Roman"/>
          <w:sz w:val="32"/>
          <w:szCs w:val="32"/>
        </w:rPr>
        <w:t>（三）事业性收入；</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32"/>
        </w:rPr>
      </w:pPr>
      <w:r>
        <w:rPr>
          <w:rFonts w:hint="eastAsia" w:ascii="仿宋_GB2312" w:hAnsi="Times New Roman" w:eastAsia="仿宋_GB2312" w:cs="Times New Roman"/>
          <w:sz w:val="32"/>
          <w:szCs w:val="32"/>
        </w:rPr>
        <w:t>（四）其他合法收入。</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32"/>
        </w:rPr>
      </w:pPr>
      <w:r>
        <w:rPr>
          <w:rFonts w:hint="eastAsia" w:ascii="仿宋_GB2312" w:hAnsi="Times New Roman" w:eastAsia="仿宋_GB2312" w:cs="Times New Roman"/>
          <w:sz w:val="32"/>
          <w:szCs w:val="32"/>
        </w:rPr>
        <w:t>龙门石窟保护管理经费和资金应当依法管理，专款专用，接受财政、审计部门的监督。任何单位或者个人不得侵占、挪用。</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32"/>
        </w:rPr>
      </w:pPr>
      <w:r>
        <w:rPr>
          <w:rFonts w:hint="eastAsia" w:ascii="仿宋_GB2312" w:hAnsi="Times New Roman" w:eastAsia="仿宋_GB2312" w:cs="Times New Roman"/>
          <w:sz w:val="32"/>
          <w:szCs w:val="32"/>
        </w:rPr>
        <w:t>龙门石窟门票收入应当全部上缴财政，主要用于龙门石窟文物保护。</w:t>
      </w:r>
    </w:p>
    <w:p>
      <w:pPr>
        <w:pStyle w:val="12"/>
        <w:keepNext w:val="0"/>
        <w:keepLines w:val="0"/>
        <w:pageBreakBefore w:val="0"/>
        <w:widowControl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sz w:val="32"/>
          <w:szCs w:val="32"/>
        </w:rPr>
      </w:pPr>
      <w:r>
        <w:rPr>
          <w:rFonts w:hint="eastAsia" w:ascii="黑体" w:hAnsi="Times New Roman" w:eastAsia="黑体" w:cs="Times New Roman"/>
          <w:color w:val="000000"/>
          <w:sz w:val="32"/>
          <w:szCs w:val="32"/>
        </w:rPr>
        <w:t xml:space="preserve">第八条【表彰奖励】 </w:t>
      </w:r>
      <w:r>
        <w:rPr>
          <w:rFonts w:hint="eastAsia" w:ascii="仿宋_GB2312" w:hAnsi="Times New Roman" w:eastAsia="仿宋_GB2312" w:cs="Times New Roman"/>
          <w:color w:val="000000"/>
          <w:sz w:val="32"/>
          <w:szCs w:val="32"/>
        </w:rPr>
        <w:t>任何单位和个人都有保护龙门石窟的义务，有权制止、检举破坏龙门石窟的行为。</w:t>
      </w:r>
    </w:p>
    <w:p>
      <w:pPr>
        <w:pStyle w:val="12"/>
        <w:keepNext w:val="0"/>
        <w:keepLines w:val="0"/>
        <w:pageBreakBefore w:val="0"/>
        <w:widowControl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鼓励单位和个人通过捐赠、资助、提供志愿服务等方式参与龙门石窟保护。</w:t>
      </w:r>
      <w:r>
        <w:rPr>
          <w:rFonts w:hint="eastAsia" w:ascii="仿宋_GB2312" w:hAnsi="Times New Roman" w:eastAsia="仿宋_GB2312" w:cs="Times New Roman"/>
          <w:sz w:val="32"/>
          <w:szCs w:val="32"/>
        </w:rPr>
        <w:t>鼓励和支持国内外单位和个人归还或者协助收集流失的龙门石窟文物。</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对在龙门石窟保护管理工作中做出突出贡献的单位和个人，按照国家及省有关规定予以表彰、奖励。</w:t>
      </w:r>
    </w:p>
    <w:p>
      <w:pPr>
        <w:keepNext w:val="0"/>
        <w:keepLines w:val="0"/>
        <w:pageBreakBefore w:val="0"/>
        <w:kinsoku/>
        <w:wordWrap/>
        <w:overflowPunct/>
        <w:topLinePunct w:val="0"/>
        <w:autoSpaceDE/>
        <w:autoSpaceDN/>
        <w:bidi w:val="0"/>
        <w:adjustRightInd w:val="0"/>
        <w:snapToGrid w:val="0"/>
        <w:spacing w:beforeLines="0" w:afterLines="0" w:line="580" w:lineRule="exact"/>
        <w:jc w:val="center"/>
        <w:textAlignment w:val="auto"/>
        <w:rPr>
          <w:rFonts w:hint="default" w:ascii="Times New Roman" w:hAnsi="Times New Roman" w:eastAsia="黑体" w:cs="Times New Roman"/>
          <w:color w:val="000000"/>
          <w:kern w:val="0"/>
          <w:sz w:val="32"/>
          <w:szCs w:val="32"/>
        </w:rPr>
      </w:pPr>
    </w:p>
    <w:p>
      <w:pPr>
        <w:keepNext w:val="0"/>
        <w:keepLines w:val="0"/>
        <w:pageBreakBefore w:val="0"/>
        <w:kinsoku/>
        <w:wordWrap/>
        <w:overflowPunct/>
        <w:topLinePunct w:val="0"/>
        <w:autoSpaceDE/>
        <w:autoSpaceDN/>
        <w:bidi w:val="0"/>
        <w:adjustRightInd w:val="0"/>
        <w:snapToGrid w:val="0"/>
        <w:spacing w:beforeLines="0" w:afterLines="0" w:line="580" w:lineRule="exact"/>
        <w:jc w:val="center"/>
        <w:textAlignment w:val="auto"/>
        <w:rPr>
          <w:rFonts w:hint="default" w:ascii="Times New Roman" w:hAnsi="Times New Roman" w:eastAsia="黑体" w:cs="Times New Roman"/>
          <w:color w:val="000000"/>
          <w:kern w:val="0"/>
          <w:sz w:val="32"/>
          <w:szCs w:val="32"/>
        </w:rPr>
      </w:pPr>
      <w:r>
        <w:rPr>
          <w:rFonts w:hint="eastAsia" w:ascii="黑体" w:hAnsi="Times New Roman" w:eastAsia="黑体" w:cs="Times New Roman"/>
          <w:color w:val="000000"/>
          <w:kern w:val="0"/>
          <w:sz w:val="32"/>
          <w:szCs w:val="32"/>
        </w:rPr>
        <w:t>第二章  保护管理</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黑体" w:cs="Times New Roman"/>
          <w:sz w:val="32"/>
          <w:szCs w:val="32"/>
        </w:rPr>
      </w:pP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sz w:val="32"/>
          <w:szCs w:val="32"/>
        </w:rPr>
      </w:pPr>
      <w:r>
        <w:rPr>
          <w:rFonts w:hint="eastAsia" w:ascii="黑体" w:hAnsi="Times New Roman" w:eastAsia="黑体" w:cs="Times New Roman"/>
          <w:sz w:val="32"/>
          <w:szCs w:val="32"/>
        </w:rPr>
        <w:t>第九条【保护管理规划】</w:t>
      </w:r>
      <w:r>
        <w:rPr>
          <w:rFonts w:hint="default" w:ascii="Times New Roman" w:hAnsi="Times New Roman" w:eastAsia="黑体" w:cs="Times New Roman"/>
          <w:sz w:val="32"/>
          <w:szCs w:val="32"/>
        </w:rPr>
        <w:t xml:space="preserve">  </w:t>
      </w:r>
      <w:r>
        <w:rPr>
          <w:rFonts w:hint="eastAsia" w:ascii="仿宋_GB2312" w:hAnsi="Times New Roman" w:eastAsia="仿宋_GB2312" w:cs="Times New Roman"/>
          <w:color w:val="000000"/>
          <w:sz w:val="32"/>
          <w:szCs w:val="32"/>
        </w:rPr>
        <w:t>市人民政府负责组织编制龙门石窟保护管理规划，按照规定程序经批准、公布后组织实施。</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龙门石窟保护管理规划应当纳入本市国土空间规划，并与本市相关专项规划相衔接。</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32"/>
        </w:rPr>
      </w:pPr>
      <w:r>
        <w:rPr>
          <w:rFonts w:hint="eastAsia" w:ascii="黑体" w:hAnsi="Times New Roman" w:eastAsia="黑体" w:cs="Times New Roman"/>
          <w:color w:val="000000"/>
          <w:kern w:val="0"/>
          <w:sz w:val="32"/>
          <w:szCs w:val="32"/>
        </w:rPr>
        <w:t>第十条【保护范围和建设控制地带】</w:t>
      </w:r>
      <w:r>
        <w:rPr>
          <w:rFonts w:hint="eastAsia" w:ascii="仿宋_GB2312" w:hAnsi="Times New Roman" w:eastAsia="仿宋_GB2312" w:cs="Times New Roman"/>
          <w:sz w:val="32"/>
          <w:szCs w:val="32"/>
        </w:rPr>
        <w:t>　龙门石窟保护区域分为保护范围和建设控制地带。</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32"/>
        </w:rPr>
      </w:pPr>
      <w:r>
        <w:rPr>
          <w:rFonts w:hint="eastAsia" w:ascii="仿宋_GB2312" w:hAnsi="Times New Roman" w:eastAsia="仿宋_GB2312" w:cs="Times New Roman"/>
          <w:sz w:val="32"/>
          <w:szCs w:val="32"/>
        </w:rPr>
        <w:t>保护范围：东至二广高速公路西侧；南至伊河东、西堤坝；西至G208 西山盘山公路；北至西北服务区北侧道路、焦柳铁路、龙顾路。面积约7.33平方公里。</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32"/>
        </w:rPr>
      </w:pPr>
      <w:r>
        <w:rPr>
          <w:rFonts w:hint="eastAsia" w:ascii="仿宋_GB2312" w:hAnsi="Times New Roman" w:eastAsia="仿宋_GB2312" w:cs="Times New Roman"/>
          <w:sz w:val="32"/>
          <w:szCs w:val="32"/>
        </w:rPr>
        <w:t>建设控制地带：东至东山现状道路；南至草店伊河大桥北侧；西至王城大道东侧；北至龙门北桥南侧、海校路南侧。面积约11.61平方公里。</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32"/>
        </w:rPr>
      </w:pPr>
      <w:r>
        <w:rPr>
          <w:rFonts w:hint="eastAsia" w:ascii="仿宋_GB2312" w:hAnsi="Times New Roman" w:eastAsia="仿宋_GB2312" w:cs="Times New Roman"/>
          <w:sz w:val="32"/>
          <w:szCs w:val="32"/>
        </w:rPr>
        <w:t>龙门石窟保护范围、建设控制地带应当依法划定，并与世界文化遗产保护要求相衔接；依法重新划定的，适用新的规定。</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20"/>
        </w:rPr>
      </w:pPr>
      <w:r>
        <w:rPr>
          <w:rFonts w:hint="eastAsia" w:ascii="黑体" w:hAnsi="Times New Roman" w:eastAsia="黑体" w:cs="Times New Roman"/>
          <w:color w:val="000000"/>
          <w:kern w:val="0"/>
          <w:sz w:val="32"/>
          <w:szCs w:val="32"/>
        </w:rPr>
        <w:t>第十一条【保护标志】</w:t>
      </w:r>
      <w:r>
        <w:rPr>
          <w:rFonts w:hint="eastAsia" w:ascii="仿宋_GB2312" w:hAnsi="Times New Roman" w:eastAsia="仿宋_GB2312" w:cs="Times New Roman"/>
          <w:sz w:val="32"/>
          <w:szCs w:val="32"/>
        </w:rPr>
        <w:t>　龙门石窟保护管理机构</w:t>
      </w:r>
      <w:r>
        <w:rPr>
          <w:rFonts w:hint="eastAsia" w:ascii="仿宋_GB2312" w:hAnsi="Times New Roman" w:eastAsia="仿宋_GB2312" w:cs="Times New Roman"/>
          <w:sz w:val="32"/>
          <w:szCs w:val="20"/>
        </w:rPr>
        <w:t>应当根据划定的保护范围和建设控制地带设立界碑、界桩等标识，明确具体界区。</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20"/>
        </w:rPr>
      </w:pPr>
      <w:r>
        <w:rPr>
          <w:rFonts w:hint="eastAsia" w:ascii="仿宋_GB2312" w:hAnsi="Times New Roman" w:eastAsia="仿宋_GB2312" w:cs="Times New Roman"/>
          <w:sz w:val="32"/>
          <w:szCs w:val="20"/>
        </w:rPr>
        <w:t>任何单位和个人不得擅自移动、损毁、拆除界碑、界桩等标识。</w:t>
      </w:r>
    </w:p>
    <w:p>
      <w:pPr>
        <w:pStyle w:val="7"/>
        <w:keepNext w:val="0"/>
        <w:keepLines w:val="0"/>
        <w:pageBreakBefore w:val="0"/>
        <w:kinsoku/>
        <w:wordWrap/>
        <w:overflowPunct/>
        <w:topLinePunct w:val="0"/>
        <w:autoSpaceDE/>
        <w:autoSpaceDN/>
        <w:bidi w:val="0"/>
        <w:adjustRightInd w:val="0"/>
        <w:snapToGrid w:val="0"/>
        <w:spacing w:beforeLines="0" w:after="0" w:line="580" w:lineRule="exact"/>
        <w:ind w:firstLine="640" w:firstLineChars="200"/>
        <w:textAlignment w:val="auto"/>
        <w:rPr>
          <w:rFonts w:hint="default" w:ascii="Times New Roman" w:hAnsi="Times New Roman" w:eastAsia="仿宋_GB2312" w:cs="Times New Roman"/>
          <w:sz w:val="32"/>
          <w:szCs w:val="32"/>
        </w:rPr>
      </w:pPr>
      <w:r>
        <w:rPr>
          <w:rFonts w:hint="eastAsia" w:ascii="黑体" w:hAnsi="Times New Roman" w:eastAsia="黑体" w:cs="Times New Roman"/>
          <w:color w:val="000000"/>
          <w:kern w:val="0"/>
          <w:sz w:val="32"/>
          <w:szCs w:val="32"/>
        </w:rPr>
        <w:t>第十二条【建设工程管理】</w:t>
      </w:r>
      <w:r>
        <w:rPr>
          <w:rFonts w:hint="default" w:ascii="Times New Roman" w:hAnsi="Times New Roman" w:eastAsia="黑体" w:cs="Times New Roman"/>
          <w:color w:val="000000"/>
          <w:kern w:val="0"/>
          <w:sz w:val="32"/>
          <w:szCs w:val="32"/>
        </w:rPr>
        <w:t xml:space="preserve"> </w:t>
      </w:r>
      <w:r>
        <w:rPr>
          <w:rFonts w:hint="default" w:ascii="Times New Roman" w:hAnsi="Times New Roman" w:eastAsia="黑体" w:cs="Times New Roman"/>
          <w:color w:val="FF0000"/>
          <w:kern w:val="0"/>
          <w:sz w:val="32"/>
          <w:szCs w:val="32"/>
        </w:rPr>
        <w:t xml:space="preserve"> </w:t>
      </w:r>
      <w:r>
        <w:rPr>
          <w:rFonts w:hint="eastAsia" w:ascii="仿宋_GB2312" w:hAnsi="Times New Roman" w:eastAsia="仿宋_GB2312" w:cs="Times New Roman"/>
          <w:sz w:val="32"/>
          <w:szCs w:val="32"/>
        </w:rPr>
        <w:t>在龙门石窟保护范围内不得进行文物保护工程以外的其他建设工程或者爆破、钻探、挖掘等作业；因特殊情况需要进行的，应当报</w:t>
      </w:r>
      <w:r>
        <w:rPr>
          <w:rFonts w:hint="eastAsia" w:ascii="仿宋_GB2312" w:hAnsi="Times New Roman" w:eastAsia="仿宋_GB2312" w:cs="Times New Roman"/>
          <w:sz w:val="32"/>
          <w:szCs w:val="20"/>
        </w:rPr>
        <w:t>国务院文物行政部门同意，经省人民政府批准后方可实施</w:t>
      </w:r>
      <w:r>
        <w:rPr>
          <w:rFonts w:hint="eastAsia" w:ascii="仿宋_GB2312" w:hAnsi="Times New Roman" w:eastAsia="仿宋_GB2312" w:cs="Times New Roman"/>
          <w:sz w:val="32"/>
          <w:szCs w:val="32"/>
        </w:rPr>
        <w:t>。实施中应当保证龙门石窟的安全。</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32"/>
        </w:rPr>
      </w:pPr>
      <w:r>
        <w:rPr>
          <w:rFonts w:hint="eastAsia" w:ascii="仿宋_GB2312" w:hAnsi="Times New Roman" w:eastAsia="仿宋_GB2312" w:cs="Times New Roman"/>
          <w:sz w:val="32"/>
          <w:szCs w:val="32"/>
        </w:rPr>
        <w:t>在龙门石窟建设控制地带内进行建设工程，不得破坏龙门石窟的安全、周边环境和历史风貌；工程设计方案应当经国务院文物行政部门同意，依法取得建设工程规划许可后方可实施。</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32"/>
        </w:rPr>
      </w:pPr>
      <w:r>
        <w:rPr>
          <w:rFonts w:hint="eastAsia" w:ascii="黑体" w:hAnsi="Times New Roman" w:eastAsia="黑体" w:cs="Times New Roman"/>
          <w:color w:val="000000"/>
          <w:kern w:val="0"/>
          <w:sz w:val="32"/>
          <w:szCs w:val="32"/>
        </w:rPr>
        <w:t>第十三条【建筑物、构筑物管理】</w:t>
      </w:r>
      <w:r>
        <w:rPr>
          <w:rFonts w:hint="default" w:ascii="Times New Roman" w:hAnsi="Times New Roman" w:eastAsia="黑体" w:cs="Times New Roman"/>
          <w:color w:val="000000"/>
          <w:kern w:val="0"/>
          <w:sz w:val="32"/>
          <w:szCs w:val="32"/>
        </w:rPr>
        <w:t xml:space="preserve">  </w:t>
      </w:r>
      <w:r>
        <w:rPr>
          <w:rFonts w:hint="eastAsia" w:ascii="仿宋_GB2312" w:hAnsi="Times New Roman" w:eastAsia="仿宋_GB2312" w:cs="Times New Roman"/>
          <w:sz w:val="32"/>
          <w:szCs w:val="32"/>
        </w:rPr>
        <w:t>对危害龙门石窟安全、破坏龙门石窟历史风貌的建筑物、构筑物，市人民政府应当及时调查处理；必要时，对该建筑物、构筑物依法予以拆除、迁移。</w:t>
      </w:r>
      <w:r>
        <w:rPr>
          <w:rFonts w:hint="default" w:ascii="Times New Roman" w:hAnsi="Times New Roman" w:eastAsia="黑体" w:cs="Times New Roman"/>
          <w:color w:val="000000"/>
          <w:kern w:val="0"/>
          <w:sz w:val="32"/>
          <w:szCs w:val="32"/>
        </w:rPr>
        <w:t xml:space="preserve"> </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kern w:val="0"/>
          <w:sz w:val="32"/>
          <w:szCs w:val="32"/>
        </w:rPr>
      </w:pPr>
      <w:r>
        <w:rPr>
          <w:rFonts w:hint="eastAsia" w:ascii="黑体" w:hAnsi="Times New Roman" w:eastAsia="黑体" w:cs="Times New Roman"/>
          <w:color w:val="000000"/>
          <w:kern w:val="0"/>
          <w:sz w:val="32"/>
          <w:szCs w:val="32"/>
        </w:rPr>
        <w:t>第十四条【自然资源保护】</w:t>
      </w:r>
      <w:r>
        <w:rPr>
          <w:rFonts w:hint="eastAsia" w:ascii="仿宋_GB2312" w:hAnsi="Times New Roman" w:eastAsia="仿宋_GB2312" w:cs="Times New Roman"/>
          <w:sz w:val="32"/>
          <w:szCs w:val="32"/>
        </w:rPr>
        <w:t>　</w:t>
      </w:r>
      <w:r>
        <w:rPr>
          <w:rFonts w:hint="eastAsia" w:ascii="仿宋_GB2312" w:hAnsi="Times New Roman" w:eastAsia="仿宋_GB2312" w:cs="Times New Roman"/>
          <w:color w:val="000000"/>
          <w:kern w:val="0"/>
          <w:sz w:val="32"/>
          <w:szCs w:val="32"/>
        </w:rPr>
        <w:t>龙门石窟保护范围和建设控制地带内的石刻文物、古遗址、古墓葬、历史建筑物等人文资源，以及山体、森林植被、古树名木、野生动物、河流、地下水（温泉群）、地热矿产、地质遗迹等自然资源应当严格保护，不得破坏或者随意改变。</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kern w:val="0"/>
          <w:sz w:val="32"/>
          <w:szCs w:val="32"/>
        </w:rPr>
      </w:pPr>
      <w:r>
        <w:rPr>
          <w:rFonts w:hint="eastAsia" w:ascii="仿宋_GB2312" w:hAnsi="Times New Roman" w:eastAsia="仿宋_GB2312" w:cs="Times New Roman"/>
          <w:color w:val="000000"/>
          <w:kern w:val="0"/>
          <w:sz w:val="32"/>
          <w:szCs w:val="32"/>
        </w:rPr>
        <w:t>保护范围内集体所有和林业部门管理的林木，由其所有权人或者承包人负责保护和管理。对危及文物安全的树木，应当经林业部门批准后依法清除。</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20"/>
        </w:rPr>
      </w:pPr>
      <w:r>
        <w:rPr>
          <w:rFonts w:hint="eastAsia" w:ascii="黑体" w:hAnsi="Times New Roman" w:eastAsia="黑体" w:cs="Times New Roman"/>
          <w:color w:val="000000"/>
          <w:kern w:val="0"/>
          <w:sz w:val="32"/>
          <w:szCs w:val="32"/>
        </w:rPr>
        <w:t>第十五条【自然灾害应急预案】</w:t>
      </w:r>
      <w:r>
        <w:rPr>
          <w:rFonts w:hint="default" w:ascii="Times New Roman" w:hAnsi="Times New Roman" w:eastAsia="黑体" w:cs="Times New Roman"/>
          <w:color w:val="000000"/>
          <w:kern w:val="0"/>
          <w:sz w:val="32"/>
          <w:szCs w:val="32"/>
        </w:rPr>
        <w:t xml:space="preserve">  </w:t>
      </w:r>
      <w:r>
        <w:rPr>
          <w:rFonts w:hint="eastAsia" w:ascii="仿宋_GB2312" w:hAnsi="Times New Roman" w:eastAsia="仿宋_GB2312" w:cs="Times New Roman"/>
          <w:sz w:val="32"/>
          <w:szCs w:val="20"/>
        </w:rPr>
        <w:t>市人民政府应当组织有关部门制定龙门石窟保护范围内河流水系防治方案，以及地震、暴雨、山洪、泥石流等自然灾害的应急预案，并组织实施。</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sz w:val="32"/>
          <w:szCs w:val="32"/>
        </w:rPr>
      </w:pPr>
      <w:r>
        <w:rPr>
          <w:rFonts w:hint="eastAsia" w:ascii="黑体" w:hAnsi="Times New Roman" w:eastAsia="黑体" w:cs="Times New Roman"/>
          <w:color w:val="000000"/>
          <w:kern w:val="0"/>
          <w:sz w:val="32"/>
          <w:szCs w:val="32"/>
        </w:rPr>
        <w:t>第十六条【文物安全】</w:t>
      </w:r>
      <w:r>
        <w:rPr>
          <w:rFonts w:hint="default" w:ascii="Times New Roman" w:hAnsi="Times New Roman" w:eastAsia="黑体" w:cs="Times New Roman"/>
          <w:color w:val="000000"/>
          <w:kern w:val="0"/>
          <w:sz w:val="32"/>
          <w:szCs w:val="32"/>
        </w:rPr>
        <w:t xml:space="preserve">  </w:t>
      </w:r>
      <w:r>
        <w:rPr>
          <w:rFonts w:hint="eastAsia" w:ascii="仿宋_GB2312" w:hAnsi="Times New Roman" w:eastAsia="仿宋_GB2312" w:cs="Times New Roman"/>
          <w:color w:val="000000"/>
          <w:sz w:val="32"/>
          <w:szCs w:val="32"/>
        </w:rPr>
        <w:t>龙门石窟</w:t>
      </w:r>
      <w:r>
        <w:rPr>
          <w:rFonts w:hint="eastAsia" w:ascii="仿宋_GB2312" w:hAnsi="Times New Roman" w:eastAsia="仿宋_GB2312" w:cs="Times New Roman"/>
          <w:sz w:val="32"/>
          <w:szCs w:val="32"/>
        </w:rPr>
        <w:t>保护管理机构</w:t>
      </w:r>
      <w:r>
        <w:rPr>
          <w:rFonts w:hint="eastAsia" w:ascii="仿宋_GB2312" w:hAnsi="Times New Roman" w:eastAsia="仿宋_GB2312" w:cs="Times New Roman"/>
          <w:sz w:val="32"/>
          <w:szCs w:val="20"/>
        </w:rPr>
        <w:t>应当按照有关规定，建立健全文物安全管理制度，配备防盗、防火、防雷等设施、设备，确保文物安全。</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sz w:val="32"/>
          <w:szCs w:val="32"/>
          <w:u w:val="single"/>
        </w:rPr>
      </w:pPr>
      <w:r>
        <w:rPr>
          <w:rFonts w:hint="eastAsia" w:ascii="黑体" w:hAnsi="Times New Roman" w:eastAsia="黑体" w:cs="Times New Roman"/>
          <w:color w:val="000000"/>
          <w:kern w:val="0"/>
          <w:sz w:val="32"/>
          <w:szCs w:val="32"/>
        </w:rPr>
        <w:t>第十七条【监测预警】</w:t>
      </w:r>
      <w:r>
        <w:rPr>
          <w:rFonts w:hint="default" w:ascii="Times New Roman" w:hAnsi="Times New Roman" w:eastAsia="仿宋_GB2312" w:cs="Times New Roman"/>
          <w:color w:val="auto"/>
          <w:sz w:val="32"/>
          <w:szCs w:val="32"/>
        </w:rPr>
        <w:t xml:space="preserve"> </w:t>
      </w:r>
      <w:r>
        <w:rPr>
          <w:rFonts w:hint="eastAsia" w:ascii="仿宋_GB2312" w:hAnsi="Times New Roman" w:eastAsia="仿宋_GB2312" w:cs="Times New Roman"/>
          <w:color w:val="000000"/>
          <w:sz w:val="32"/>
          <w:szCs w:val="32"/>
        </w:rPr>
        <w:t>龙门石窟保护管理机构应当</w:t>
      </w:r>
      <w:r>
        <w:rPr>
          <w:rFonts w:hint="eastAsia" w:ascii="仿宋_GB2312" w:hAnsi="Times New Roman" w:eastAsia="仿宋_GB2312" w:cs="Times New Roman"/>
          <w:sz w:val="32"/>
          <w:szCs w:val="20"/>
        </w:rPr>
        <w:t>建立监测预警体系</w:t>
      </w:r>
      <w:r>
        <w:rPr>
          <w:rFonts w:hint="eastAsia" w:ascii="仿宋_GB2312" w:hAnsi="Times New Roman" w:eastAsia="仿宋_GB2312" w:cs="Times New Roman"/>
          <w:color w:val="000000"/>
          <w:sz w:val="32"/>
          <w:szCs w:val="32"/>
        </w:rPr>
        <w:t>，配备监测专业人员和设施、设备，对影响龙门石窟保护的各种因素进行监测。发现重大安全隐患的，龙门石窟保护管理机构应当采取</w:t>
      </w:r>
      <w:r>
        <w:rPr>
          <w:rFonts w:hint="eastAsia" w:ascii="仿宋_GB2312" w:hAnsi="Times New Roman" w:eastAsia="仿宋_GB2312" w:cs="Times New Roman"/>
          <w:sz w:val="32"/>
          <w:szCs w:val="20"/>
        </w:rPr>
        <w:t>应急处置措施</w:t>
      </w:r>
      <w:r>
        <w:rPr>
          <w:rFonts w:hint="eastAsia" w:ascii="仿宋_GB2312" w:hAnsi="Times New Roman" w:eastAsia="仿宋_GB2312" w:cs="Times New Roman"/>
          <w:color w:val="000000"/>
          <w:sz w:val="32"/>
          <w:szCs w:val="32"/>
        </w:rPr>
        <w:t>，并及时向市人民政府和上级文物行政部门报告。</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32"/>
        </w:rPr>
      </w:pPr>
      <w:r>
        <w:rPr>
          <w:rFonts w:hint="eastAsia" w:ascii="黑体" w:hAnsi="Times New Roman" w:eastAsia="黑体" w:cs="Times New Roman"/>
          <w:color w:val="000000"/>
          <w:kern w:val="0"/>
          <w:sz w:val="32"/>
          <w:szCs w:val="32"/>
        </w:rPr>
        <w:t>第十八条【文物保护工程管理】</w:t>
      </w:r>
      <w:r>
        <w:rPr>
          <w:rFonts w:hint="default" w:ascii="Times New Roman" w:hAnsi="Times New Roman" w:eastAsia="仿宋_GB2312" w:cs="Times New Roman"/>
          <w:sz w:val="32"/>
          <w:szCs w:val="32"/>
        </w:rPr>
        <w:t xml:space="preserve">  </w:t>
      </w:r>
      <w:r>
        <w:rPr>
          <w:rFonts w:hint="eastAsia" w:ascii="仿宋_GB2312" w:hAnsi="Times New Roman" w:eastAsia="仿宋_GB2312" w:cs="Times New Roman"/>
          <w:sz w:val="32"/>
          <w:szCs w:val="32"/>
        </w:rPr>
        <w:t>实施龙门石窟修缮、抢险加固、保护性设施建设等文物保护工程，应当制定文物保护工程方案，经国务院文物行政部门批准后，由具备相应资质的单位实施。</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auto"/>
          <w:sz w:val="32"/>
          <w:szCs w:val="32"/>
        </w:rPr>
      </w:pPr>
      <w:bookmarkStart w:id="0" w:name="OLE_LINK2"/>
      <w:r>
        <w:rPr>
          <w:rFonts w:hint="eastAsia" w:ascii="黑体" w:hAnsi="Times New Roman" w:eastAsia="黑体"/>
          <w:color w:val="auto"/>
          <w:sz w:val="32"/>
          <w:szCs w:val="24"/>
        </w:rPr>
        <w:t>第</w:t>
      </w:r>
      <w:r>
        <w:rPr>
          <w:rFonts w:hint="eastAsia" w:ascii="Times New Roman" w:hAnsi="Times New Roman" w:eastAsia="黑体"/>
          <w:color w:val="auto"/>
          <w:sz w:val="32"/>
          <w:szCs w:val="24"/>
        </w:rPr>
        <w:t>十九</w:t>
      </w:r>
      <w:r>
        <w:rPr>
          <w:rFonts w:hint="eastAsia" w:ascii="黑体" w:hAnsi="Times New Roman" w:eastAsia="黑体"/>
          <w:color w:val="auto"/>
          <w:sz w:val="32"/>
          <w:szCs w:val="24"/>
        </w:rPr>
        <w:t>条【建设控制地带内禁止行为】</w:t>
      </w:r>
      <w:r>
        <w:rPr>
          <w:rFonts w:hint="default" w:ascii="Times New Roman" w:hAnsi="Times New Roman" w:eastAsia="仿宋_GB2312"/>
          <w:color w:val="auto"/>
          <w:sz w:val="32"/>
          <w:szCs w:val="24"/>
        </w:rPr>
        <w:t xml:space="preserve">  </w:t>
      </w:r>
      <w:bookmarkEnd w:id="0"/>
      <w:bookmarkStart w:id="1" w:name="OLE_LINK4"/>
      <w:bookmarkStart w:id="2" w:name="OLE_LINK3"/>
      <w:r>
        <w:rPr>
          <w:rFonts w:hint="eastAsia" w:ascii="仿宋_GB2312" w:hAnsi="Times New Roman" w:eastAsia="仿宋_GB2312" w:cs="Times New Roman"/>
          <w:color w:val="auto"/>
          <w:sz w:val="32"/>
          <w:szCs w:val="32"/>
        </w:rPr>
        <w:t>龙门石窟建设控制地带内，禁止下列行为：</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仿宋_GB2312" w:hAnsi="Times New Roman" w:eastAsia="仿宋_GB2312" w:cs="Times New Roman"/>
          <w:color w:val="auto"/>
          <w:sz w:val="32"/>
          <w:szCs w:val="32"/>
        </w:rPr>
        <w:t>（一）在伊河游泳、洗澡；</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仿宋_GB2312" w:hAnsi="Times New Roman" w:eastAsia="仿宋_GB2312" w:cs="Times New Roman"/>
          <w:color w:val="auto"/>
          <w:sz w:val="32"/>
          <w:szCs w:val="32"/>
        </w:rPr>
        <w:t>（二）拦网捕鱼、钓鱼、电鱼、炸鱼等；</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仿宋_GB2312" w:hAnsi="Times New Roman" w:eastAsia="仿宋_GB2312" w:cs="Times New Roman"/>
          <w:color w:val="auto"/>
          <w:sz w:val="32"/>
          <w:szCs w:val="32"/>
        </w:rPr>
        <w:t>（三）在非指定地点堆放、焚烧树叶、荒草、垃圾或者野炊；</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仿宋_GB2312" w:hAnsi="Times New Roman" w:eastAsia="仿宋_GB2312" w:cs="Times New Roman"/>
          <w:color w:val="auto"/>
          <w:sz w:val="32"/>
          <w:szCs w:val="32"/>
        </w:rPr>
        <w:t>（四）擅自挖坡、挖沟、取石、取土，修坟立碑；</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仿宋_GB2312" w:hAnsi="Times New Roman" w:eastAsia="仿宋_GB2312" w:cs="Times New Roman"/>
          <w:color w:val="auto"/>
          <w:sz w:val="32"/>
          <w:szCs w:val="32"/>
        </w:rPr>
        <w:t>（五）擅自砍伐树木，破坏植被；</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仿宋_GB2312" w:hAnsi="Times New Roman" w:eastAsia="仿宋_GB2312" w:cs="Times New Roman"/>
          <w:color w:val="auto"/>
          <w:sz w:val="32"/>
          <w:szCs w:val="32"/>
        </w:rPr>
        <w:t>（六）损坏旅游基础设施、安全设施；</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仿宋_GB2312" w:hAnsi="Times New Roman" w:eastAsia="仿宋_GB2312" w:cs="Times New Roman"/>
          <w:color w:val="auto"/>
          <w:sz w:val="32"/>
          <w:szCs w:val="32"/>
        </w:rPr>
        <w:t>（七）排放、倾倒未经处理或者处理后未达标的工业废水和生活污水；</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（八）</w:t>
      </w:r>
      <w:r>
        <w:rPr>
          <w:rFonts w:hint="eastAsia" w:ascii="仿宋_GB2312" w:hAnsi="Times New Roman" w:eastAsia="仿宋_GB2312" w:cs="Times New Roman"/>
          <w:color w:val="auto"/>
          <w:sz w:val="32"/>
          <w:szCs w:val="32"/>
        </w:rPr>
        <w:t>法律、法规禁止的其他行为。</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黑体" w:hAnsi="Times New Roman" w:eastAsia="黑体"/>
          <w:color w:val="auto"/>
          <w:sz w:val="32"/>
          <w:szCs w:val="24"/>
        </w:rPr>
        <w:t>第二十条【保护范围内禁止行为】</w:t>
      </w:r>
      <w:r>
        <w:rPr>
          <w:rFonts w:hint="eastAsia" w:ascii="Times New Roman" w:hAnsi="Times New Roman" w:eastAsia="仿宋_GB2312"/>
          <w:color w:val="auto"/>
          <w:sz w:val="32"/>
          <w:szCs w:val="24"/>
        </w:rPr>
        <w:t xml:space="preserve">  </w:t>
      </w:r>
      <w:r>
        <w:rPr>
          <w:rFonts w:hint="eastAsia" w:ascii="仿宋_GB2312" w:hAnsi="Times New Roman" w:eastAsia="仿宋_GB2312" w:cs="Times New Roman"/>
          <w:color w:val="auto"/>
          <w:sz w:val="32"/>
          <w:szCs w:val="32"/>
        </w:rPr>
        <w:t>龙门石窟保护范围内，除本条例第</w:t>
      </w:r>
      <w:r>
        <w:rPr>
          <w:rFonts w:hint="eastAsia" w:ascii="Times New Roman" w:hAnsi="Times New Roman" w:eastAsia="仿宋_GB2312" w:cs="Times New Roman"/>
          <w:color w:val="auto"/>
          <w:sz w:val="32"/>
          <w:szCs w:val="32"/>
        </w:rPr>
        <w:t>十九</w:t>
      </w:r>
      <w:r>
        <w:rPr>
          <w:rFonts w:hint="eastAsia" w:ascii="仿宋_GB2312" w:hAnsi="Times New Roman" w:eastAsia="仿宋_GB2312" w:cs="Times New Roman"/>
          <w:color w:val="auto"/>
          <w:sz w:val="32"/>
          <w:szCs w:val="32"/>
        </w:rPr>
        <w:t>条规定的禁止性行为之外，还禁止下列行为：</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（一）</w:t>
      </w:r>
      <w:r>
        <w:rPr>
          <w:rFonts w:hint="eastAsia" w:ascii="仿宋_GB2312" w:hAnsi="Times New Roman" w:eastAsia="仿宋_GB2312" w:cs="Times New Roman"/>
          <w:color w:val="auto"/>
          <w:sz w:val="32"/>
          <w:szCs w:val="32"/>
        </w:rPr>
        <w:t>刻划、涂污、攀爬文物</w:t>
      </w:r>
      <w:r>
        <w:rPr>
          <w:rFonts w:hint="eastAsia" w:ascii="Times New Roman" w:hAnsi="Times New Roman" w:eastAsia="仿宋_GB2312" w:cs="Times New Roman"/>
          <w:color w:val="auto"/>
          <w:sz w:val="32"/>
          <w:szCs w:val="32"/>
        </w:rPr>
        <w:t>；</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（二）损坏文物保护设施；</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仿宋_GB2312" w:hAnsi="Times New Roman" w:eastAsia="仿宋_GB2312" w:cs="Times New Roman"/>
          <w:color w:val="auto"/>
          <w:sz w:val="32"/>
          <w:szCs w:val="32"/>
        </w:rPr>
        <w:t>（三）在非指定地点燃香焚箔</w:t>
      </w:r>
      <w:r>
        <w:rPr>
          <w:rFonts w:hint="eastAsia" w:ascii="Times New Roman" w:hAnsi="Times New Roman" w:eastAsia="仿宋_GB2312" w:cs="Times New Roman"/>
          <w:color w:val="auto"/>
          <w:sz w:val="32"/>
          <w:szCs w:val="32"/>
        </w:rPr>
        <w:t>，</w:t>
      </w:r>
      <w:r>
        <w:rPr>
          <w:rFonts w:hint="eastAsia" w:ascii="仿宋_GB2312" w:hAnsi="Times New Roman" w:eastAsia="仿宋_GB2312" w:cs="Times New Roman"/>
          <w:color w:val="auto"/>
          <w:sz w:val="32"/>
          <w:szCs w:val="32"/>
        </w:rPr>
        <w:t>放</w:t>
      </w:r>
      <w:r>
        <w:rPr>
          <w:rFonts w:hint="eastAsia" w:ascii="Times New Roman" w:hAnsi="Times New Roman" w:eastAsia="仿宋_GB2312" w:cs="Times New Roman"/>
          <w:color w:val="auto"/>
          <w:sz w:val="32"/>
          <w:szCs w:val="32"/>
        </w:rPr>
        <w:t>飞</w:t>
      </w:r>
      <w:r>
        <w:rPr>
          <w:rFonts w:hint="eastAsia" w:ascii="仿宋_GB2312" w:hAnsi="Times New Roman" w:eastAsia="仿宋_GB2312" w:cs="Times New Roman"/>
          <w:color w:val="auto"/>
          <w:sz w:val="32"/>
          <w:szCs w:val="32"/>
        </w:rPr>
        <w:t xml:space="preserve">孔明灯； </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仿宋_GB2312"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四</w:t>
      </w:r>
      <w:r>
        <w:rPr>
          <w:rFonts w:hint="eastAsia" w:ascii="仿宋_GB2312" w:hAnsi="Times New Roman" w:eastAsia="仿宋_GB2312" w:cs="Times New Roman"/>
          <w:color w:val="auto"/>
          <w:sz w:val="32"/>
          <w:szCs w:val="32"/>
        </w:rPr>
        <w:t>）飞行低空商业</w:t>
      </w:r>
      <w:r>
        <w:rPr>
          <w:rFonts w:hint="eastAsia" w:ascii="Times New Roman" w:hAnsi="Times New Roman" w:eastAsia="仿宋_GB2312" w:cs="Times New Roman"/>
          <w:color w:val="auto"/>
          <w:sz w:val="32"/>
          <w:szCs w:val="32"/>
        </w:rPr>
        <w:t>直升机</w:t>
      </w:r>
      <w:r>
        <w:rPr>
          <w:rFonts w:hint="eastAsia" w:ascii="仿宋_GB2312" w:hAnsi="Times New Roman" w:eastAsia="仿宋_GB2312" w:cs="Times New Roman"/>
          <w:color w:val="auto"/>
          <w:sz w:val="32"/>
          <w:szCs w:val="32"/>
        </w:rPr>
        <w:t>；</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仿宋_GB2312"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五</w:t>
      </w:r>
      <w:r>
        <w:rPr>
          <w:rFonts w:hint="eastAsia" w:ascii="仿宋_GB2312" w:hAnsi="Times New Roman" w:eastAsia="仿宋_GB2312" w:cs="Times New Roman"/>
          <w:color w:val="auto"/>
          <w:sz w:val="32"/>
          <w:szCs w:val="32"/>
        </w:rPr>
        <w:t>）</w:t>
      </w:r>
      <w:bookmarkStart w:id="3" w:name="_Hlk224212033"/>
      <w:r>
        <w:rPr>
          <w:rFonts w:hint="eastAsia" w:ascii="Times New Roman" w:hAnsi="Times New Roman" w:eastAsia="仿宋_GB2312" w:cs="Times New Roman"/>
          <w:color w:val="auto"/>
          <w:sz w:val="32"/>
          <w:szCs w:val="32"/>
        </w:rPr>
        <w:t>私放</w:t>
      </w:r>
      <w:r>
        <w:rPr>
          <w:rFonts w:hint="eastAsia" w:ascii="仿宋_GB2312" w:hAnsi="Times New Roman" w:eastAsia="仿宋_GB2312" w:cs="Times New Roman"/>
          <w:color w:val="auto"/>
          <w:sz w:val="32"/>
          <w:szCs w:val="32"/>
        </w:rPr>
        <w:t>无人机；</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仿宋_GB2312"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六</w:t>
      </w:r>
      <w:r>
        <w:rPr>
          <w:rFonts w:hint="eastAsia" w:ascii="仿宋_GB2312" w:hAnsi="Times New Roman" w:eastAsia="仿宋_GB2312" w:cs="Times New Roman"/>
          <w:color w:val="auto"/>
          <w:sz w:val="32"/>
          <w:szCs w:val="32"/>
        </w:rPr>
        <w:t>）翻越文物景点围墙、围栏；</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仿宋_GB2312"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七</w:t>
      </w:r>
      <w:r>
        <w:rPr>
          <w:rFonts w:hint="eastAsia" w:ascii="仿宋_GB2312" w:hAnsi="Times New Roman" w:eastAsia="仿宋_GB2312" w:cs="Times New Roman"/>
          <w:color w:val="auto"/>
          <w:sz w:val="32"/>
          <w:szCs w:val="32"/>
        </w:rPr>
        <w:t>）</w:t>
      </w:r>
      <w:bookmarkEnd w:id="3"/>
      <w:r>
        <w:rPr>
          <w:rFonts w:hint="eastAsia" w:ascii="仿宋_GB2312" w:hAnsi="Times New Roman" w:eastAsia="仿宋_GB2312" w:cs="Times New Roman"/>
          <w:color w:val="auto"/>
          <w:sz w:val="32"/>
          <w:szCs w:val="32"/>
        </w:rPr>
        <w:t>在禁止登山的区域内登山；</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仿宋_GB2312"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八</w:t>
      </w:r>
      <w:r>
        <w:rPr>
          <w:rFonts w:hint="eastAsia" w:ascii="仿宋_GB2312" w:hAnsi="Times New Roman" w:eastAsia="仿宋_GB2312" w:cs="Times New Roman"/>
          <w:color w:val="auto"/>
          <w:sz w:val="32"/>
          <w:szCs w:val="32"/>
        </w:rPr>
        <w:t>）扰乱公共秩序、非法宣传的网络直播；</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（九）</w:t>
      </w:r>
      <w:r>
        <w:rPr>
          <w:rFonts w:hint="eastAsia" w:ascii="仿宋_GB2312" w:hAnsi="Times New Roman" w:eastAsia="仿宋_GB2312" w:cs="Times New Roman"/>
          <w:color w:val="auto"/>
          <w:sz w:val="32"/>
          <w:szCs w:val="32"/>
        </w:rPr>
        <w:t>存放、携带、运输或者遗弃易燃、易爆、剧毒、放射性物品；</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（十）</w:t>
      </w:r>
      <w:r>
        <w:rPr>
          <w:rFonts w:hint="eastAsia" w:ascii="仿宋_GB2312" w:hAnsi="Times New Roman" w:eastAsia="仿宋_GB2312" w:cs="Times New Roman"/>
          <w:color w:val="auto"/>
          <w:sz w:val="32"/>
          <w:szCs w:val="32"/>
        </w:rPr>
        <w:t>法律、法规禁止的其他行为</w:t>
      </w:r>
      <w:r>
        <w:rPr>
          <w:rFonts w:hint="eastAsia" w:ascii="Times New Roman" w:hAnsi="Times New Roman" w:eastAsia="仿宋_GB2312" w:cs="Times New Roman"/>
          <w:color w:val="auto"/>
          <w:sz w:val="32"/>
          <w:szCs w:val="32"/>
        </w:rPr>
        <w:t>。</w:t>
      </w:r>
      <w:bookmarkEnd w:id="1"/>
      <w:bookmarkEnd w:id="2"/>
    </w:p>
    <w:p>
      <w:pPr>
        <w:keepNext w:val="0"/>
        <w:keepLines w:val="0"/>
        <w:pageBreakBefore w:val="0"/>
        <w:kinsoku/>
        <w:wordWrap/>
        <w:overflowPunct/>
        <w:topLinePunct w:val="0"/>
        <w:autoSpaceDE/>
        <w:autoSpaceDN/>
        <w:bidi w:val="0"/>
        <w:adjustRightInd w:val="0"/>
        <w:snapToGrid w:val="0"/>
        <w:spacing w:beforeLines="0" w:afterLines="0" w:line="580" w:lineRule="exact"/>
        <w:jc w:val="center"/>
        <w:textAlignment w:val="auto"/>
        <w:rPr>
          <w:rFonts w:hint="default" w:ascii="Times New Roman" w:hAnsi="Times New Roman" w:eastAsia="黑体" w:cs="Times New Roman"/>
          <w:color w:val="000000"/>
          <w:kern w:val="0"/>
          <w:sz w:val="32"/>
          <w:szCs w:val="32"/>
        </w:rPr>
      </w:pPr>
    </w:p>
    <w:p>
      <w:pPr>
        <w:keepNext w:val="0"/>
        <w:keepLines w:val="0"/>
        <w:pageBreakBefore w:val="0"/>
        <w:kinsoku/>
        <w:wordWrap/>
        <w:overflowPunct/>
        <w:topLinePunct w:val="0"/>
        <w:autoSpaceDE/>
        <w:autoSpaceDN/>
        <w:bidi w:val="0"/>
        <w:adjustRightInd w:val="0"/>
        <w:snapToGrid w:val="0"/>
        <w:spacing w:beforeLines="0" w:afterLines="0" w:line="580" w:lineRule="exact"/>
        <w:jc w:val="center"/>
        <w:textAlignment w:val="auto"/>
        <w:rPr>
          <w:rFonts w:hint="default" w:ascii="Times New Roman" w:hAnsi="Times New Roman" w:eastAsia="黑体" w:cs="Times New Roman"/>
          <w:color w:val="000000"/>
          <w:kern w:val="0"/>
          <w:sz w:val="32"/>
          <w:szCs w:val="32"/>
        </w:rPr>
      </w:pPr>
      <w:r>
        <w:rPr>
          <w:rFonts w:hint="eastAsia" w:ascii="黑体" w:hAnsi="Times New Roman" w:eastAsia="黑体" w:cs="Times New Roman"/>
          <w:color w:val="000000"/>
          <w:kern w:val="0"/>
          <w:sz w:val="32"/>
          <w:szCs w:val="32"/>
        </w:rPr>
        <w:t>第三章  合理利用</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黑体" w:cs="Times New Roman"/>
          <w:sz w:val="32"/>
          <w:szCs w:val="20"/>
        </w:rPr>
      </w:pP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32"/>
        </w:rPr>
      </w:pPr>
      <w:r>
        <w:rPr>
          <w:rFonts w:hint="eastAsia" w:ascii="黑体" w:hAnsi="Times New Roman" w:eastAsia="黑体" w:cs="Times New Roman"/>
          <w:sz w:val="32"/>
          <w:szCs w:val="20"/>
        </w:rPr>
        <w:t>第二十</w:t>
      </w:r>
      <w:r>
        <w:rPr>
          <w:rFonts w:hint="eastAsia" w:ascii="Times New Roman" w:hAnsi="Times New Roman" w:eastAsia="黑体" w:cs="Times New Roman"/>
          <w:sz w:val="32"/>
          <w:szCs w:val="20"/>
        </w:rPr>
        <w:t>一</w:t>
      </w:r>
      <w:r>
        <w:rPr>
          <w:rFonts w:hint="eastAsia" w:ascii="黑体" w:hAnsi="Times New Roman" w:eastAsia="黑体" w:cs="Times New Roman"/>
          <w:sz w:val="32"/>
          <w:szCs w:val="20"/>
        </w:rPr>
        <w:t xml:space="preserve">条【可持续发展】 </w:t>
      </w:r>
      <w:r>
        <w:rPr>
          <w:rFonts w:hint="default" w:ascii="Times New Roman" w:hAnsi="Times New Roman" w:eastAsia="仿宋_GB2312" w:cs="Times New Roman"/>
          <w:sz w:val="32"/>
          <w:szCs w:val="20"/>
        </w:rPr>
        <w:t xml:space="preserve"> </w:t>
      </w:r>
      <w:r>
        <w:rPr>
          <w:rFonts w:hint="eastAsia" w:ascii="仿宋_GB2312" w:hAnsi="Times New Roman" w:eastAsia="仿宋_GB2312" w:cs="Times New Roman"/>
          <w:sz w:val="32"/>
          <w:szCs w:val="20"/>
        </w:rPr>
        <w:t>龙门</w:t>
      </w:r>
      <w:r>
        <w:rPr>
          <w:rFonts w:hint="eastAsia" w:ascii="仿宋_GB2312" w:hAnsi="Times New Roman" w:eastAsia="仿宋_GB2312" w:cs="Times New Roman"/>
          <w:sz w:val="32"/>
          <w:szCs w:val="32"/>
        </w:rPr>
        <w:t>石窟的利用，应当保证</w:t>
      </w:r>
      <w:r>
        <w:rPr>
          <w:rFonts w:hint="eastAsia" w:ascii="仿宋_GB2312" w:hAnsi="Times New Roman" w:eastAsia="仿宋_GB2312" w:cs="Times New Roman"/>
          <w:sz w:val="32"/>
          <w:szCs w:val="20"/>
        </w:rPr>
        <w:t>龙门</w:t>
      </w:r>
      <w:r>
        <w:rPr>
          <w:rFonts w:hint="eastAsia" w:ascii="仿宋_GB2312" w:hAnsi="Times New Roman" w:eastAsia="仿宋_GB2312" w:cs="Times New Roman"/>
          <w:sz w:val="32"/>
          <w:szCs w:val="32"/>
        </w:rPr>
        <w:t>石窟及其附属文物安全，坚持</w:t>
      </w:r>
      <w:r>
        <w:rPr>
          <w:rFonts w:hint="eastAsia" w:ascii="仿宋_GB2312" w:hAnsi="Times New Roman" w:eastAsia="仿宋_GB2312" w:cs="Times New Roman"/>
          <w:sz w:val="32"/>
          <w:szCs w:val="20"/>
        </w:rPr>
        <w:t>公益优先、合理适度和可持续发展</w:t>
      </w:r>
      <w:r>
        <w:rPr>
          <w:rFonts w:hint="eastAsia" w:ascii="仿宋_GB2312" w:hAnsi="Times New Roman" w:eastAsia="仿宋_GB2312" w:cs="Times New Roman"/>
          <w:sz w:val="32"/>
          <w:szCs w:val="32"/>
        </w:rPr>
        <w:t>。</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sz w:val="32"/>
          <w:szCs w:val="32"/>
        </w:rPr>
      </w:pPr>
      <w:r>
        <w:rPr>
          <w:rFonts w:hint="eastAsia" w:ascii="黑体" w:hAnsi="Times New Roman" w:eastAsia="黑体" w:cs="Times New Roman"/>
          <w:sz w:val="32"/>
          <w:szCs w:val="20"/>
        </w:rPr>
        <w:t>第二十</w:t>
      </w:r>
      <w:r>
        <w:rPr>
          <w:rFonts w:hint="eastAsia" w:ascii="Times New Roman" w:hAnsi="Times New Roman" w:eastAsia="黑体" w:cs="Times New Roman"/>
          <w:sz w:val="32"/>
          <w:szCs w:val="20"/>
        </w:rPr>
        <w:t>二</w:t>
      </w:r>
      <w:r>
        <w:rPr>
          <w:rFonts w:hint="eastAsia" w:ascii="黑体" w:hAnsi="Times New Roman" w:eastAsia="黑体" w:cs="Times New Roman"/>
          <w:sz w:val="32"/>
          <w:szCs w:val="20"/>
        </w:rPr>
        <w:t xml:space="preserve">条【文化研究】  </w:t>
      </w:r>
      <w:r>
        <w:rPr>
          <w:rFonts w:hint="eastAsia" w:ascii="仿宋_GB2312" w:hAnsi="Times New Roman" w:eastAsia="仿宋_GB2312" w:cs="Times New Roman"/>
          <w:color w:val="000000"/>
          <w:sz w:val="32"/>
          <w:szCs w:val="32"/>
        </w:rPr>
        <w:t>龙门石窟保护管理机构应当加强对龙门石窟历史、艺术、科学、社会、文化等价值的挖掘、研究和阐释。鼓励和支持加强龙门石窟相关文化的传承和传播。</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20"/>
        </w:rPr>
      </w:pPr>
      <w:r>
        <w:rPr>
          <w:rFonts w:hint="eastAsia" w:ascii="黑体" w:hAnsi="Times New Roman" w:eastAsia="黑体" w:cs="Times New Roman"/>
          <w:sz w:val="32"/>
          <w:szCs w:val="20"/>
        </w:rPr>
        <w:t xml:space="preserve">第二十三条【成果转化】  </w:t>
      </w:r>
      <w:r>
        <w:rPr>
          <w:rFonts w:hint="eastAsia" w:ascii="仿宋_GB2312" w:hAnsi="Times New Roman" w:eastAsia="仿宋_GB2312" w:cs="Times New Roman"/>
          <w:sz w:val="32"/>
          <w:szCs w:val="20"/>
        </w:rPr>
        <w:t>市人民政府应当支持龙门石窟保护管理机构加强同高校、科研院所的交流合作，开展科研课题和科学保护技术研究，</w:t>
      </w:r>
      <w:r>
        <w:rPr>
          <w:rFonts w:hint="eastAsia" w:ascii="仿宋_GB2312" w:hAnsi="Times New Roman" w:eastAsia="仿宋_GB2312" w:cs="Times New Roman"/>
          <w:color w:val="000000"/>
          <w:sz w:val="32"/>
          <w:szCs w:val="32"/>
        </w:rPr>
        <w:t>为龙门石窟文物保护、科研监测、人才培养等提供科技支撑，</w:t>
      </w:r>
      <w:r>
        <w:rPr>
          <w:rFonts w:hint="eastAsia" w:ascii="仿宋_GB2312" w:hAnsi="Times New Roman" w:eastAsia="仿宋_GB2312" w:cs="Times New Roman"/>
          <w:sz w:val="32"/>
          <w:szCs w:val="20"/>
        </w:rPr>
        <w:t>推动产学研融合和成果转化。</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20"/>
        </w:rPr>
      </w:pPr>
      <w:r>
        <w:rPr>
          <w:rFonts w:hint="eastAsia" w:ascii="黑体" w:hAnsi="Times New Roman" w:eastAsia="黑体" w:cs="Times New Roman"/>
          <w:sz w:val="32"/>
          <w:szCs w:val="20"/>
        </w:rPr>
        <w:t xml:space="preserve">第二十四条【知识产权保护】  </w:t>
      </w:r>
      <w:r>
        <w:rPr>
          <w:rFonts w:hint="eastAsia" w:ascii="Times New Roman" w:hAnsi="Times New Roman" w:eastAsia="仿宋_GB2312" w:cs="Times New Roman"/>
          <w:sz w:val="32"/>
          <w:szCs w:val="20"/>
        </w:rPr>
        <w:t>龙门石窟</w:t>
      </w:r>
      <w:r>
        <w:rPr>
          <w:rFonts w:hint="eastAsia" w:ascii="仿宋_GB2312" w:hAnsi="Times New Roman" w:eastAsia="仿宋_GB2312" w:cs="Times New Roman"/>
          <w:sz w:val="32"/>
          <w:szCs w:val="20"/>
        </w:rPr>
        <w:t>保护管理机构</w:t>
      </w:r>
      <w:r>
        <w:rPr>
          <w:rFonts w:hint="eastAsia" w:ascii="Times New Roman" w:hAnsi="Times New Roman" w:eastAsia="仿宋_GB2312" w:cs="Times New Roman"/>
          <w:sz w:val="32"/>
          <w:szCs w:val="20"/>
        </w:rPr>
        <w:t>对</w:t>
      </w:r>
      <w:r>
        <w:rPr>
          <w:rFonts w:hint="eastAsia" w:ascii="仿宋_GB2312" w:hAnsi="Times New Roman" w:eastAsia="仿宋_GB2312" w:cs="Times New Roman"/>
          <w:sz w:val="32"/>
          <w:szCs w:val="20"/>
        </w:rPr>
        <w:t>龙门石窟文物和科学保护技术的研究成果</w:t>
      </w:r>
      <w:r>
        <w:rPr>
          <w:rFonts w:hint="eastAsia" w:ascii="Times New Roman" w:hAnsi="Times New Roman" w:eastAsia="仿宋_GB2312" w:cs="Times New Roman"/>
          <w:sz w:val="32"/>
          <w:szCs w:val="20"/>
        </w:rPr>
        <w:t>，</w:t>
      </w:r>
      <w:r>
        <w:rPr>
          <w:rFonts w:hint="eastAsia" w:ascii="仿宋_GB2312" w:hAnsi="Times New Roman" w:eastAsia="仿宋_GB2312" w:cs="Times New Roman"/>
          <w:sz w:val="32"/>
          <w:szCs w:val="20"/>
        </w:rPr>
        <w:t>以及由其提供资料制作的出版物、音像制品等，享有法律法规规定的知识产权。</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20"/>
        </w:rPr>
      </w:pPr>
      <w:r>
        <w:rPr>
          <w:rFonts w:hint="eastAsia" w:ascii="仿宋_GB2312" w:hAnsi="Times New Roman" w:eastAsia="仿宋_GB2312" w:cs="Times New Roman"/>
          <w:sz w:val="32"/>
          <w:szCs w:val="20"/>
        </w:rPr>
        <w:t>未经授权，任何单位和个人不得</w:t>
      </w:r>
      <w:r>
        <w:rPr>
          <w:rFonts w:hint="eastAsia" w:ascii="Times New Roman" w:hAnsi="Times New Roman" w:eastAsia="仿宋_GB2312" w:cs="Times New Roman"/>
          <w:sz w:val="32"/>
          <w:szCs w:val="20"/>
        </w:rPr>
        <w:t>拓印龙门</w:t>
      </w:r>
      <w:r>
        <w:rPr>
          <w:rFonts w:hint="eastAsia" w:ascii="仿宋_GB2312" w:hAnsi="Times New Roman" w:eastAsia="仿宋_GB2312" w:cs="Times New Roman"/>
          <w:color w:val="auto"/>
          <w:sz w:val="32"/>
          <w:szCs w:val="32"/>
        </w:rPr>
        <w:t>石窟碑刻、雕刻品</w:t>
      </w:r>
      <w:r>
        <w:rPr>
          <w:rFonts w:hint="eastAsia" w:ascii="Times New Roman" w:hAnsi="Times New Roman" w:eastAsia="仿宋_GB2312" w:cs="Times New Roman"/>
          <w:color w:val="auto"/>
          <w:sz w:val="32"/>
          <w:szCs w:val="32"/>
        </w:rPr>
        <w:t>，不得</w:t>
      </w:r>
      <w:r>
        <w:rPr>
          <w:rFonts w:hint="eastAsia" w:ascii="仿宋_GB2312" w:hAnsi="Times New Roman" w:eastAsia="仿宋_GB2312" w:cs="Times New Roman"/>
          <w:sz w:val="32"/>
          <w:szCs w:val="20"/>
        </w:rPr>
        <w:t>扫描、复制、发行、传播龙门石窟的数字数据、高精度建模、高清影像及考古研究数据等数字资产，不得擅自将其用于商业开发、营利性活动或有损文物形象的用途。</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黑体" w:cs="Times New Roman"/>
          <w:sz w:val="32"/>
          <w:szCs w:val="20"/>
        </w:rPr>
      </w:pPr>
      <w:r>
        <w:rPr>
          <w:rFonts w:hint="eastAsia" w:ascii="黑体" w:hAnsi="Times New Roman" w:eastAsia="黑体" w:cs="Times New Roman"/>
          <w:sz w:val="32"/>
          <w:szCs w:val="20"/>
        </w:rPr>
        <w:t xml:space="preserve">第二十五条【展示展陈】 </w:t>
      </w:r>
      <w:r>
        <w:rPr>
          <w:rFonts w:hint="default" w:ascii="Times New Roman" w:hAnsi="Times New Roman" w:eastAsia="黑体" w:cs="Times New Roman"/>
          <w:b/>
          <w:sz w:val="32"/>
          <w:szCs w:val="20"/>
        </w:rPr>
        <w:t xml:space="preserve"> </w:t>
      </w:r>
      <w:r>
        <w:rPr>
          <w:rFonts w:hint="eastAsia" w:ascii="仿宋_GB2312" w:hAnsi="Times New Roman" w:eastAsia="仿宋_GB2312" w:cs="Times New Roman"/>
          <w:sz w:val="32"/>
          <w:szCs w:val="20"/>
        </w:rPr>
        <w:t>龙门石窟保护管理机构应当加强展陈场馆和设施建设，丰富龙门石窟展示手段，提高展陈水平、效果和社会影响力，弘扬龙门石窟文化艺术，增强文化自信。</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sz w:val="32"/>
          <w:szCs w:val="32"/>
        </w:rPr>
      </w:pPr>
      <w:r>
        <w:rPr>
          <w:rFonts w:hint="eastAsia" w:ascii="黑体" w:hAnsi="Times New Roman" w:eastAsia="黑体" w:cs="Times New Roman"/>
          <w:sz w:val="32"/>
          <w:szCs w:val="20"/>
        </w:rPr>
        <w:t>第二十</w:t>
      </w:r>
      <w:r>
        <w:rPr>
          <w:rFonts w:hint="eastAsia" w:ascii="黑体" w:hAnsi="Times New Roman" w:eastAsia="黑体" w:cs="Times New Roman"/>
          <w:color w:val="0C0C0C"/>
          <w:sz w:val="32"/>
          <w:szCs w:val="32"/>
        </w:rPr>
        <w:t>六</w:t>
      </w:r>
      <w:r>
        <w:rPr>
          <w:rFonts w:hint="eastAsia" w:ascii="黑体" w:hAnsi="Times New Roman" w:eastAsia="黑体" w:cs="Times New Roman"/>
          <w:sz w:val="32"/>
          <w:szCs w:val="20"/>
        </w:rPr>
        <w:t xml:space="preserve">条【文旅活动】  </w:t>
      </w:r>
      <w:r>
        <w:rPr>
          <w:rFonts w:hint="eastAsia" w:ascii="仿宋_GB2312" w:hAnsi="Times New Roman" w:eastAsia="仿宋_GB2312" w:cs="Times New Roman"/>
          <w:color w:val="000000"/>
          <w:sz w:val="32"/>
          <w:szCs w:val="32"/>
        </w:rPr>
        <w:t>利用</w:t>
      </w:r>
      <w:r>
        <w:rPr>
          <w:rFonts w:hint="eastAsia" w:ascii="仿宋_GB2312" w:hAnsi="Times New Roman" w:eastAsia="仿宋_GB2312" w:cs="Times New Roman"/>
          <w:sz w:val="32"/>
          <w:szCs w:val="20"/>
        </w:rPr>
        <w:t>龙门石窟</w:t>
      </w:r>
      <w:r>
        <w:rPr>
          <w:rFonts w:hint="eastAsia" w:ascii="仿宋_GB2312" w:hAnsi="Times New Roman" w:eastAsia="仿宋_GB2312" w:cs="Times New Roman"/>
          <w:color w:val="000000"/>
          <w:sz w:val="32"/>
          <w:szCs w:val="32"/>
        </w:rPr>
        <w:t>开展文化旅游活动应当符合</w:t>
      </w:r>
      <w:r>
        <w:rPr>
          <w:rFonts w:hint="eastAsia" w:ascii="仿宋_GB2312" w:hAnsi="Times New Roman" w:eastAsia="仿宋_GB2312" w:cs="Times New Roman"/>
          <w:sz w:val="32"/>
          <w:szCs w:val="20"/>
        </w:rPr>
        <w:t>龙门石窟</w:t>
      </w:r>
      <w:r>
        <w:rPr>
          <w:rFonts w:hint="eastAsia" w:ascii="仿宋_GB2312" w:hAnsi="Times New Roman" w:eastAsia="仿宋_GB2312" w:cs="Times New Roman"/>
          <w:color w:val="000000"/>
          <w:sz w:val="32"/>
          <w:szCs w:val="32"/>
        </w:rPr>
        <w:t>的历史和文化属性。</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黑体" w:cs="Times New Roman"/>
          <w:sz w:val="32"/>
          <w:szCs w:val="20"/>
        </w:rPr>
      </w:pPr>
      <w:r>
        <w:rPr>
          <w:rFonts w:hint="eastAsia" w:ascii="仿宋_GB2312" w:hAnsi="Times New Roman" w:eastAsia="仿宋_GB2312" w:cs="Times New Roman"/>
          <w:sz w:val="32"/>
          <w:szCs w:val="20"/>
        </w:rPr>
        <w:t>在龙门石窟保护范围内不得举办大型群众性活动。因特殊情况确需举办的，举办者应当制定活动方案和安全预案，落实安全工作措施，按照有关规定报批。</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制作出版物、音像制品、影视节目等，需要拍摄</w:t>
      </w:r>
      <w:r>
        <w:rPr>
          <w:rFonts w:hint="eastAsia" w:ascii="仿宋_GB2312" w:hAnsi="Times New Roman" w:eastAsia="仿宋_GB2312" w:cs="Times New Roman"/>
          <w:sz w:val="32"/>
          <w:szCs w:val="32"/>
        </w:rPr>
        <w:t>龙门石窟</w:t>
      </w:r>
      <w:r>
        <w:rPr>
          <w:rFonts w:hint="eastAsia" w:ascii="仿宋_GB2312" w:hAnsi="Times New Roman" w:eastAsia="仿宋_GB2312" w:cs="Times New Roman"/>
          <w:color w:val="000000"/>
          <w:sz w:val="32"/>
          <w:szCs w:val="32"/>
        </w:rPr>
        <w:t>文物的，应当保证文物安全。制作、拍摄单位应当制定文物安全保护措施，与</w:t>
      </w:r>
      <w:r>
        <w:rPr>
          <w:rFonts w:hint="eastAsia" w:ascii="仿宋_GB2312" w:hAnsi="Times New Roman" w:eastAsia="仿宋_GB2312" w:cs="Times New Roman"/>
          <w:sz w:val="32"/>
          <w:szCs w:val="32"/>
        </w:rPr>
        <w:t>龙门石窟</w:t>
      </w:r>
      <w:r>
        <w:rPr>
          <w:rFonts w:hint="eastAsia" w:ascii="仿宋_GB2312" w:hAnsi="Times New Roman" w:eastAsia="仿宋_GB2312" w:cs="Times New Roman"/>
          <w:color w:val="000000"/>
          <w:sz w:val="32"/>
          <w:szCs w:val="32"/>
        </w:rPr>
        <w:t>保护管理机构签订文物安全协议，</w:t>
      </w:r>
      <w:r>
        <w:rPr>
          <w:rFonts w:hint="eastAsia" w:ascii="仿宋_GB2312" w:hAnsi="Times New Roman" w:eastAsia="仿宋_GB2312" w:cs="Times New Roman"/>
          <w:color w:val="000000"/>
          <w:kern w:val="0"/>
          <w:sz w:val="32"/>
          <w:szCs w:val="32"/>
        </w:rPr>
        <w:t>并接受监督</w:t>
      </w:r>
      <w:r>
        <w:rPr>
          <w:rFonts w:hint="eastAsia" w:ascii="仿宋_GB2312" w:hAnsi="Times New Roman" w:eastAsia="仿宋_GB2312" w:cs="Times New Roman"/>
          <w:color w:val="000000"/>
          <w:sz w:val="32"/>
          <w:szCs w:val="32"/>
        </w:rPr>
        <w:t>。</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黑体" w:cs="Times New Roman"/>
          <w:color w:val="0C0C0C"/>
          <w:sz w:val="32"/>
          <w:szCs w:val="32"/>
        </w:rPr>
      </w:pPr>
      <w:r>
        <w:rPr>
          <w:rFonts w:hint="eastAsia" w:ascii="黑体" w:hAnsi="Times New Roman" w:eastAsia="黑体" w:cs="Times New Roman"/>
          <w:color w:val="000000"/>
          <w:kern w:val="0"/>
          <w:sz w:val="32"/>
          <w:szCs w:val="32"/>
        </w:rPr>
        <w:t>第二十</w:t>
      </w:r>
      <w:r>
        <w:rPr>
          <w:rFonts w:hint="eastAsia" w:ascii="黑体" w:hAnsi="Times New Roman" w:eastAsia="黑体" w:cs="Times New Roman"/>
          <w:sz w:val="32"/>
          <w:szCs w:val="20"/>
        </w:rPr>
        <w:t>七</w:t>
      </w:r>
      <w:r>
        <w:rPr>
          <w:rFonts w:hint="eastAsia" w:ascii="黑体" w:hAnsi="Times New Roman" w:eastAsia="黑体" w:cs="Times New Roman"/>
          <w:color w:val="000000"/>
          <w:kern w:val="0"/>
          <w:sz w:val="32"/>
          <w:szCs w:val="32"/>
        </w:rPr>
        <w:t>条【旅游设施建设】</w:t>
      </w:r>
      <w:r>
        <w:rPr>
          <w:rFonts w:hint="eastAsia" w:ascii="仿宋_GB2312" w:hAnsi="Times New Roman" w:eastAsia="仿宋_GB2312" w:cs="Times New Roman"/>
          <w:sz w:val="32"/>
          <w:szCs w:val="32"/>
        </w:rPr>
        <w:t>　</w:t>
      </w:r>
      <w:r>
        <w:rPr>
          <w:rFonts w:hint="eastAsia" w:ascii="仿宋_GB2312" w:hAnsi="Times New Roman" w:eastAsia="仿宋_GB2312" w:cs="Times New Roman"/>
          <w:sz w:val="32"/>
          <w:szCs w:val="20"/>
        </w:rPr>
        <w:t>加强龙门石窟旅游基础设施、安全设施和保护设施的建设、改造提升与管理，定期开展保养维护工作；依据国家或行业标准，统一规划、合理设置医疗、紧急救援等必要的配套服务设施。</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黑体" w:cs="Times New Roman"/>
          <w:color w:val="000000"/>
          <w:sz w:val="32"/>
          <w:szCs w:val="32"/>
        </w:rPr>
      </w:pPr>
      <w:r>
        <w:rPr>
          <w:rFonts w:hint="eastAsia" w:ascii="黑体" w:hAnsi="Times New Roman" w:eastAsia="黑体" w:cs="Times New Roman"/>
          <w:color w:val="000000"/>
          <w:kern w:val="0"/>
          <w:sz w:val="32"/>
          <w:szCs w:val="32"/>
        </w:rPr>
        <w:t xml:space="preserve">第二十八条【旅游安全保障】  </w:t>
      </w:r>
      <w:r>
        <w:rPr>
          <w:rFonts w:hint="eastAsia" w:ascii="仿宋_GB2312" w:hAnsi="Times New Roman" w:eastAsia="仿宋_GB2312" w:cs="Times New Roman"/>
          <w:sz w:val="32"/>
          <w:szCs w:val="20"/>
        </w:rPr>
        <w:t>龙门石窟保护管理机构应当合理规划龙门石窟游览路线，在显著位置设置符合国家标准的服务标识；制定突发事件应急预案及旅游旺季游客疏导方案，科学核定和控制游客承载量，确保文物和游客安全。</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20"/>
        </w:rPr>
      </w:pPr>
      <w:r>
        <w:rPr>
          <w:rFonts w:hint="eastAsia" w:ascii="黑体" w:hAnsi="Times New Roman" w:eastAsia="黑体" w:cs="Times New Roman"/>
          <w:color w:val="000000"/>
          <w:kern w:val="0"/>
          <w:sz w:val="32"/>
          <w:szCs w:val="32"/>
        </w:rPr>
        <w:t>第</w:t>
      </w:r>
      <w:r>
        <w:rPr>
          <w:rFonts w:hint="eastAsia" w:ascii="Times New Roman" w:hAnsi="Times New Roman" w:eastAsia="黑体" w:cs="Times New Roman"/>
          <w:color w:val="000000"/>
          <w:kern w:val="0"/>
          <w:sz w:val="32"/>
          <w:szCs w:val="32"/>
        </w:rPr>
        <w:t>二十九</w:t>
      </w:r>
      <w:r>
        <w:rPr>
          <w:rFonts w:hint="eastAsia" w:ascii="黑体" w:hAnsi="Times New Roman" w:eastAsia="黑体" w:cs="Times New Roman"/>
          <w:color w:val="000000"/>
          <w:kern w:val="0"/>
          <w:sz w:val="32"/>
          <w:szCs w:val="32"/>
        </w:rPr>
        <w:t xml:space="preserve">条【导游服务管理】  </w:t>
      </w:r>
      <w:r>
        <w:rPr>
          <w:rFonts w:hint="eastAsia" w:ascii="仿宋_GB2312" w:hAnsi="Times New Roman" w:eastAsia="仿宋_GB2312" w:cs="Times New Roman"/>
          <w:color w:val="0C0C0C"/>
          <w:sz w:val="32"/>
          <w:szCs w:val="32"/>
        </w:rPr>
        <w:t>在龙门石窟游览区域内从事</w:t>
      </w:r>
      <w:r>
        <w:rPr>
          <w:rFonts w:hint="eastAsia" w:ascii="仿宋_GB2312" w:hAnsi="Times New Roman" w:eastAsia="仿宋_GB2312" w:cs="Times New Roman"/>
          <w:sz w:val="32"/>
          <w:szCs w:val="20"/>
        </w:rPr>
        <w:t>导游活动，应当持证上岗。未取得导游证或者不具备领队条件的，不得从事导游、领队活动。</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20"/>
        </w:rPr>
      </w:pPr>
      <w:r>
        <w:rPr>
          <w:rFonts w:hint="eastAsia" w:ascii="仿宋_GB2312" w:hAnsi="Times New Roman" w:eastAsia="仿宋_GB2312" w:cs="Times New Roman"/>
          <w:sz w:val="32"/>
          <w:szCs w:val="20"/>
        </w:rPr>
        <w:t>导游人员进行导游活动，必须经旅行社委派，禁止自行揽客、带团。</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C0C0C"/>
          <w:sz w:val="32"/>
          <w:szCs w:val="32"/>
        </w:rPr>
      </w:pPr>
      <w:r>
        <w:rPr>
          <w:rFonts w:hint="eastAsia" w:ascii="黑体" w:hAnsi="Times New Roman" w:eastAsia="黑体" w:cs="Times New Roman"/>
          <w:sz w:val="32"/>
          <w:szCs w:val="20"/>
        </w:rPr>
        <w:t>第三十条【车辆管理】</w:t>
      </w:r>
      <w:r>
        <w:rPr>
          <w:rFonts w:hint="default" w:ascii="Times New Roman" w:hAnsi="Times New Roman" w:eastAsia="黑体" w:cs="Times New Roman"/>
          <w:sz w:val="32"/>
          <w:szCs w:val="20"/>
        </w:rPr>
        <w:t xml:space="preserve">  </w:t>
      </w:r>
      <w:r>
        <w:rPr>
          <w:rFonts w:hint="eastAsia" w:ascii="仿宋_GB2312" w:hAnsi="Times New Roman" w:eastAsia="仿宋_GB2312" w:cs="Times New Roman"/>
          <w:color w:val="0C0C0C"/>
          <w:sz w:val="32"/>
          <w:szCs w:val="32"/>
        </w:rPr>
        <w:t>在龙门石窟游览区域内从事电瓶车、游船等服务的, 应当依法申领牌照；禁止无证营运、无证驾驶。</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C0C0C"/>
          <w:sz w:val="32"/>
          <w:szCs w:val="32"/>
        </w:rPr>
      </w:pPr>
      <w:r>
        <w:rPr>
          <w:rFonts w:hint="eastAsia" w:ascii="仿宋_GB2312" w:hAnsi="Times New Roman" w:eastAsia="仿宋_GB2312" w:cs="Times New Roman"/>
          <w:color w:val="0C0C0C"/>
          <w:sz w:val="32"/>
          <w:szCs w:val="32"/>
        </w:rPr>
        <w:t>禁止机动车辆驶入龙门石窟实行封闭管理的区域，确需驶入的，应当征得龙门石窟保护管理机构的同意。</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20"/>
        </w:rPr>
      </w:pPr>
      <w:r>
        <w:rPr>
          <w:rFonts w:hint="eastAsia" w:ascii="黑体" w:hAnsi="Times New Roman" w:eastAsia="黑体" w:cs="Times New Roman"/>
          <w:color w:val="0C0C0C"/>
          <w:sz w:val="32"/>
          <w:szCs w:val="32"/>
        </w:rPr>
        <w:t xml:space="preserve">第三十一条【经营活动管理】  </w:t>
      </w:r>
      <w:r>
        <w:rPr>
          <w:rFonts w:hint="eastAsia" w:ascii="仿宋_GB2312" w:hAnsi="Times New Roman" w:eastAsia="仿宋_GB2312" w:cs="Times New Roman"/>
          <w:sz w:val="32"/>
          <w:szCs w:val="20"/>
        </w:rPr>
        <w:t>龙门石窟管理机构应当统一规划龙门石窟保护区域内的商业业态和经营服务网点。商业业态应当与龙门石窟整体风貌相协调。</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20"/>
        </w:rPr>
      </w:pPr>
      <w:r>
        <w:rPr>
          <w:rFonts w:hint="eastAsia" w:ascii="仿宋_GB2312" w:hAnsi="Times New Roman" w:eastAsia="仿宋_GB2312" w:cs="Times New Roman"/>
          <w:sz w:val="32"/>
          <w:szCs w:val="20"/>
        </w:rPr>
        <w:t>在龙门石窟保护区域内从事经营活动的单位和个人，应当遵守法律、法规相关规定，服从龙门石窟保护管理机构的管理，并在指定区域内经营。</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黑体" w:cs="Times New Roman"/>
          <w:color w:val="0C0C0C"/>
          <w:sz w:val="32"/>
          <w:szCs w:val="32"/>
        </w:rPr>
      </w:pPr>
      <w:r>
        <w:rPr>
          <w:rFonts w:hint="eastAsia" w:ascii="黑体" w:hAnsi="Times New Roman" w:eastAsia="黑体" w:cs="Times New Roman"/>
          <w:color w:val="0C0C0C"/>
          <w:sz w:val="32"/>
          <w:szCs w:val="32"/>
        </w:rPr>
        <w:t xml:space="preserve">第三十二条【资产经营】  </w:t>
      </w:r>
      <w:r>
        <w:rPr>
          <w:rFonts w:hint="eastAsia" w:ascii="仿宋_GB2312" w:hAnsi="Times New Roman" w:eastAsia="仿宋_GB2312" w:cs="Times New Roman"/>
          <w:color w:val="0C0C0C"/>
          <w:sz w:val="32"/>
          <w:szCs w:val="32"/>
        </w:rPr>
        <w:t>龙门石窟保护区域内不可移动文物不得转让、抵押，不得改作企业资产经营；其管理机构不得改由企业管理。</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sz w:val="32"/>
          <w:szCs w:val="32"/>
        </w:rPr>
      </w:pPr>
      <w:r>
        <w:rPr>
          <w:rFonts w:hint="eastAsia" w:ascii="黑体" w:hAnsi="Times New Roman" w:eastAsia="黑体" w:cs="Times New Roman"/>
          <w:color w:val="0C0C0C"/>
          <w:sz w:val="32"/>
          <w:szCs w:val="32"/>
        </w:rPr>
        <w:t xml:space="preserve">第三十三条【研学教育】  </w:t>
      </w:r>
      <w:r>
        <w:rPr>
          <w:rFonts w:hint="eastAsia" w:ascii="仿宋_GB2312" w:hAnsi="Times New Roman" w:eastAsia="仿宋_GB2312" w:cs="Times New Roman"/>
          <w:color w:val="000000"/>
          <w:sz w:val="32"/>
          <w:szCs w:val="32"/>
        </w:rPr>
        <w:t>鼓励和支持学校将龙门石窟文化和保护知识列入教学内容，组织学生开展学习实践活动。</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sz w:val="32"/>
          <w:szCs w:val="32"/>
        </w:rPr>
      </w:pPr>
      <w:r>
        <w:rPr>
          <w:rFonts w:hint="eastAsia" w:ascii="仿宋_GB2312" w:hAnsi="Times New Roman" w:eastAsia="仿宋_GB2312" w:cs="Times New Roman"/>
          <w:color w:val="000000"/>
          <w:sz w:val="32"/>
          <w:szCs w:val="32"/>
        </w:rPr>
        <w:t>龙门石窟保护管理机构应当对学校组织的学习实践活动提供支持和帮助。</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黑体" w:cs="Times New Roman"/>
          <w:color w:val="000000"/>
          <w:sz w:val="32"/>
          <w:szCs w:val="32"/>
        </w:rPr>
      </w:pPr>
      <w:r>
        <w:rPr>
          <w:rFonts w:hint="eastAsia" w:ascii="黑体" w:hAnsi="Times New Roman" w:eastAsia="黑体" w:cs="Times New Roman"/>
          <w:color w:val="0C0C0C"/>
          <w:sz w:val="32"/>
          <w:szCs w:val="32"/>
        </w:rPr>
        <w:t xml:space="preserve">第三十四条【宣传推广】  </w:t>
      </w:r>
      <w:r>
        <w:rPr>
          <w:rFonts w:hint="eastAsia" w:ascii="仿宋_GB2312" w:hAnsi="Times New Roman" w:eastAsia="仿宋_GB2312" w:cs="Times New Roman"/>
          <w:color w:val="000000"/>
          <w:sz w:val="32"/>
          <w:szCs w:val="32"/>
        </w:rPr>
        <w:t>鼓励和支持展示、宣传、弘扬龙门石窟相关的文物、历史、名人、诗词、书法、石刻艺术等文化，加强龙门石窟文化及产品的国际国内交流、推广与传播，推动文化繁荣兴盛。</w:t>
      </w:r>
    </w:p>
    <w:p>
      <w:pPr>
        <w:keepNext w:val="0"/>
        <w:keepLines w:val="0"/>
        <w:pageBreakBefore w:val="0"/>
        <w:kinsoku/>
        <w:wordWrap/>
        <w:overflowPunct/>
        <w:topLinePunct w:val="0"/>
        <w:autoSpaceDE/>
        <w:autoSpaceDN/>
        <w:bidi w:val="0"/>
        <w:adjustRightInd w:val="0"/>
        <w:snapToGrid w:val="0"/>
        <w:spacing w:beforeLines="0" w:afterLines="0" w:line="580" w:lineRule="exact"/>
        <w:jc w:val="center"/>
        <w:textAlignment w:val="auto"/>
        <w:rPr>
          <w:rFonts w:hint="default" w:ascii="Times New Roman" w:hAnsi="Times New Roman" w:eastAsia="黑体" w:cs="Times New Roman"/>
          <w:color w:val="000000"/>
          <w:kern w:val="0"/>
          <w:sz w:val="32"/>
          <w:szCs w:val="32"/>
        </w:rPr>
      </w:pPr>
    </w:p>
    <w:p>
      <w:pPr>
        <w:keepNext w:val="0"/>
        <w:keepLines w:val="0"/>
        <w:pageBreakBefore w:val="0"/>
        <w:kinsoku/>
        <w:wordWrap/>
        <w:overflowPunct/>
        <w:topLinePunct w:val="0"/>
        <w:autoSpaceDE/>
        <w:autoSpaceDN/>
        <w:bidi w:val="0"/>
        <w:adjustRightInd w:val="0"/>
        <w:snapToGrid w:val="0"/>
        <w:spacing w:beforeLines="0" w:afterLines="0" w:line="580" w:lineRule="exact"/>
        <w:jc w:val="center"/>
        <w:textAlignment w:val="auto"/>
        <w:rPr>
          <w:rFonts w:hint="default" w:ascii="Times New Roman" w:hAnsi="Times New Roman" w:eastAsia="楷体_GB2312" w:cs="Times New Roman"/>
          <w:sz w:val="32"/>
          <w:szCs w:val="32"/>
        </w:rPr>
      </w:pPr>
      <w:r>
        <w:rPr>
          <w:rFonts w:hint="eastAsia" w:ascii="黑体" w:hAnsi="Times New Roman" w:eastAsia="黑体" w:cs="Times New Roman"/>
          <w:color w:val="000000"/>
          <w:kern w:val="0"/>
          <w:sz w:val="32"/>
          <w:szCs w:val="32"/>
        </w:rPr>
        <w:t>第四章  法律责任</w:t>
      </w:r>
    </w:p>
    <w:p>
      <w:pPr>
        <w:keepNext w:val="0"/>
        <w:keepLines w:val="0"/>
        <w:pageBreakBefore w:val="0"/>
        <w:kinsoku/>
        <w:wordWrap/>
        <w:overflowPunct/>
        <w:topLinePunct w:val="0"/>
        <w:autoSpaceDE/>
        <w:autoSpaceDN/>
        <w:bidi w:val="0"/>
        <w:adjustRightInd w:val="0"/>
        <w:snapToGrid w:val="0"/>
        <w:spacing w:beforeLines="0" w:afterLines="0" w:line="580" w:lineRule="exact"/>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kern w:val="0"/>
          <w:sz w:val="32"/>
          <w:szCs w:val="32"/>
        </w:rPr>
      </w:pPr>
      <w:r>
        <w:rPr>
          <w:rFonts w:hint="eastAsia" w:ascii="黑体" w:hAnsi="Times New Roman" w:eastAsia="黑体" w:cs="Times New Roman"/>
          <w:color w:val="000000"/>
          <w:kern w:val="0"/>
          <w:sz w:val="32"/>
          <w:szCs w:val="32"/>
        </w:rPr>
        <w:t>第三十</w:t>
      </w:r>
      <w:r>
        <w:rPr>
          <w:rFonts w:hint="eastAsia" w:ascii="黑体" w:hAnsi="Times New Roman" w:eastAsia="黑体" w:cs="Times New Roman"/>
          <w:color w:val="0C0C0C"/>
          <w:sz w:val="32"/>
          <w:szCs w:val="32"/>
        </w:rPr>
        <w:t>五</w:t>
      </w:r>
      <w:r>
        <w:rPr>
          <w:rFonts w:hint="eastAsia" w:ascii="黑体" w:hAnsi="Times New Roman" w:eastAsia="黑体" w:cs="Times New Roman"/>
          <w:color w:val="000000"/>
          <w:kern w:val="0"/>
          <w:sz w:val="32"/>
          <w:szCs w:val="32"/>
        </w:rPr>
        <w:t xml:space="preserve">条【转致条款】  </w:t>
      </w:r>
      <w:r>
        <w:rPr>
          <w:rFonts w:hint="eastAsia" w:ascii="仿宋_GB2312" w:hAnsi="Times New Roman" w:eastAsia="仿宋_GB2312" w:cs="Times New Roman"/>
          <w:color w:val="000000"/>
          <w:kern w:val="0"/>
          <w:sz w:val="32"/>
          <w:szCs w:val="32"/>
        </w:rPr>
        <w:t>违反本条例规定的行为，法律、法规已有法律责任规定的，从其规定。</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sz w:val="32"/>
          <w:szCs w:val="32"/>
        </w:rPr>
      </w:pPr>
      <w:r>
        <w:rPr>
          <w:rFonts w:hint="eastAsia" w:ascii="黑体" w:hAnsi="Times New Roman" w:eastAsia="黑体" w:cs="Times New Roman"/>
          <w:color w:val="000000"/>
          <w:kern w:val="0"/>
          <w:sz w:val="32"/>
          <w:szCs w:val="32"/>
        </w:rPr>
        <w:t>第三十六条</w:t>
      </w:r>
      <w:r>
        <w:rPr>
          <w:rFonts w:hint="default" w:ascii="Times New Roman" w:hAnsi="Times New Roman" w:eastAsia="仿宋_GB2312" w:cs="Times New Roman"/>
          <w:sz w:val="32"/>
          <w:szCs w:val="32"/>
        </w:rPr>
        <w:t xml:space="preserve">  </w:t>
      </w:r>
      <w:r>
        <w:rPr>
          <w:rFonts w:hint="eastAsia" w:ascii="仿宋_GB2312" w:hAnsi="Times New Roman" w:eastAsia="仿宋_GB2312" w:cs="Times New Roman"/>
          <w:sz w:val="32"/>
          <w:szCs w:val="32"/>
        </w:rPr>
        <w:t>违反本条例第十一条规定，擅自移动、损毁、拆除界碑、界桩等标识</w:t>
      </w:r>
      <w:r>
        <w:rPr>
          <w:rFonts w:hint="eastAsia" w:ascii="Times New Roman" w:hAnsi="Times New Roman" w:eastAsia="仿宋_GB2312" w:cs="Times New Roman"/>
          <w:sz w:val="32"/>
          <w:szCs w:val="32"/>
        </w:rPr>
        <w:t>的，</w:t>
      </w:r>
      <w:r>
        <w:rPr>
          <w:rFonts w:hint="eastAsia" w:ascii="仿宋_GB2312" w:hAnsi="Times New Roman" w:eastAsia="仿宋_GB2312" w:cs="Times New Roman"/>
          <w:sz w:val="32"/>
          <w:szCs w:val="32"/>
        </w:rPr>
        <w:t>由市文物行政部门给予警告，可以并处五百元以下罚款。</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sz w:val="32"/>
          <w:szCs w:val="32"/>
        </w:rPr>
      </w:pPr>
      <w:r>
        <w:rPr>
          <w:rFonts w:hint="eastAsia" w:ascii="黑体" w:hAnsi="Times New Roman" w:eastAsia="黑体" w:cs="Times New Roman"/>
          <w:color w:val="000000"/>
          <w:kern w:val="0"/>
          <w:sz w:val="32"/>
          <w:szCs w:val="32"/>
        </w:rPr>
        <w:t>第三十七条</w:t>
      </w:r>
      <w:r>
        <w:rPr>
          <w:rFonts w:hint="default" w:ascii="Times New Roman" w:hAnsi="Times New Roman" w:eastAsia="黑体" w:cs="Times New Roman"/>
          <w:color w:val="000000"/>
          <w:kern w:val="0"/>
          <w:sz w:val="32"/>
          <w:szCs w:val="32"/>
        </w:rPr>
        <w:t xml:space="preserve">  </w:t>
      </w:r>
      <w:r>
        <w:rPr>
          <w:rFonts w:hint="eastAsia" w:ascii="仿宋_GB2312" w:hAnsi="Times New Roman" w:eastAsia="仿宋_GB2312" w:cs="Times New Roman"/>
          <w:sz w:val="32"/>
          <w:szCs w:val="32"/>
        </w:rPr>
        <w:t>违反本条例第十二条规定，擅自在文物保护单位的保护范围内进行文物保护工程以外的其他建设工程或者爆破、钻探、挖掘等作业</w:t>
      </w:r>
      <w:r>
        <w:rPr>
          <w:rFonts w:hint="eastAsia" w:ascii="Times New Roman" w:hAnsi="Times New Roman" w:eastAsia="仿宋_GB2312" w:cs="Times New Roman"/>
          <w:sz w:val="32"/>
          <w:szCs w:val="32"/>
        </w:rPr>
        <w:t>，或者</w:t>
      </w:r>
      <w:r>
        <w:rPr>
          <w:rFonts w:hint="eastAsia" w:ascii="仿宋_GB2312" w:hAnsi="Times New Roman" w:eastAsia="仿宋_GB2312" w:cs="Times New Roman"/>
          <w:sz w:val="32"/>
          <w:szCs w:val="32"/>
        </w:rPr>
        <w:t>工程设计方案未经文物行政部门同意，擅自在文物保护单位的建设控制地带内进行建设工程</w:t>
      </w:r>
      <w:r>
        <w:rPr>
          <w:rFonts w:hint="eastAsia" w:ascii="Times New Roman" w:hAnsi="Times New Roman" w:eastAsia="仿宋_GB2312" w:cs="Times New Roman"/>
          <w:sz w:val="32"/>
          <w:szCs w:val="32"/>
        </w:rPr>
        <w:t>，</w:t>
      </w:r>
      <w:r>
        <w:rPr>
          <w:rFonts w:hint="eastAsia" w:ascii="仿宋_GB2312" w:hAnsi="Times New Roman" w:eastAsia="仿宋_GB2312" w:cs="Times New Roman"/>
          <w:sz w:val="32"/>
          <w:szCs w:val="32"/>
        </w:rPr>
        <w:t>由文物行政部门责令改正，给予警告；造成文物损坏或者其他严重后果的，对单位处五十万元以上五百万元以下的罚款，对个人处五万元以上五十万元以下的罚款，责令承担相关文物修缮和复原费用；情节严重的，对单位可以处五百万元以上一千万元以下的罚款。</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sz w:val="32"/>
          <w:szCs w:val="32"/>
        </w:rPr>
      </w:pPr>
      <w:r>
        <w:rPr>
          <w:rFonts w:hint="eastAsia" w:ascii="黑体" w:hAnsi="Times New Roman" w:eastAsia="黑体" w:cs="Times New Roman"/>
          <w:color w:val="000000"/>
          <w:kern w:val="0"/>
          <w:sz w:val="32"/>
          <w:szCs w:val="32"/>
        </w:rPr>
        <w:t>第三十八条</w:t>
      </w:r>
      <w:r>
        <w:rPr>
          <w:rFonts w:hint="eastAsia" w:ascii="Times New Roman" w:hAnsi="Times New Roman" w:eastAsia="仿宋_GB2312" w:cs="Times New Roman"/>
          <w:color w:val="000000"/>
          <w:sz w:val="32"/>
          <w:szCs w:val="32"/>
        </w:rPr>
        <w:t xml:space="preserve">  </w:t>
      </w:r>
      <w:r>
        <w:rPr>
          <w:rFonts w:hint="eastAsia" w:ascii="仿宋_GB2312" w:hAnsi="Times New Roman" w:eastAsia="仿宋_GB2312" w:cs="Times New Roman"/>
          <w:color w:val="000000"/>
          <w:sz w:val="32"/>
          <w:szCs w:val="32"/>
        </w:rPr>
        <w:t>违反本条例第</w:t>
      </w:r>
      <w:r>
        <w:rPr>
          <w:rFonts w:hint="eastAsia" w:ascii="Times New Roman" w:hAnsi="Times New Roman" w:eastAsia="仿宋_GB2312" w:cs="Times New Roman"/>
          <w:color w:val="000000"/>
          <w:sz w:val="32"/>
          <w:szCs w:val="32"/>
        </w:rPr>
        <w:t>十九条</w:t>
      </w:r>
      <w:r>
        <w:rPr>
          <w:rFonts w:hint="eastAsia" w:ascii="仿宋_GB2312" w:hAnsi="Times New Roman" w:eastAsia="仿宋_GB2312" w:cs="Times New Roman"/>
          <w:color w:val="000000"/>
          <w:sz w:val="32"/>
          <w:szCs w:val="32"/>
        </w:rPr>
        <w:t>规定的，分别由自然资源和规划、</w:t>
      </w:r>
      <w:r>
        <w:rPr>
          <w:rFonts w:hint="eastAsia" w:ascii="Times New Roman" w:hAnsi="Times New Roman" w:eastAsia="仿宋_GB2312" w:cs="Times New Roman"/>
          <w:color w:val="000000"/>
          <w:sz w:val="32"/>
          <w:szCs w:val="32"/>
        </w:rPr>
        <w:t>生态环境、</w:t>
      </w:r>
      <w:r>
        <w:rPr>
          <w:rFonts w:hint="eastAsia" w:ascii="仿宋_GB2312" w:hAnsi="Times New Roman" w:eastAsia="仿宋_GB2312" w:cs="Times New Roman"/>
          <w:color w:val="000000"/>
          <w:sz w:val="32"/>
          <w:szCs w:val="32"/>
        </w:rPr>
        <w:t>水利、林业等行政部门责令整改，并按照相关法律</w:t>
      </w:r>
      <w:r>
        <w:rPr>
          <w:rFonts w:hint="eastAsia" w:ascii="Times New Roman" w:hAnsi="Times New Roman" w:eastAsia="仿宋_GB2312" w:cs="Times New Roman"/>
          <w:color w:val="000000"/>
          <w:sz w:val="32"/>
          <w:szCs w:val="32"/>
        </w:rPr>
        <w:t>、</w:t>
      </w:r>
      <w:r>
        <w:rPr>
          <w:rFonts w:hint="eastAsia" w:ascii="仿宋_GB2312" w:hAnsi="Times New Roman" w:eastAsia="仿宋_GB2312" w:cs="Times New Roman"/>
          <w:color w:val="000000"/>
          <w:sz w:val="32"/>
          <w:szCs w:val="32"/>
        </w:rPr>
        <w:t>法规规定进行处罚。</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eastAsia" w:ascii="Times New Roman" w:hAnsi="Times New Roman" w:eastAsia="仿宋_GB2312" w:cs="Times New Roman"/>
          <w:color w:val="000000"/>
          <w:kern w:val="0"/>
          <w:sz w:val="32"/>
          <w:szCs w:val="32"/>
        </w:rPr>
      </w:pPr>
      <w:r>
        <w:rPr>
          <w:rFonts w:hint="eastAsia" w:ascii="黑体" w:hAnsi="Times New Roman" w:eastAsia="黑体" w:cs="Times New Roman"/>
          <w:color w:val="auto"/>
          <w:sz w:val="32"/>
          <w:szCs w:val="32"/>
        </w:rPr>
        <w:t>第</w:t>
      </w:r>
      <w:r>
        <w:rPr>
          <w:rFonts w:hint="eastAsia" w:ascii="Times New Roman" w:hAnsi="Times New Roman" w:eastAsia="黑体" w:cs="Times New Roman"/>
          <w:color w:val="auto"/>
          <w:sz w:val="32"/>
          <w:szCs w:val="32"/>
        </w:rPr>
        <w:t>三十九</w:t>
      </w:r>
      <w:r>
        <w:rPr>
          <w:rFonts w:hint="eastAsia" w:ascii="黑体" w:hAnsi="Times New Roman" w:eastAsia="黑体" w:cs="Times New Roman"/>
          <w:color w:val="auto"/>
          <w:sz w:val="32"/>
          <w:szCs w:val="32"/>
        </w:rPr>
        <w:t>条</w:t>
      </w:r>
      <w:r>
        <w:rPr>
          <w:rFonts w:hint="eastAsia" w:ascii="Times New Roman" w:hAnsi="Times New Roman" w:eastAsia="仿宋_GB2312" w:cs="Times New Roman"/>
          <w:color w:val="auto"/>
          <w:sz w:val="32"/>
          <w:szCs w:val="32"/>
        </w:rPr>
        <w:t xml:space="preserve">  </w:t>
      </w:r>
      <w:r>
        <w:rPr>
          <w:rFonts w:hint="eastAsia" w:ascii="仿宋_GB2312" w:hAnsi="Times New Roman" w:eastAsia="仿宋_GB2312" w:cs="Times New Roman"/>
          <w:color w:val="000000"/>
          <w:kern w:val="0"/>
          <w:sz w:val="32"/>
          <w:szCs w:val="32"/>
        </w:rPr>
        <w:t>违反本条例第二十条</w:t>
      </w:r>
      <w:r>
        <w:rPr>
          <w:rFonts w:hint="eastAsia" w:ascii="Times New Roman" w:hAnsi="Times New Roman" w:eastAsia="仿宋_GB2312" w:cs="Times New Roman"/>
          <w:color w:val="000000"/>
          <w:kern w:val="0"/>
          <w:sz w:val="32"/>
          <w:szCs w:val="32"/>
        </w:rPr>
        <w:t>规定，</w:t>
      </w:r>
      <w:r>
        <w:rPr>
          <w:rFonts w:hint="eastAsia" w:ascii="仿宋_GB2312" w:hAnsi="Times New Roman" w:eastAsia="仿宋_GB2312" w:cs="Times New Roman"/>
          <w:color w:val="000000"/>
          <w:kern w:val="0"/>
          <w:sz w:val="32"/>
          <w:szCs w:val="32"/>
        </w:rPr>
        <w:t>由龙门石窟保护管理机构</w:t>
      </w:r>
      <w:r>
        <w:rPr>
          <w:rFonts w:hint="eastAsia" w:ascii="Times New Roman" w:hAnsi="Times New Roman" w:eastAsia="仿宋_GB2312" w:cs="Times New Roman"/>
          <w:color w:val="000000"/>
          <w:kern w:val="0"/>
          <w:sz w:val="32"/>
          <w:szCs w:val="32"/>
        </w:rPr>
        <w:t>或者有关行政部门</w:t>
      </w:r>
      <w:r>
        <w:rPr>
          <w:rFonts w:hint="eastAsia" w:ascii="仿宋_GB2312" w:hAnsi="Times New Roman" w:eastAsia="仿宋_GB2312" w:cs="Times New Roman"/>
          <w:color w:val="000000"/>
          <w:kern w:val="0"/>
          <w:sz w:val="32"/>
          <w:szCs w:val="32"/>
        </w:rPr>
        <w:t>按照下列规定予以处罚</w:t>
      </w:r>
      <w:r>
        <w:rPr>
          <w:rFonts w:hint="eastAsia" w:ascii="Times New Roman" w:hAnsi="Times New Roman" w:eastAsia="仿宋_GB2312" w:cs="Times New Roman"/>
          <w:color w:val="000000"/>
          <w:kern w:val="0"/>
          <w:sz w:val="32"/>
          <w:szCs w:val="32"/>
        </w:rPr>
        <w:t>：</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eastAsia"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（一）违反</w:t>
      </w:r>
      <w:r>
        <w:rPr>
          <w:rFonts w:hint="eastAsia" w:ascii="仿宋_GB2312" w:hAnsi="Times New Roman" w:eastAsia="仿宋_GB2312" w:cs="Times New Roman"/>
          <w:color w:val="000000"/>
          <w:kern w:val="0"/>
          <w:sz w:val="32"/>
          <w:szCs w:val="32"/>
        </w:rPr>
        <w:t>第一项至第</w:t>
      </w:r>
      <w:r>
        <w:rPr>
          <w:rFonts w:hint="eastAsia" w:ascii="Times New Roman" w:hAnsi="Times New Roman" w:eastAsia="仿宋_GB2312" w:cs="Times New Roman"/>
          <w:color w:val="000000"/>
          <w:kern w:val="0"/>
          <w:sz w:val="32"/>
          <w:szCs w:val="32"/>
        </w:rPr>
        <w:t>三</w:t>
      </w:r>
      <w:r>
        <w:rPr>
          <w:rFonts w:hint="eastAsia" w:ascii="仿宋_GB2312" w:hAnsi="Times New Roman" w:eastAsia="仿宋_GB2312" w:cs="Times New Roman"/>
          <w:color w:val="000000"/>
          <w:kern w:val="0"/>
          <w:sz w:val="32"/>
          <w:szCs w:val="32"/>
        </w:rPr>
        <w:t>项规定，</w:t>
      </w:r>
      <w:r>
        <w:rPr>
          <w:rFonts w:hint="eastAsia" w:ascii="Times New Roman" w:hAnsi="Times New Roman" w:eastAsia="仿宋_GB2312" w:cs="Times New Roman"/>
          <w:color w:val="000000"/>
          <w:kern w:val="0"/>
          <w:sz w:val="32"/>
          <w:szCs w:val="32"/>
        </w:rPr>
        <w:t>责令改正；情节严重的，处</w:t>
      </w:r>
      <w:r>
        <w:rPr>
          <w:rFonts w:hint="eastAsia" w:ascii="仿宋_GB2312" w:hAnsi="Times New Roman" w:eastAsia="仿宋_GB2312" w:cs="Times New Roman"/>
          <w:color w:val="000000"/>
          <w:kern w:val="0"/>
          <w:sz w:val="32"/>
          <w:szCs w:val="32"/>
        </w:rPr>
        <w:t>一千元以上五千元以下</w:t>
      </w:r>
      <w:r>
        <w:rPr>
          <w:rFonts w:hint="eastAsia" w:ascii="Times New Roman" w:hAnsi="Times New Roman" w:eastAsia="仿宋_GB2312" w:cs="Times New Roman"/>
          <w:color w:val="000000"/>
          <w:kern w:val="0"/>
          <w:sz w:val="32"/>
          <w:szCs w:val="32"/>
        </w:rPr>
        <w:t>罚款。</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kern w:val="0"/>
          <w:sz w:val="32"/>
          <w:szCs w:val="32"/>
        </w:rPr>
      </w:pPr>
      <w:r>
        <w:rPr>
          <w:rFonts w:hint="eastAsia" w:ascii="Times New Roman" w:hAnsi="Times New Roman" w:eastAsia="仿宋_GB2312" w:cs="Times New Roman"/>
          <w:color w:val="000000"/>
          <w:kern w:val="0"/>
          <w:sz w:val="32"/>
          <w:szCs w:val="32"/>
        </w:rPr>
        <w:t>（二）</w:t>
      </w:r>
      <w:r>
        <w:rPr>
          <w:rFonts w:hint="eastAsia" w:ascii="仿宋_GB2312" w:hAnsi="Times New Roman" w:eastAsia="仿宋_GB2312" w:cs="Times New Roman"/>
          <w:color w:val="000000"/>
          <w:kern w:val="0"/>
          <w:sz w:val="32"/>
          <w:szCs w:val="32"/>
        </w:rPr>
        <w:t>违反第</w:t>
      </w:r>
      <w:r>
        <w:rPr>
          <w:rFonts w:hint="eastAsia" w:ascii="Times New Roman" w:hAnsi="Times New Roman" w:eastAsia="仿宋_GB2312" w:cs="Times New Roman"/>
          <w:color w:val="000000"/>
          <w:kern w:val="0"/>
          <w:sz w:val="32"/>
          <w:szCs w:val="32"/>
        </w:rPr>
        <w:t>五</w:t>
      </w:r>
      <w:r>
        <w:rPr>
          <w:rFonts w:hint="eastAsia" w:ascii="仿宋_GB2312" w:hAnsi="Times New Roman" w:eastAsia="仿宋_GB2312" w:cs="Times New Roman"/>
          <w:color w:val="000000"/>
          <w:kern w:val="0"/>
          <w:sz w:val="32"/>
          <w:szCs w:val="32"/>
        </w:rPr>
        <w:t>项</w:t>
      </w:r>
      <w:r>
        <w:rPr>
          <w:rFonts w:hint="eastAsia" w:ascii="Times New Roman" w:hAnsi="Times New Roman" w:eastAsia="仿宋_GB2312" w:cs="Times New Roman"/>
          <w:color w:val="000000"/>
          <w:kern w:val="0"/>
          <w:sz w:val="32"/>
          <w:szCs w:val="32"/>
        </w:rPr>
        <w:t>至</w:t>
      </w:r>
      <w:r>
        <w:rPr>
          <w:rFonts w:hint="eastAsia" w:ascii="仿宋_GB2312" w:hAnsi="Times New Roman" w:eastAsia="仿宋_GB2312" w:cs="Times New Roman"/>
          <w:color w:val="000000"/>
          <w:kern w:val="0"/>
          <w:sz w:val="32"/>
          <w:szCs w:val="32"/>
        </w:rPr>
        <w:t>第八项规定</w:t>
      </w:r>
      <w:r>
        <w:rPr>
          <w:rFonts w:hint="eastAsia" w:ascii="Times New Roman" w:hAnsi="Times New Roman" w:eastAsia="仿宋_GB2312" w:cs="Times New Roman"/>
          <w:color w:val="000000"/>
          <w:kern w:val="0"/>
          <w:sz w:val="32"/>
          <w:szCs w:val="32"/>
        </w:rPr>
        <w:t>，责令改正；情节严重</w:t>
      </w:r>
      <w:r>
        <w:rPr>
          <w:rFonts w:hint="eastAsia" w:ascii="仿宋_GB2312" w:hAnsi="Times New Roman" w:eastAsia="仿宋_GB2312" w:cs="Times New Roman"/>
          <w:color w:val="000000"/>
          <w:kern w:val="0"/>
          <w:sz w:val="32"/>
          <w:szCs w:val="32"/>
        </w:rPr>
        <w:t>的，处</w:t>
      </w:r>
      <w:r>
        <w:rPr>
          <w:rFonts w:hint="eastAsia" w:ascii="Times New Roman" w:hAnsi="Times New Roman" w:eastAsia="仿宋_GB2312" w:cs="Times New Roman"/>
          <w:color w:val="000000"/>
          <w:kern w:val="0"/>
          <w:sz w:val="32"/>
          <w:szCs w:val="32"/>
        </w:rPr>
        <w:t>二百元</w:t>
      </w:r>
      <w:r>
        <w:rPr>
          <w:rFonts w:hint="eastAsia" w:ascii="仿宋_GB2312" w:hAnsi="Times New Roman" w:eastAsia="仿宋_GB2312" w:cs="Times New Roman"/>
          <w:color w:val="000000"/>
          <w:kern w:val="0"/>
          <w:sz w:val="32"/>
          <w:szCs w:val="32"/>
        </w:rPr>
        <w:t>罚款</w:t>
      </w:r>
      <w:r>
        <w:rPr>
          <w:rFonts w:hint="eastAsia" w:ascii="Times New Roman" w:hAnsi="Times New Roman" w:eastAsia="仿宋_GB2312" w:cs="Times New Roman"/>
          <w:color w:val="000000"/>
          <w:kern w:val="0"/>
          <w:sz w:val="32"/>
          <w:szCs w:val="32"/>
        </w:rPr>
        <w:t>。</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仿宋_GB2312" w:cs="Times New Roman"/>
          <w:color w:val="000000"/>
          <w:kern w:val="0"/>
          <w:sz w:val="32"/>
          <w:szCs w:val="32"/>
        </w:rPr>
      </w:pPr>
      <w:r>
        <w:rPr>
          <w:rFonts w:hint="eastAsia" w:ascii="黑体" w:hAnsi="Times New Roman" w:eastAsia="黑体" w:cs="Times New Roman"/>
          <w:color w:val="000000"/>
          <w:kern w:val="0"/>
          <w:sz w:val="32"/>
          <w:szCs w:val="32"/>
        </w:rPr>
        <w:t xml:space="preserve">第四十条 </w:t>
      </w:r>
      <w:r>
        <w:rPr>
          <w:rFonts w:hint="default" w:ascii="Times New Roman" w:hAnsi="Times New Roman" w:eastAsia="仿宋_GB2312" w:cs="Times New Roman"/>
          <w:color w:val="000000"/>
          <w:kern w:val="0"/>
          <w:sz w:val="32"/>
          <w:szCs w:val="32"/>
        </w:rPr>
        <w:t xml:space="preserve"> </w:t>
      </w:r>
      <w:r>
        <w:rPr>
          <w:rFonts w:hint="eastAsia" w:ascii="仿宋_GB2312" w:hAnsi="Times New Roman" w:eastAsia="仿宋_GB2312" w:cs="Times New Roman"/>
          <w:color w:val="000000"/>
          <w:kern w:val="0"/>
          <w:sz w:val="32"/>
          <w:szCs w:val="32"/>
        </w:rPr>
        <w:t>市、县、区人民政府有关部门、龙门石窟保护管理机构及其工作人员在龙门石窟保护管理工作中滥用职权、玩忽职守、徇私舞弊的，对负有责任的领导人员和直接责任人员，依法给予处分；构成犯罪的，依法追究刑事责任。</w:t>
      </w:r>
    </w:p>
    <w:p>
      <w:pPr>
        <w:keepNext w:val="0"/>
        <w:keepLines w:val="0"/>
        <w:pageBreakBefore w:val="0"/>
        <w:kinsoku/>
        <w:wordWrap/>
        <w:overflowPunct/>
        <w:topLinePunct w:val="0"/>
        <w:autoSpaceDE/>
        <w:autoSpaceDN/>
        <w:bidi w:val="0"/>
        <w:adjustRightInd w:val="0"/>
        <w:snapToGrid w:val="0"/>
        <w:spacing w:beforeLines="0" w:afterLines="0" w:line="580" w:lineRule="exact"/>
        <w:jc w:val="center"/>
        <w:textAlignment w:val="auto"/>
        <w:rPr>
          <w:rFonts w:hint="default" w:ascii="Times New Roman" w:hAnsi="Times New Roman" w:eastAsia="黑体" w:cs="Times New Roman"/>
          <w:color w:val="000000"/>
          <w:kern w:val="0"/>
          <w:sz w:val="32"/>
          <w:szCs w:val="32"/>
        </w:rPr>
      </w:pPr>
    </w:p>
    <w:p>
      <w:pPr>
        <w:keepNext w:val="0"/>
        <w:keepLines w:val="0"/>
        <w:pageBreakBefore w:val="0"/>
        <w:kinsoku/>
        <w:wordWrap/>
        <w:overflowPunct/>
        <w:topLinePunct w:val="0"/>
        <w:autoSpaceDE/>
        <w:autoSpaceDN/>
        <w:bidi w:val="0"/>
        <w:adjustRightInd w:val="0"/>
        <w:snapToGrid w:val="0"/>
        <w:spacing w:beforeLines="0" w:afterLines="0" w:line="580" w:lineRule="exact"/>
        <w:jc w:val="center"/>
        <w:textAlignment w:val="auto"/>
        <w:rPr>
          <w:rFonts w:hint="default" w:ascii="Times New Roman" w:hAnsi="Times New Roman" w:eastAsia="仿宋_GB2312" w:cs="Times New Roman"/>
          <w:sz w:val="32"/>
          <w:szCs w:val="32"/>
        </w:rPr>
      </w:pPr>
      <w:r>
        <w:rPr>
          <w:rFonts w:hint="eastAsia" w:ascii="黑体" w:hAnsi="Times New Roman" w:eastAsia="黑体" w:cs="Times New Roman"/>
          <w:color w:val="000000"/>
          <w:kern w:val="0"/>
          <w:sz w:val="32"/>
          <w:szCs w:val="32"/>
        </w:rPr>
        <w:t>第五章  附  则</w:t>
      </w: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黑体" w:cs="Times New Roman"/>
          <w:color w:val="000000"/>
          <w:kern w:val="0"/>
          <w:sz w:val="32"/>
          <w:szCs w:val="32"/>
        </w:rPr>
      </w:pPr>
    </w:p>
    <w:p>
      <w:pPr>
        <w:keepNext w:val="0"/>
        <w:keepLines w:val="0"/>
        <w:pageBreakBefore w:val="0"/>
        <w:kinsoku/>
        <w:wordWrap/>
        <w:overflowPunct/>
        <w:topLinePunct w:val="0"/>
        <w:autoSpaceDE/>
        <w:autoSpaceDN/>
        <w:bidi w:val="0"/>
        <w:adjustRightInd w:val="0"/>
        <w:snapToGrid w:val="0"/>
        <w:spacing w:beforeLines="0" w:afterLines="0" w:line="580" w:lineRule="exact"/>
        <w:ind w:firstLine="640" w:firstLineChars="200"/>
        <w:textAlignment w:val="auto"/>
        <w:rPr>
          <w:rFonts w:hint="default" w:ascii="Times New Roman" w:hAnsi="Times New Roman" w:eastAsia="宋体" w:cs="Times New Roman"/>
          <w:sz w:val="21"/>
          <w:szCs w:val="24"/>
        </w:rPr>
      </w:pPr>
      <w:r>
        <w:rPr>
          <w:rFonts w:hint="eastAsia" w:ascii="黑体" w:hAnsi="Times New Roman" w:eastAsia="黑体" w:cs="Times New Roman"/>
          <w:color w:val="000000"/>
          <w:kern w:val="0"/>
          <w:sz w:val="32"/>
          <w:szCs w:val="32"/>
        </w:rPr>
        <w:t>第四十</w:t>
      </w:r>
      <w:r>
        <w:rPr>
          <w:rFonts w:hint="eastAsia" w:ascii="Times New Roman" w:hAnsi="Times New Roman" w:eastAsia="黑体" w:cs="Times New Roman"/>
          <w:color w:val="000000"/>
          <w:kern w:val="0"/>
          <w:sz w:val="32"/>
          <w:szCs w:val="32"/>
        </w:rPr>
        <w:t>一</w:t>
      </w:r>
      <w:r>
        <w:rPr>
          <w:rFonts w:hint="eastAsia" w:ascii="黑体" w:hAnsi="Times New Roman" w:eastAsia="黑体" w:cs="Times New Roman"/>
          <w:color w:val="000000"/>
          <w:kern w:val="0"/>
          <w:sz w:val="32"/>
          <w:szCs w:val="32"/>
        </w:rPr>
        <w:t>条【施行日期】</w:t>
      </w:r>
      <w:r>
        <w:rPr>
          <w:rFonts w:hint="eastAsia" w:ascii="仿宋_GB2312" w:hAnsi="Times New Roman" w:eastAsia="仿宋_GB2312" w:cs="Times New Roman"/>
          <w:sz w:val="32"/>
          <w:szCs w:val="32"/>
        </w:rPr>
        <w:t>　</w:t>
      </w:r>
      <w:r>
        <w:rPr>
          <w:rFonts w:hint="eastAsia" w:ascii="仿宋_GB2312" w:hAnsi="Times New Roman" w:eastAsia="仿宋_GB2312" w:cs="Times New Roman"/>
          <w:color w:val="000000"/>
          <w:kern w:val="0"/>
          <w:sz w:val="32"/>
          <w:szCs w:val="32"/>
        </w:rPr>
        <w:t>本条例自  年  月  日起实施。1999年4月14日洛阳市第十一届人民代表大会常务委员会第三次会议通过，1999年5月30日河南省第九届人民代表大会常务委员会第九次会议批准，2012年8月22日洛阳市第十三届人民代表大会常务委员会第三十一次会议修订通过，2012年9月28日河南省第十一届人民代表大会常务委员会第二十九次会议批准的《洛阳市龙门石窟保护管理条例》同时废止。</w:t>
      </w: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color w:val="auto"/>
          <w:sz w:val="32"/>
          <w:szCs w:val="40"/>
          <w:lang w:val="en-US" w:eastAsia="zh-CN"/>
        </w:rPr>
      </w:pPr>
    </w:p>
    <w:sectPr>
      <w:footerReference r:id="rId3" w:type="default"/>
      <w:pgSz w:w="11906" w:h="16838"/>
      <w:pgMar w:top="1701" w:right="1417" w:bottom="1701" w:left="1417"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等线">
    <w:altName w:val="华文仿宋"/>
    <w:panose1 w:val="02010600030101010101"/>
    <w:charset w:val="00"/>
    <w:family w:val="auto"/>
    <w:pitch w:val="default"/>
    <w:sig w:usb0="00000000" w:usb1="00000000" w:usb2="00000000" w:usb3="00000000" w:csb0="00040001" w:csb1="00000000"/>
  </w:font>
  <w:font w:name="华文仿宋">
    <w:panose1 w:val="02010600040101010101"/>
    <w:charset w:val="86"/>
    <w:family w:val="auto"/>
    <w:pitch w:val="default"/>
    <w:sig w:usb0="00000287" w:usb1="080F0000" w:usb2="00000000" w:usb3="00000000" w:csb0="0004009F" w:csb1="DFD70000"/>
  </w:font>
  <w:font w:name="方正小标宋简体">
    <w:panose1 w:val="02000000000000000000"/>
    <w:charset w:val="86"/>
    <w:family w:val="auto"/>
    <w:pitch w:val="default"/>
    <w:sig w:usb0="A00002BF" w:usb1="184F6CFA" w:usb2="00000012" w:usb3="00000000" w:csb0="00040001" w:csb1="00000000"/>
  </w:font>
  <w:font w:name="微软雅黑">
    <w:altName w:val="黑体"/>
    <w:panose1 w:val="020B0503020204020204"/>
    <w:charset w:val="86"/>
    <w:family w:val="auto"/>
    <w:pitch w:val="default"/>
    <w:sig w:usb0="00000000" w:usb1="00000000" w:usb2="00000016" w:usb3="00000000" w:csb0="0004001F"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00"/>
    <w:family w:val="modern"/>
    <w:pitch w:val="default"/>
    <w:sig w:usb0="00000000" w:usb1="00000000" w:usb2="00000000" w:usb3="00000000" w:csb0="00040001"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BQAAAAIAIdO4kCzSVju0AAAAAUBAAAPAAAAAAAA&#10;AAEAIAAAADgAAABkcnMvZG93bnJldi54bWxQSwECFAAUAAAACACHTuJAJIJGtDECAABhBAAADgAA&#10;AAAAAAABACAAAAA1AQAAZHJzL2Uyb0RvYy54bWxQSwECFAAKAAAAAACHTuJAAAAAAAAAAAAAAAAA&#10;BAAAAAAAAAAAABAAAAAWAAAAZHJzL1BLAQIUAAoAAAAAAIdO4kAAAAAAAAAAAAAAAAAGAAAAAAAA&#10;AAAAEAAAAJIDAABfcmVscy9QSwUGAAAAAAYABgBZAQAA2AU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2</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F3B9914"/>
    <w:rsid w:val="168E50FD"/>
    <w:rsid w:val="1DEB9AFD"/>
    <w:rsid w:val="1E6784D2"/>
    <w:rsid w:val="269B64A2"/>
    <w:rsid w:val="2D655533"/>
    <w:rsid w:val="2FF3F330"/>
    <w:rsid w:val="343B4737"/>
    <w:rsid w:val="3BD5B990"/>
    <w:rsid w:val="3FFF3E34"/>
    <w:rsid w:val="539D8CFE"/>
    <w:rsid w:val="53FB8E5D"/>
    <w:rsid w:val="69DF5440"/>
    <w:rsid w:val="794EAC27"/>
    <w:rsid w:val="7C6ACE61"/>
    <w:rsid w:val="7DD4C7F4"/>
    <w:rsid w:val="7EDF5223"/>
    <w:rsid w:val="9BDF96C3"/>
    <w:rsid w:val="AFFE0A4E"/>
    <w:rsid w:val="CE7BF5C2"/>
    <w:rsid w:val="D6EB8967"/>
    <w:rsid w:val="DB5F0243"/>
    <w:rsid w:val="DDFB2689"/>
    <w:rsid w:val="DFE71DB1"/>
    <w:rsid w:val="E3BD4E7E"/>
    <w:rsid w:val="EBF71050"/>
    <w:rsid w:val="ED3B82F5"/>
    <w:rsid w:val="F667FE85"/>
    <w:rsid w:val="F8B742D6"/>
    <w:rsid w:val="FBFB0BC0"/>
    <w:rsid w:val="FBFD09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BodyTextIndent2"/>
    <w:qFormat/>
    <w:uiPriority w:val="0"/>
    <w:pPr>
      <w:widowControl w:val="0"/>
      <w:spacing w:after="120" w:line="560" w:lineRule="exact"/>
      <w:ind w:left="0" w:leftChars="0"/>
      <w:jc w:val="both"/>
      <w:textAlignment w:val="baseline"/>
    </w:pPr>
    <w:rPr>
      <w:rFonts w:ascii="Times New Roman" w:hAnsi="Times New Roman" w:eastAsia="宋体" w:cs="Times New Roman"/>
      <w:kern w:val="2"/>
      <w:sz w:val="21"/>
      <w:szCs w:val="24"/>
      <w:lang w:val="en-US" w:eastAsia="zh-CN" w:bidi="ar-SA"/>
    </w:rPr>
  </w:style>
  <w:style w:type="paragraph" w:styleId="3">
    <w:name w:val="Body Text"/>
    <w:basedOn w:val="1"/>
    <w:next w:val="1"/>
    <w:unhideWhenUsed/>
    <w:qFormat/>
    <w:uiPriority w:val="0"/>
    <w:pPr>
      <w:spacing w:beforeLines="0" w:after="120"/>
    </w:pPr>
    <w:rPr>
      <w:rFonts w:hint="default"/>
      <w:sz w:val="21"/>
      <w:szCs w:val="24"/>
    </w:rPr>
  </w:style>
  <w:style w:type="paragraph" w:styleId="4">
    <w:name w:val="footer"/>
    <w:basedOn w:val="1"/>
    <w:unhideWhenUsed/>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w:basedOn w:val="3"/>
    <w:unhideWhenUsed/>
    <w:qFormat/>
    <w:uiPriority w:val="0"/>
    <w:pPr>
      <w:spacing w:beforeLines="0"/>
      <w:ind w:firstLine="420" w:firstLineChars="100"/>
    </w:pPr>
    <w:rPr>
      <w:rFonts w:hint="default" w:ascii="Calibri" w:hAnsi="Calibri" w:eastAsia="宋体" w:cs="Calibri"/>
      <w:sz w:val="21"/>
      <w:szCs w:val="24"/>
    </w:rPr>
  </w:style>
  <w:style w:type="character" w:styleId="10">
    <w:name w:val="Hyperlink"/>
    <w:basedOn w:val="9"/>
    <w:qFormat/>
    <w:uiPriority w:val="0"/>
    <w:rPr>
      <w:color w:val="0000FF"/>
      <w:u w:val="single"/>
    </w:rPr>
  </w:style>
  <w:style w:type="paragraph" w:customStyle="1" w:styleId="11">
    <w:name w:val="Default"/>
    <w:qFormat/>
    <w:uiPriority w:val="99"/>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2">
    <w:name w:val="p0"/>
    <w:basedOn w:val="1"/>
    <w:unhideWhenUsed/>
    <w:qFormat/>
    <w:uiPriority w:val="0"/>
    <w:pPr>
      <w:widowControl/>
      <w:spacing w:beforeLines="0" w:afterLines="0"/>
    </w:pPr>
    <w:rPr>
      <w:rFonts w:hint="default" w:ascii="等线" w:hAnsi="等线" w:eastAsia="宋体" w:cs="宋体"/>
      <w:kern w:val="0"/>
      <w:sz w:val="21"/>
      <w:szCs w:val="21"/>
    </w:rPr>
  </w:style>
  <w:style w:type="paragraph" w:styleId="13">
    <w:name w:val="List Paragraph"/>
    <w:qFormat/>
    <w:uiPriority w:val="34"/>
    <w:pPr>
      <w:widowControl w:val="0"/>
      <w:ind w:firstLine="420" w:firstLineChars="200"/>
      <w:jc w:val="both"/>
    </w:pPr>
    <w:rPr>
      <w:rFonts w:ascii="Calibri" w:hAnsi="Calibri" w:eastAsia="宋体" w:cs="Times New Roman"/>
      <w:kern w:val="2"/>
      <w:sz w:val="21"/>
      <w:szCs w:val="22"/>
      <w:lang w:val="en-US" w:eastAsia="zh-CN" w:bidi="ar-SA"/>
    </w:rPr>
  </w:style>
  <w:style w:type="character" w:customStyle="1" w:styleId="14">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9</TotalTime>
  <ScaleCrop>false</ScaleCrop>
  <LinksUpToDate>false</LinksUpToDate>
  <CharactersWithSpaces>0</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2020-05-30T01:11:00Z</dcterms:created>
  <dc:creator>Administrator</dc:creator>
  <cp:lastModifiedBy>greatwall</cp:lastModifiedBy>
  <cp:lastPrinted>2025-03-14T01:31:00Z</cp:lastPrinted>
  <dcterms:modified xsi:type="dcterms:W3CDTF">2026-04-01T14:56:00Z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E8311891E7074A46B243CC030F25D4E1</vt:lpwstr>
  </property>
</Properties>
</file>