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924FCD">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方正书宋简体" w:hAnsi="方正书宋简体" w:eastAsia="仿宋_GB2312"/>
          <w:color w:val="000000"/>
          <w:sz w:val="31"/>
          <w:szCs w:val="31"/>
        </w:rPr>
      </w:pPr>
    </w:p>
    <w:p w14:paraId="3F9931D5">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方正书宋简体" w:hAnsi="方正书宋简体" w:eastAsia="仿宋_GB2312"/>
          <w:color w:val="000000"/>
          <w:sz w:val="31"/>
          <w:szCs w:val="31"/>
        </w:rPr>
      </w:pPr>
    </w:p>
    <w:p w14:paraId="5B501443">
      <w:pPr>
        <w:pStyle w:val="7"/>
        <w:keepNext w:val="0"/>
        <w:keepLines w:val="0"/>
        <w:pageBreakBefore w:val="0"/>
        <w:widowControl w:val="0"/>
        <w:shd w:val="clear" w:color="auto" w:fill="FFFFFF"/>
        <w:kinsoku/>
        <w:wordWrap/>
        <w:overflowPunct/>
        <w:topLinePunct w:val="0"/>
        <w:autoSpaceDE/>
        <w:autoSpaceDN/>
        <w:bidi w:val="0"/>
        <w:spacing w:before="0" w:beforeAutospacing="0" w:after="0" w:afterAutospacing="0" w:line="600" w:lineRule="exact"/>
        <w:jc w:val="center"/>
        <w:textAlignment w:val="auto"/>
        <w:rPr>
          <w:rFonts w:hint="eastAsia" w:ascii="方正小标宋简体" w:hAnsi="方正小标宋简体" w:eastAsia="方正小标宋简体" w:cs="方正小标宋简体"/>
          <w:color w:val="000000"/>
          <w:sz w:val="44"/>
          <w:szCs w:val="44"/>
          <w:shd w:val="clear" w:color="auto" w:fill="FFFFFF"/>
          <w:lang w:val="en-US" w:eastAsia="zh-CN"/>
        </w:rPr>
      </w:pPr>
      <w:r>
        <w:rPr>
          <w:rFonts w:hint="eastAsia" w:ascii="方正小标宋简体" w:hAnsi="方正小标宋简体" w:eastAsia="方正小标宋简体" w:cs="方正小标宋简体"/>
          <w:color w:val="000000"/>
          <w:sz w:val="44"/>
          <w:szCs w:val="44"/>
          <w:shd w:val="clear" w:color="auto" w:fill="FFFFFF"/>
          <w:lang w:val="en-US" w:eastAsia="zh-CN"/>
        </w:rPr>
        <w:t>洛阳市文化广电和旅游局</w:t>
      </w:r>
    </w:p>
    <w:p w14:paraId="6E821368">
      <w:pPr>
        <w:pStyle w:val="7"/>
        <w:keepNext w:val="0"/>
        <w:keepLines w:val="0"/>
        <w:pageBreakBefore w:val="0"/>
        <w:widowControl w:val="0"/>
        <w:shd w:val="clear" w:color="auto" w:fill="FFFFFF"/>
        <w:kinsoku/>
        <w:wordWrap/>
        <w:overflowPunct/>
        <w:topLinePunct w:val="0"/>
        <w:autoSpaceDE/>
        <w:autoSpaceDN/>
        <w:bidi w:val="0"/>
        <w:spacing w:before="0" w:beforeAutospacing="0" w:after="0" w:afterAutospacing="0" w:line="600" w:lineRule="exact"/>
        <w:jc w:val="center"/>
        <w:textAlignment w:val="auto"/>
        <w:rPr>
          <w:rFonts w:hint="eastAsia" w:ascii="方正小标宋简体" w:hAnsi="方正小标宋简体" w:eastAsia="方正小标宋简体" w:cs="方正小标宋简体"/>
          <w:color w:val="000000"/>
          <w:sz w:val="44"/>
          <w:szCs w:val="44"/>
          <w:shd w:val="clear" w:color="auto" w:fill="FFFFFF"/>
          <w:lang w:val="en-US" w:eastAsia="zh-CN"/>
        </w:rPr>
      </w:pPr>
      <w:r>
        <w:rPr>
          <w:rFonts w:hint="eastAsia" w:ascii="方正小标宋简体" w:hAnsi="方正小标宋简体" w:eastAsia="方正小标宋简体" w:cs="方正小标宋简体"/>
          <w:color w:val="000000"/>
          <w:sz w:val="44"/>
          <w:szCs w:val="44"/>
          <w:shd w:val="clear" w:color="auto" w:fill="FFFFFF"/>
          <w:lang w:val="en-US" w:eastAsia="zh-CN"/>
        </w:rPr>
        <w:t>关于印发《洛阳市文化艺术类校外培训机构</w:t>
      </w:r>
    </w:p>
    <w:p w14:paraId="2E7C289B">
      <w:pPr>
        <w:pStyle w:val="7"/>
        <w:keepNext w:val="0"/>
        <w:keepLines w:val="0"/>
        <w:pageBreakBefore w:val="0"/>
        <w:widowControl w:val="0"/>
        <w:shd w:val="clear" w:color="auto" w:fill="FFFFFF"/>
        <w:kinsoku/>
        <w:wordWrap/>
        <w:overflowPunct/>
        <w:topLinePunct w:val="0"/>
        <w:autoSpaceDE/>
        <w:autoSpaceDN/>
        <w:bidi w:val="0"/>
        <w:spacing w:before="0" w:beforeAutospacing="0" w:after="0" w:afterAutospacing="0" w:line="600" w:lineRule="exact"/>
        <w:jc w:val="center"/>
        <w:textAlignment w:val="auto"/>
        <w:rPr>
          <w:rFonts w:hint="eastAsia" w:ascii="方正小标宋简体" w:hAnsi="方正小标宋简体" w:eastAsia="方正小标宋简体" w:cs="方正小标宋简体"/>
          <w:color w:val="000000"/>
          <w:sz w:val="44"/>
          <w:szCs w:val="44"/>
          <w:shd w:val="clear" w:color="auto" w:fill="FFFFFF"/>
          <w:lang w:val="en-US" w:eastAsia="zh-CN"/>
        </w:rPr>
      </w:pPr>
      <w:r>
        <w:rPr>
          <w:rFonts w:hint="eastAsia" w:ascii="方正小标宋简体" w:hAnsi="方正小标宋简体" w:eastAsia="方正小标宋简体" w:cs="方正小标宋简体"/>
          <w:color w:val="000000"/>
          <w:sz w:val="44"/>
          <w:szCs w:val="44"/>
          <w:shd w:val="clear" w:color="auto" w:fill="FFFFFF"/>
          <w:lang w:val="en-US" w:eastAsia="zh-CN"/>
        </w:rPr>
        <w:t>监督管理工作方案》的通知</w:t>
      </w:r>
    </w:p>
    <w:p w14:paraId="22EC1644">
      <w:pPr>
        <w:pStyle w:val="7"/>
        <w:keepNext w:val="0"/>
        <w:keepLines w:val="0"/>
        <w:pageBreakBefore w:val="0"/>
        <w:widowControl w:val="0"/>
        <w:shd w:val="clear" w:color="auto" w:fill="FFFFFF"/>
        <w:kinsoku/>
        <w:wordWrap/>
        <w:overflowPunct/>
        <w:topLinePunct w:val="0"/>
        <w:autoSpaceDE/>
        <w:autoSpaceDN/>
        <w:bidi w:val="0"/>
        <w:spacing w:before="0" w:beforeAutospacing="0" w:after="0" w:afterAutospacing="0" w:line="600" w:lineRule="exact"/>
        <w:jc w:val="center"/>
        <w:textAlignment w:val="auto"/>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32"/>
          <w:szCs w:val="32"/>
          <w:shd w:val="clear" w:color="auto" w:fill="FFFFFF"/>
          <w:lang w:val="en-US" w:eastAsia="zh-CN"/>
        </w:rPr>
        <w:t>洛文广旅</w:t>
      </w:r>
      <w:r>
        <w:rPr>
          <w:rFonts w:hint="eastAsia" w:ascii="仿宋_GB2312" w:hAnsi="仿宋_GB2312" w:eastAsia="仿宋_GB2312" w:cs="仿宋_GB2312"/>
          <w:color w:val="000000"/>
          <w:sz w:val="32"/>
          <w:szCs w:val="32"/>
          <w:shd w:val="clear" w:color="auto" w:fill="FFFFFF"/>
        </w:rPr>
        <w:t>〔</w:t>
      </w:r>
      <w:r>
        <w:rPr>
          <w:rFonts w:hint="eastAsia" w:ascii="仿宋_GB2312" w:hAnsi="仿宋_GB2312" w:eastAsia="仿宋_GB2312" w:cs="仿宋_GB2312"/>
          <w:color w:val="000000"/>
          <w:sz w:val="32"/>
          <w:szCs w:val="32"/>
          <w:shd w:val="clear" w:color="auto" w:fill="FFFFFF"/>
          <w:lang w:val="en-US" w:eastAsia="zh-CN"/>
        </w:rPr>
        <w:t>2026</w:t>
      </w:r>
      <w:r>
        <w:rPr>
          <w:rFonts w:hint="eastAsia" w:ascii="仿宋_GB2312" w:hAnsi="仿宋_GB2312" w:eastAsia="仿宋_GB2312" w:cs="仿宋_GB2312"/>
          <w:color w:val="000000"/>
          <w:sz w:val="32"/>
          <w:szCs w:val="32"/>
          <w:shd w:val="clear" w:color="auto" w:fill="FFFFFF"/>
        </w:rPr>
        <w:t>〕</w:t>
      </w:r>
      <w:r>
        <w:rPr>
          <w:rFonts w:hint="eastAsia" w:ascii="仿宋_GB2312" w:hAnsi="仿宋_GB2312" w:eastAsia="仿宋_GB2312" w:cs="仿宋_GB2312"/>
          <w:color w:val="000000"/>
          <w:sz w:val="32"/>
          <w:szCs w:val="32"/>
          <w:shd w:val="clear" w:color="auto" w:fill="FFFFFF"/>
          <w:lang w:val="en-US" w:eastAsia="zh-CN"/>
        </w:rPr>
        <w:t>11</w:t>
      </w:r>
      <w:r>
        <w:rPr>
          <w:rFonts w:hint="eastAsia" w:ascii="仿宋_GB2312" w:hAnsi="仿宋_GB2312" w:eastAsia="仿宋_GB2312" w:cs="仿宋_GB2312"/>
          <w:color w:val="000000"/>
          <w:sz w:val="32"/>
          <w:szCs w:val="32"/>
          <w:shd w:val="clear" w:color="auto" w:fill="FFFFFF"/>
        </w:rPr>
        <w:t>号</w:t>
      </w:r>
    </w:p>
    <w:p w14:paraId="7B451961">
      <w:pPr>
        <w:keepNext w:val="0"/>
        <w:keepLines w:val="0"/>
        <w:pageBreakBefore w:val="0"/>
        <w:widowControl w:val="0"/>
        <w:kinsoku/>
        <w:wordWrap/>
        <w:overflowPunct/>
        <w:topLinePunct w:val="0"/>
        <w:autoSpaceDE/>
        <w:autoSpaceDN/>
        <w:bidi w:val="0"/>
        <w:spacing w:line="600" w:lineRule="exact"/>
        <w:textAlignment w:val="auto"/>
        <w:rPr>
          <w:sz w:val="32"/>
          <w:szCs w:val="32"/>
        </w:rPr>
      </w:pPr>
    </w:p>
    <w:p w14:paraId="47118717">
      <w:pPr>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eastAsia="zh-CN"/>
        </w:rPr>
      </w:pPr>
      <w:r>
        <w:rPr>
          <w:rFonts w:hint="eastAsia" w:ascii="仿宋" w:hAnsi="仿宋" w:eastAsia="仿宋"/>
          <w:sz w:val="32"/>
          <w:szCs w:val="32"/>
          <w:lang w:eastAsia="zh-CN"/>
        </w:rPr>
        <w:t>各县（区）文化广电和旅游局：</w:t>
      </w:r>
    </w:p>
    <w:p w14:paraId="4438F467">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仿宋" w:hAnsi="仿宋" w:eastAsia="仿宋"/>
          <w:sz w:val="32"/>
          <w:szCs w:val="32"/>
          <w:lang w:eastAsia="zh-CN"/>
        </w:rPr>
      </w:pPr>
      <w:r>
        <w:rPr>
          <w:rFonts w:hint="eastAsia" w:ascii="仿宋" w:hAnsi="仿宋" w:eastAsia="仿宋"/>
          <w:sz w:val="32"/>
          <w:szCs w:val="32"/>
          <w:lang w:eastAsia="zh-CN"/>
        </w:rPr>
        <w:t>现将新修订的《</w:t>
      </w:r>
      <w:r>
        <w:rPr>
          <w:rFonts w:hint="eastAsia" w:ascii="仿宋" w:hAnsi="仿宋" w:eastAsia="仿宋"/>
          <w:sz w:val="32"/>
          <w:szCs w:val="32"/>
          <w:lang w:val="en-US" w:eastAsia="zh-CN"/>
        </w:rPr>
        <w:t>洛阳市文化艺术类校外培训机构监督管理工作方案</w:t>
      </w:r>
      <w:r>
        <w:rPr>
          <w:rFonts w:hint="eastAsia" w:ascii="仿宋" w:hAnsi="仿宋" w:eastAsia="仿宋"/>
          <w:sz w:val="32"/>
          <w:szCs w:val="32"/>
          <w:lang w:eastAsia="zh-CN"/>
        </w:rPr>
        <w:t>》印发你们，请遵照执行。</w:t>
      </w:r>
    </w:p>
    <w:p w14:paraId="45001AA6">
      <w:pPr>
        <w:pStyle w:val="4"/>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eastAsia="zh-CN"/>
        </w:rPr>
      </w:pPr>
    </w:p>
    <w:p w14:paraId="239487F2">
      <w:pPr>
        <w:pStyle w:val="4"/>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eastAsia="zh-CN"/>
        </w:rPr>
      </w:pPr>
    </w:p>
    <w:p w14:paraId="2A621284">
      <w:pPr>
        <w:pStyle w:val="4"/>
        <w:keepNext w:val="0"/>
        <w:keepLines w:val="0"/>
        <w:pageBreakBefore w:val="0"/>
        <w:widowControl w:val="0"/>
        <w:kinsoku/>
        <w:wordWrap/>
        <w:overflowPunct/>
        <w:topLinePunct w:val="0"/>
        <w:autoSpaceDE/>
        <w:autoSpaceDN/>
        <w:bidi w:val="0"/>
        <w:spacing w:line="600" w:lineRule="exact"/>
        <w:textAlignment w:val="auto"/>
        <w:rPr>
          <w:rFonts w:hint="eastAsia" w:ascii="仿宋" w:hAnsi="仿宋" w:eastAsia="仿宋"/>
          <w:sz w:val="32"/>
          <w:szCs w:val="32"/>
          <w:lang w:eastAsia="zh-CN"/>
        </w:rPr>
      </w:pPr>
    </w:p>
    <w:p w14:paraId="2CB44387">
      <w:pPr>
        <w:keepNext w:val="0"/>
        <w:keepLines w:val="0"/>
        <w:pageBreakBefore w:val="0"/>
        <w:widowControl w:val="0"/>
        <w:kinsoku/>
        <w:wordWrap/>
        <w:overflowPunct/>
        <w:topLinePunct w:val="0"/>
        <w:autoSpaceDE/>
        <w:autoSpaceDN/>
        <w:bidi w:val="0"/>
        <w:adjustRightInd w:val="0"/>
        <w:snapToGrid w:val="0"/>
        <w:spacing w:line="600" w:lineRule="exact"/>
        <w:ind w:firstLine="1240" w:firstLineChars="400"/>
        <w:jc w:val="center"/>
        <w:textAlignment w:val="auto"/>
        <w:rPr>
          <w:rFonts w:hint="eastAsia" w:ascii="方正书宋简体" w:hAnsi="方正书宋简体" w:eastAsia="仿宋_GB2312"/>
          <w:color w:val="000000"/>
          <w:sz w:val="31"/>
          <w:szCs w:val="31"/>
          <w:lang w:val="en-US" w:eastAsia="zh-CN"/>
        </w:rPr>
      </w:pPr>
      <w:r>
        <w:rPr>
          <w:rFonts w:hint="eastAsia" w:ascii="方正书宋简体" w:hAnsi="方正书宋简体" w:eastAsia="仿宋_GB2312"/>
          <w:color w:val="000000"/>
          <w:sz w:val="31"/>
          <w:szCs w:val="31"/>
          <w:lang w:val="en-US" w:eastAsia="zh-CN"/>
        </w:rPr>
        <w:t xml:space="preserve">                            2026年2月4日</w:t>
      </w:r>
    </w:p>
    <w:p w14:paraId="781F785B">
      <w:pPr>
        <w:pStyle w:val="2"/>
        <w:ind w:left="0" w:leftChars="0" w:firstLine="0" w:firstLineChars="0"/>
        <w:rPr>
          <w:rFonts w:hint="eastAsia" w:ascii="方正书宋简体" w:hAnsi="方正书宋简体" w:eastAsia="仿宋_GB2312"/>
          <w:color w:val="000000"/>
          <w:sz w:val="31"/>
          <w:szCs w:val="31"/>
          <w:lang w:val="en-US" w:eastAsia="zh-CN"/>
        </w:rPr>
      </w:pPr>
    </w:p>
    <w:p w14:paraId="5177B901">
      <w:pPr>
        <w:rPr>
          <w:rFonts w:hint="eastAsia" w:ascii="方正书宋简体" w:hAnsi="方正书宋简体" w:eastAsia="仿宋_GB2312"/>
          <w:color w:val="000000"/>
          <w:sz w:val="31"/>
          <w:szCs w:val="31"/>
          <w:lang w:val="en-US" w:eastAsia="zh-CN"/>
        </w:rPr>
      </w:pPr>
    </w:p>
    <w:p w14:paraId="18915ED2">
      <w:pPr>
        <w:pStyle w:val="2"/>
        <w:rPr>
          <w:rFonts w:hint="eastAsia" w:ascii="方正书宋简体" w:hAnsi="方正书宋简体" w:eastAsia="仿宋_GB2312"/>
          <w:color w:val="000000"/>
          <w:sz w:val="31"/>
          <w:szCs w:val="31"/>
          <w:lang w:val="en-US" w:eastAsia="zh-CN"/>
        </w:rPr>
      </w:pPr>
    </w:p>
    <w:p w14:paraId="0003197B">
      <w:pPr>
        <w:rPr>
          <w:rFonts w:hint="eastAsia" w:ascii="方正书宋简体" w:hAnsi="方正书宋简体" w:eastAsia="仿宋_GB2312"/>
          <w:color w:val="000000"/>
          <w:sz w:val="31"/>
          <w:szCs w:val="31"/>
          <w:lang w:val="en-US" w:eastAsia="zh-CN"/>
        </w:rPr>
      </w:pPr>
    </w:p>
    <w:p w14:paraId="3236B14E">
      <w:pPr>
        <w:pStyle w:val="2"/>
        <w:rPr>
          <w:rFonts w:hint="eastAsia" w:ascii="方正书宋简体" w:hAnsi="方正书宋简体" w:eastAsia="仿宋_GB2312"/>
          <w:color w:val="000000"/>
          <w:sz w:val="31"/>
          <w:szCs w:val="31"/>
          <w:lang w:val="en-US" w:eastAsia="zh-CN"/>
        </w:rPr>
      </w:pPr>
    </w:p>
    <w:p w14:paraId="0ABB4760">
      <w:pPr>
        <w:rPr>
          <w:rFonts w:hint="eastAsia" w:ascii="方正书宋简体" w:hAnsi="方正书宋简体" w:eastAsia="仿宋_GB2312"/>
          <w:color w:val="000000"/>
          <w:sz w:val="31"/>
          <w:szCs w:val="31"/>
          <w:lang w:val="en-US" w:eastAsia="zh-CN"/>
        </w:rPr>
      </w:pPr>
    </w:p>
    <w:p w14:paraId="26C1B890">
      <w:pPr>
        <w:spacing w:line="580" w:lineRule="exact"/>
        <w:jc w:val="center"/>
        <w:rPr>
          <w:rFonts w:ascii="仿宋_GB2312" w:eastAsia="仿宋_GB2312"/>
          <w:sz w:val="32"/>
          <w:szCs w:val="32"/>
        </w:rPr>
      </w:pPr>
      <w:r>
        <w:rPr>
          <w:rFonts w:eastAsia="方正小标宋简体"/>
          <w:snapToGrid w:val="0"/>
          <w:kern w:val="0"/>
          <w:sz w:val="44"/>
          <w:szCs w:val="44"/>
        </w:rPr>
        <w:t>洛阳市文化艺术类校外培训机构</w:t>
      </w:r>
    </w:p>
    <w:p w14:paraId="0FEAD83B">
      <w:pPr>
        <w:spacing w:line="600" w:lineRule="exact"/>
        <w:jc w:val="center"/>
        <w:rPr>
          <w:rFonts w:eastAsia="方正小标宋简体"/>
          <w:snapToGrid w:val="0"/>
          <w:kern w:val="0"/>
          <w:sz w:val="44"/>
          <w:szCs w:val="44"/>
        </w:rPr>
      </w:pPr>
      <w:r>
        <w:rPr>
          <w:rFonts w:eastAsia="方正小标宋简体"/>
          <w:snapToGrid w:val="0"/>
          <w:kern w:val="0"/>
          <w:sz w:val="44"/>
          <w:szCs w:val="44"/>
        </w:rPr>
        <w:t>监督管理工作方案</w:t>
      </w:r>
    </w:p>
    <w:p w14:paraId="660EBED0">
      <w:pPr>
        <w:spacing w:line="600" w:lineRule="exact"/>
        <w:ind w:firstLine="640" w:firstLineChars="200"/>
        <w:rPr>
          <w:rFonts w:eastAsia="楷体"/>
          <w:sz w:val="32"/>
          <w:szCs w:val="32"/>
        </w:rPr>
      </w:pPr>
    </w:p>
    <w:p w14:paraId="6C0717B9">
      <w:pPr>
        <w:pStyle w:val="7"/>
        <w:widowControl w:val="0"/>
        <w:spacing w:before="0" w:beforeAutospacing="0" w:after="0" w:afterAutospacing="0"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为贯彻落实《河南省文化艺术类校外培训机构设置和管理指南》（豫文旅科教〔2025〕8号）文件要求，进一步规范全市文化艺术类校外培训行为，结合我市实际，特制定本方案。</w:t>
      </w:r>
    </w:p>
    <w:p w14:paraId="0B269167">
      <w:pPr>
        <w:spacing w:line="600" w:lineRule="exact"/>
        <w:ind w:firstLine="640" w:firstLineChars="200"/>
        <w:rPr>
          <w:rFonts w:eastAsia="仿宋_GB2312"/>
          <w:sz w:val="32"/>
          <w:szCs w:val="32"/>
        </w:rPr>
      </w:pPr>
      <w:r>
        <w:rPr>
          <w:rFonts w:eastAsia="黑体"/>
          <w:sz w:val="32"/>
          <w:szCs w:val="32"/>
        </w:rPr>
        <w:t>第一条</w:t>
      </w:r>
      <w:r>
        <w:rPr>
          <w:rFonts w:eastAsia="仿宋_GB2312"/>
          <w:sz w:val="32"/>
          <w:szCs w:val="32"/>
        </w:rPr>
        <w:t xml:space="preserve">  本方案所称文化艺术类校外培训机构，是指在本市行政区域内，由社会组织或个人利用非国家财政性经费，经县（区）文化广电和旅游行政主管部门审核同意，在同级市场监管或民政部门登记，从事面向义务教育阶段中小学生实施音乐类、舞蹈类、美术类、戏剧类（戏曲、曲艺）、艺术表演类以及与文化艺术相关培训服务的非学历培训机构。文化艺术类校外培训机构不得从事学科类培训。</w:t>
      </w:r>
    </w:p>
    <w:p w14:paraId="1141C343">
      <w:pPr>
        <w:spacing w:line="600" w:lineRule="exact"/>
        <w:ind w:firstLine="640" w:firstLineChars="200"/>
        <w:rPr>
          <w:rFonts w:eastAsia="仿宋_GB2312"/>
          <w:strike/>
          <w:sz w:val="32"/>
          <w:szCs w:val="32"/>
        </w:rPr>
      </w:pPr>
      <w:r>
        <w:rPr>
          <w:rFonts w:eastAsia="黑体"/>
          <w:sz w:val="32"/>
          <w:szCs w:val="32"/>
        </w:rPr>
        <w:t>第二条</w:t>
      </w:r>
      <w:r>
        <w:rPr>
          <w:rFonts w:eastAsia="仿宋_GB2312"/>
          <w:sz w:val="32"/>
          <w:szCs w:val="32"/>
        </w:rPr>
        <w:t xml:space="preserve">  严格落实“谁审批谁监管、谁主管谁监管”。各县（区）文化广电和旅游行政部门负责本辖区内文化艺术类校外培训机构的监督管理工作，结合实际制定工作细则，建立负面清单，推行白名单制度，并具体组织实施。文化艺术类校外培训机构监管实行逐级备案制度，各县（区）文化广电和旅游行政部门每季度向市文化广电和旅游局报备审核登记情况。</w:t>
      </w:r>
    </w:p>
    <w:p w14:paraId="42E3C661">
      <w:pPr>
        <w:spacing w:line="600" w:lineRule="exact"/>
        <w:ind w:firstLine="640" w:firstLineChars="200"/>
        <w:rPr>
          <w:rFonts w:eastAsia="仿宋_GB2312"/>
          <w:sz w:val="32"/>
          <w:szCs w:val="32"/>
        </w:rPr>
      </w:pPr>
      <w:r>
        <w:rPr>
          <w:rFonts w:eastAsia="黑体"/>
          <w:sz w:val="32"/>
          <w:szCs w:val="32"/>
        </w:rPr>
        <w:t>第三条</w:t>
      </w:r>
      <w:r>
        <w:rPr>
          <w:rFonts w:eastAsia="仿宋_GB2312"/>
          <w:sz w:val="32"/>
          <w:szCs w:val="32"/>
        </w:rPr>
        <w:t xml:space="preserve">  对文化艺术类校外培训的机构设置（机构名称、培训场所、消防安全、建筑安全、人员资质）、审核登记、培训活动及收费管理方面的要求，应严格遵照《河南省文化艺术类校外培训机构设置和管理指南》（豫文旅科教〔2025〕8号）文件执行。</w:t>
      </w:r>
    </w:p>
    <w:p w14:paraId="12949C48">
      <w:pPr>
        <w:spacing w:line="600" w:lineRule="exact"/>
        <w:ind w:firstLine="640" w:firstLineChars="200"/>
        <w:rPr>
          <w:rFonts w:eastAsia="仿宋_GB2312"/>
          <w:sz w:val="32"/>
          <w:szCs w:val="32"/>
        </w:rPr>
      </w:pPr>
      <w:r>
        <w:rPr>
          <w:rFonts w:eastAsia="黑体"/>
          <w:sz w:val="32"/>
          <w:szCs w:val="32"/>
        </w:rPr>
        <w:t>第四条</w:t>
      </w:r>
      <w:r>
        <w:rPr>
          <w:rFonts w:eastAsia="仿宋_GB2312"/>
          <w:sz w:val="32"/>
          <w:szCs w:val="32"/>
        </w:rPr>
        <w:t xml:space="preserve">  新设立文化艺术类校外培训机构，应当先到属地市场监管部门或民政部门办理名称预先保留业务，再向属地文化广电和旅游行政部门提出设立申请，审核通过后，持“办学审核同意书”向属地市场监管部门或民政部门申请注册登记。</w:t>
      </w:r>
    </w:p>
    <w:p w14:paraId="575A2C7A">
      <w:pPr>
        <w:widowControl/>
        <w:ind w:firstLine="640" w:firstLineChars="200"/>
        <w:rPr>
          <w:rFonts w:eastAsia="仿宋_GB2312"/>
          <w:strike/>
          <w:sz w:val="32"/>
          <w:szCs w:val="32"/>
        </w:rPr>
      </w:pPr>
      <w:r>
        <w:rPr>
          <w:rFonts w:eastAsia="黑体"/>
          <w:sz w:val="32"/>
          <w:szCs w:val="32"/>
        </w:rPr>
        <w:t>第五条</w:t>
      </w:r>
      <w:r>
        <w:rPr>
          <w:rFonts w:eastAsia="仿宋_GB2312"/>
          <w:sz w:val="32"/>
          <w:szCs w:val="32"/>
        </w:rPr>
        <w:t xml:space="preserve">  </w:t>
      </w:r>
      <w:r>
        <w:rPr>
          <w:rFonts w:eastAsia="仿宋_GB2312"/>
          <w:kern w:val="0"/>
          <w:sz w:val="32"/>
          <w:szCs w:val="32"/>
          <w:lang w:bidi="ar"/>
        </w:rPr>
        <w:t>属于《河南省教育厅等四部门关于印发〈非学科类培训类别项目清单〉的通知》（教监管〔2023〕168号）中的类别，县（区）文化广电和旅游局应当受理；对于包含跨部门类别的培训机构，主要培训项目属于文化艺术类的，由县（区）文化广电和旅游局受理，商相关行政部门决定。对经营范围不清晰或培训内容不明确等不便审批的培训机构，需进一步指导其明确经营范围和培训内容，必要时县（区）文化广电和旅游局可商请同级教育等行政部门进行现场学科鉴定。</w:t>
      </w:r>
    </w:p>
    <w:p w14:paraId="11081BB4">
      <w:pPr>
        <w:spacing w:line="600" w:lineRule="exact"/>
        <w:ind w:firstLine="640" w:firstLineChars="200"/>
        <w:rPr>
          <w:rFonts w:eastAsia="仿宋_GB2312"/>
          <w:sz w:val="32"/>
          <w:szCs w:val="32"/>
        </w:rPr>
      </w:pPr>
      <w:r>
        <w:rPr>
          <w:rFonts w:eastAsia="黑体"/>
          <w:sz w:val="32"/>
          <w:szCs w:val="32"/>
        </w:rPr>
        <w:t>第六条</w:t>
      </w:r>
      <w:r>
        <w:rPr>
          <w:rFonts w:eastAsia="仿宋_GB2312"/>
          <w:sz w:val="32"/>
          <w:szCs w:val="32"/>
        </w:rPr>
        <w:t xml:space="preserve">  文化艺术类校外培训机构应当按照有关要求落实校外培训收费管理政策。坚持校外培训公益属性，根据市场需求、培训成本等因素确定收费项目和标准，严禁过高收费和过度逐利行为。</w:t>
      </w:r>
    </w:p>
    <w:p w14:paraId="43258F01">
      <w:pPr>
        <w:spacing w:line="600" w:lineRule="exact"/>
        <w:ind w:firstLine="640" w:firstLineChars="200"/>
        <w:rPr>
          <w:rFonts w:eastAsia="仿宋_GB2312"/>
          <w:sz w:val="32"/>
          <w:szCs w:val="32"/>
        </w:rPr>
      </w:pPr>
      <w:r>
        <w:rPr>
          <w:rFonts w:eastAsia="仿宋_GB2312"/>
          <w:sz w:val="32"/>
          <w:szCs w:val="32"/>
        </w:rPr>
        <w:t>（一）严格执行收费公示制度，收费项目和标准应在办学场所、网站等显著位置公示，并于培训服务前向学员明示。文化艺术类校外培训机构不得一次性收取或以充值、次卡等形式变相收取时间跨度超过3个月或60课时的费用，且不得超过5000元。</w:t>
      </w:r>
    </w:p>
    <w:p w14:paraId="642EE25F">
      <w:pPr>
        <w:spacing w:line="600" w:lineRule="exact"/>
        <w:ind w:firstLine="640" w:firstLineChars="200"/>
        <w:rPr>
          <w:rFonts w:eastAsia="仿宋_GB2312"/>
          <w:sz w:val="32"/>
          <w:szCs w:val="32"/>
        </w:rPr>
      </w:pPr>
      <w:r>
        <w:rPr>
          <w:rFonts w:eastAsia="仿宋_GB2312"/>
          <w:sz w:val="32"/>
          <w:szCs w:val="32"/>
        </w:rPr>
        <w:t>（二）不得使用培训贷方式收取培训费用，不得强制、诱导学员使用消费贷款，收取培训费用时不得捆绑贷款、保险等金融产品或者服务。</w:t>
      </w:r>
    </w:p>
    <w:p w14:paraId="5EBBA05B">
      <w:pPr>
        <w:spacing w:line="600" w:lineRule="exact"/>
        <w:ind w:firstLine="640" w:firstLineChars="200"/>
        <w:rPr>
          <w:rFonts w:eastAsia="仿宋_GB2312"/>
          <w:sz w:val="32"/>
          <w:szCs w:val="32"/>
        </w:rPr>
      </w:pPr>
      <w:r>
        <w:rPr>
          <w:rFonts w:eastAsia="仿宋_GB2312"/>
          <w:sz w:val="32"/>
          <w:szCs w:val="32"/>
        </w:rPr>
        <w:t>（三）依法履行纳税义务，按照国家有关规定开具发票，开具发票时发票内容应按照实际销售情况如实开具，不得填开与实际销售情况不符的内容，不得以收款收据等“白条”替代收付款凭证。</w:t>
      </w:r>
    </w:p>
    <w:p w14:paraId="2E9CEFF4">
      <w:pPr>
        <w:spacing w:line="600" w:lineRule="exact"/>
        <w:ind w:firstLine="640" w:firstLineChars="200"/>
        <w:rPr>
          <w:rFonts w:eastAsia="仿宋_GB2312"/>
          <w:sz w:val="32"/>
          <w:szCs w:val="32"/>
        </w:rPr>
      </w:pPr>
      <w:r>
        <w:rPr>
          <w:rFonts w:eastAsia="仿宋_GB2312"/>
          <w:sz w:val="32"/>
          <w:szCs w:val="32"/>
        </w:rPr>
        <w:t>文化艺术类校外培训机构预收费应符合《河南省校外培训机构预收费资金监管暂行规定》（豫教监管〔2021〕154号），由培训机构自主选择风险保证金、银行托管、银行保函等任一方式进行资金监管。对选择风险保证金的机构，应结合本地实际，充分考虑机构规模等因素，合理确定保证金额度；对选择银行托管的机构，应确保其预收费按时足额纳入平台监管，防止预收费“体外循环”；对选择银行保函的机构，</w:t>
      </w:r>
      <w:r>
        <w:rPr>
          <w:rFonts w:eastAsia="仿宋_GB2312"/>
          <w:kern w:val="0"/>
          <w:sz w:val="32"/>
          <w:szCs w:val="32"/>
          <w:lang w:bidi="ar"/>
        </w:rPr>
        <w:t>县（区）文化广电和旅游局应切实履行资金监管主体责任，做好沟通对接及服务工作</w:t>
      </w:r>
      <w:r>
        <w:rPr>
          <w:rFonts w:eastAsia="仿宋_GB2312"/>
          <w:sz w:val="32"/>
          <w:szCs w:val="32"/>
        </w:rPr>
        <w:t>。对通过监管平台采用“先学后付”模式的机构，可不进行资金监管。</w:t>
      </w:r>
    </w:p>
    <w:p w14:paraId="670860CF">
      <w:pPr>
        <w:spacing w:line="600" w:lineRule="exact"/>
        <w:ind w:firstLine="640" w:firstLineChars="200"/>
        <w:rPr>
          <w:rFonts w:eastAsia="仿宋_GB2312"/>
          <w:sz w:val="32"/>
          <w:szCs w:val="32"/>
        </w:rPr>
      </w:pPr>
      <w:r>
        <w:rPr>
          <w:rFonts w:eastAsia="黑体"/>
          <w:sz w:val="32"/>
          <w:szCs w:val="32"/>
        </w:rPr>
        <w:t>第七条</w:t>
      </w:r>
      <w:r>
        <w:rPr>
          <w:rFonts w:eastAsia="仿宋_GB2312"/>
          <w:sz w:val="32"/>
          <w:szCs w:val="32"/>
        </w:rPr>
        <w:t xml:space="preserve">  各县区文化广电和旅游行政部门应指导并督促文化艺术类校外培训机构在审核通过后15日内完成全国校外教育培训监管与服务综合平台注册和相关资料填报</w:t>
      </w:r>
      <w:bookmarkStart w:id="0" w:name="_GoBack"/>
      <w:bookmarkEnd w:id="0"/>
      <w:r>
        <w:rPr>
          <w:rFonts w:eastAsia="仿宋_GB2312"/>
          <w:sz w:val="32"/>
          <w:szCs w:val="32"/>
        </w:rPr>
        <w:t>。</w:t>
      </w:r>
    </w:p>
    <w:p w14:paraId="30F37BB8">
      <w:pPr>
        <w:pStyle w:val="7"/>
        <w:shd w:val="clear" w:color="auto" w:fill="FFFFFF"/>
        <w:spacing w:before="0" w:beforeAutospacing="0" w:after="0" w:afterAutospacing="0" w:line="560" w:lineRule="exact"/>
        <w:ind w:firstLine="640" w:firstLineChars="200"/>
        <w:rPr>
          <w:rFonts w:ascii="Times New Roman" w:hAnsi="Times New Roman" w:eastAsia="仿宋_GB2312" w:cs="Times New Roman"/>
          <w:spacing w:val="8"/>
          <w:kern w:val="2"/>
          <w:sz w:val="32"/>
          <w:szCs w:val="32"/>
        </w:rPr>
      </w:pPr>
      <w:r>
        <w:rPr>
          <w:rFonts w:ascii="Times New Roman" w:hAnsi="Times New Roman" w:eastAsia="黑体" w:cs="Times New Roman"/>
          <w:kern w:val="2"/>
          <w:sz w:val="32"/>
          <w:szCs w:val="32"/>
        </w:rPr>
        <w:t>第八条</w:t>
      </w:r>
      <w:r>
        <w:rPr>
          <w:rFonts w:eastAsia="仿宋_GB2312"/>
          <w:sz w:val="32"/>
          <w:szCs w:val="32"/>
        </w:rPr>
        <w:t xml:space="preserve">  </w:t>
      </w:r>
      <w:r>
        <w:rPr>
          <w:rFonts w:ascii="Times New Roman" w:hAnsi="Times New Roman" w:eastAsia="仿宋_GB2312" w:cs="Times New Roman"/>
          <w:spacing w:val="8"/>
          <w:sz w:val="32"/>
          <w:szCs w:val="32"/>
        </w:rPr>
        <w:t>文化艺术类校外培训机构的机构名称、法定代表人、行政负责人、章程、培训范围等相关事项发生重大变更或者办理注销的，应当于信息变动之日起30日内到属地文化和旅游行政部门办理变更或者注销手续并向社会公示。</w:t>
      </w:r>
    </w:p>
    <w:p w14:paraId="3C25AAF9">
      <w:pPr>
        <w:pStyle w:val="7"/>
        <w:spacing w:before="0" w:beforeAutospacing="0" w:after="0" w:afterAutospacing="0" w:line="560" w:lineRule="exact"/>
        <w:ind w:firstLine="640" w:firstLineChars="200"/>
        <w:jc w:val="both"/>
        <w:rPr>
          <w:rFonts w:ascii="Times New Roman" w:hAnsi="Times New Roman" w:eastAsia="仿宋_GB2312" w:cs="Times New Roman"/>
          <w:spacing w:val="8"/>
          <w:sz w:val="32"/>
          <w:szCs w:val="32"/>
        </w:rPr>
      </w:pPr>
      <w:r>
        <w:rPr>
          <w:rFonts w:ascii="Times New Roman" w:hAnsi="Times New Roman" w:eastAsia="黑体" w:cs="Times New Roman"/>
          <w:kern w:val="2"/>
          <w:sz w:val="32"/>
          <w:szCs w:val="32"/>
        </w:rPr>
        <w:t>第九条</w:t>
      </w:r>
      <w:r>
        <w:rPr>
          <w:rFonts w:eastAsia="仿宋_GB2312"/>
          <w:sz w:val="32"/>
          <w:szCs w:val="32"/>
        </w:rPr>
        <w:t xml:space="preserve">  </w:t>
      </w:r>
      <w:r>
        <w:rPr>
          <w:rFonts w:ascii="Times New Roman" w:hAnsi="Times New Roman" w:eastAsia="仿宋_GB2312" w:cs="Times New Roman"/>
          <w:spacing w:val="8"/>
          <w:sz w:val="32"/>
          <w:szCs w:val="32"/>
        </w:rPr>
        <w:t>市文化广电和旅游局组织各县区文化广电和旅游行政部门开展文化艺术类校外培训机构年检工作。对年检抽查检查发现培训机构隐瞒实情、弄虚作假、违法违规办学，或不接受年检，要依法依规处理，直至吊销“办学审核同意书”，并追究有关人员的法律责任。</w:t>
      </w:r>
    </w:p>
    <w:p w14:paraId="0945CB92">
      <w:pPr>
        <w:widowControl/>
        <w:spacing w:line="580" w:lineRule="exact"/>
        <w:ind w:firstLine="640" w:firstLineChars="200"/>
        <w:rPr>
          <w:rFonts w:eastAsia="仿宋_GB2312"/>
          <w:kern w:val="0"/>
          <w:sz w:val="32"/>
          <w:szCs w:val="32"/>
          <w:lang w:bidi="ar"/>
        </w:rPr>
      </w:pPr>
      <w:r>
        <w:rPr>
          <w:rFonts w:eastAsia="黑体"/>
          <w:sz w:val="32"/>
          <w:szCs w:val="32"/>
        </w:rPr>
        <w:t>第十条</w:t>
      </w:r>
      <w:r>
        <w:rPr>
          <w:rFonts w:eastAsia="仿宋_GB2312"/>
          <w:sz w:val="32"/>
          <w:szCs w:val="32"/>
        </w:rPr>
        <w:t xml:space="preserve">  </w:t>
      </w:r>
      <w:r>
        <w:rPr>
          <w:rFonts w:eastAsia="仿宋_GB2312"/>
          <w:kern w:val="0"/>
          <w:sz w:val="32"/>
          <w:szCs w:val="32"/>
          <w:lang w:bidi="ar"/>
        </w:rPr>
        <w:t>面向普通高中阶段学生和现存证照齐全的面向3-6岁学龄前儿童的文化艺术类校外培训机构的设置和管理，参照本指南执行。</w:t>
      </w:r>
      <w:r>
        <w:rPr>
          <w:rFonts w:hint="eastAsia" w:eastAsia="仿宋_GB2312"/>
          <w:kern w:val="0"/>
          <w:sz w:val="32"/>
          <w:szCs w:val="32"/>
          <w:lang w:bidi="ar"/>
        </w:rPr>
        <w:t>面向3-6岁学龄前儿童的文化艺术类校外培训不得包含小学课程内容，坚决防止“小学化”倾向。</w:t>
      </w:r>
    </w:p>
    <w:p w14:paraId="65C27612">
      <w:pPr>
        <w:widowControl/>
        <w:spacing w:line="580" w:lineRule="exact"/>
        <w:ind w:firstLine="640" w:firstLineChars="200"/>
        <w:rPr>
          <w:rFonts w:eastAsia="仿宋_GB2312"/>
          <w:kern w:val="0"/>
          <w:sz w:val="32"/>
          <w:szCs w:val="32"/>
          <w:lang w:bidi="ar"/>
        </w:rPr>
      </w:pPr>
      <w:r>
        <w:rPr>
          <w:rFonts w:eastAsia="黑体"/>
          <w:sz w:val="32"/>
          <w:szCs w:val="32"/>
        </w:rPr>
        <w:t>第十一条</w:t>
      </w:r>
      <w:r>
        <w:rPr>
          <w:rFonts w:eastAsia="仿宋_GB2312"/>
          <w:sz w:val="32"/>
          <w:szCs w:val="32"/>
        </w:rPr>
        <w:t xml:space="preserve">  </w:t>
      </w:r>
      <w:r>
        <w:rPr>
          <w:rFonts w:eastAsia="仿宋_GB2312"/>
          <w:kern w:val="0"/>
          <w:sz w:val="32"/>
          <w:szCs w:val="32"/>
          <w:lang w:bidi="ar"/>
        </w:rPr>
        <w:t xml:space="preserve">本次修订发布前已办理的《办学审核同意书》，继续有效，无须重新办理。 </w:t>
      </w:r>
    </w:p>
    <w:p w14:paraId="568F949B">
      <w:pPr>
        <w:widowControl/>
        <w:spacing w:line="580" w:lineRule="exact"/>
        <w:ind w:firstLine="640" w:firstLineChars="200"/>
        <w:rPr>
          <w:rFonts w:eastAsia="仿宋_GB2312"/>
          <w:sz w:val="32"/>
          <w:szCs w:val="32"/>
        </w:rPr>
      </w:pPr>
      <w:r>
        <w:rPr>
          <w:rFonts w:eastAsia="黑体"/>
          <w:sz w:val="32"/>
          <w:szCs w:val="32"/>
        </w:rPr>
        <w:t>第十二条</w:t>
      </w:r>
      <w:r>
        <w:rPr>
          <w:rFonts w:eastAsia="仿宋_GB2312"/>
          <w:sz w:val="32"/>
          <w:szCs w:val="32"/>
        </w:rPr>
        <w:t xml:space="preserve">  </w:t>
      </w:r>
      <w:r>
        <w:rPr>
          <w:rFonts w:eastAsia="仿宋_GB2312"/>
          <w:kern w:val="0"/>
          <w:sz w:val="32"/>
          <w:szCs w:val="32"/>
          <w:lang w:bidi="ar"/>
        </w:rPr>
        <w:t>本指南自印发之日起实施。国家法律、法规和规章另有规定的，从其规定。</w:t>
      </w:r>
    </w:p>
    <w:p w14:paraId="58B86BD9">
      <w:pPr>
        <w:pStyle w:val="2"/>
        <w:ind w:left="0" w:leftChars="0" w:firstLine="0" w:firstLineChars="0"/>
        <w:rPr>
          <w:rFonts w:hint="default"/>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NEU-BZ">
    <w:altName w:val="宋体"/>
    <w:panose1 w:val="02010600010101010101"/>
    <w:charset w:val="86"/>
    <w:family w:val="auto"/>
    <w:pitch w:val="default"/>
    <w:sig w:usb0="00000000" w:usb1="00000000" w:usb2="00000016" w:usb3="00000000" w:csb0="00040001" w:csb1="00000000"/>
  </w:font>
  <w:font w:name="方正仿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书宋简体">
    <w:altName w:val="宋体"/>
    <w:panose1 w:val="02010601030101010101"/>
    <w:charset w:val="86"/>
    <w:family w:val="script"/>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_GBK">
    <w:altName w:val="微软雅黑"/>
    <w:panose1 w:val="02000000000000000000"/>
    <w:charset w:val="86"/>
    <w:family w:val="script"/>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70530F">
    <w:pPr>
      <w:pStyle w:val="6"/>
      <w:ind w:left="501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91CD7F">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6491CD7F">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56538DBD">
    <w:pPr>
      <w:pStyle w:val="6"/>
      <w:wordWrap w:val="0"/>
      <w:ind w:left="895" w:leftChars="407" w:firstLine="10518" w:firstLineChars="3287"/>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28"/>
        <w:szCs w:val="44"/>
        <w:lang w:val="en-US" w:eastAsia="zh-CN"/>
      </w:rPr>
      <w:t>洛洛阳市</w:t>
    </w:r>
    <w:r>
      <w:rPr>
        <w:rFonts w:hint="eastAsia" w:ascii="宋体" w:hAnsi="宋体" w:cs="宋体"/>
        <w:b/>
        <w:bCs/>
        <w:color w:val="005192"/>
        <w:sz w:val="32"/>
        <w:szCs w:val="32"/>
        <w:lang w:val="en-US" w:eastAsia="zh-CN"/>
      </w:rPr>
      <w:t>文化广电和旅游局</w:t>
    </w:r>
    <w:r>
      <w:rPr>
        <w:rFonts w:hint="eastAsia" w:ascii="宋体" w:hAnsi="宋体" w:eastAsia="宋体" w:cs="宋体"/>
        <w:b/>
        <w:bCs/>
        <w:color w:val="005192"/>
        <w:sz w:val="28"/>
        <w:szCs w:val="44"/>
        <w:lang w:val="en-US" w:eastAsia="zh-CN"/>
      </w:rPr>
      <w:t xml:space="preserve">发布    </w:t>
    </w:r>
  </w:p>
  <w:p w14:paraId="56EF0C74">
    <w:pPr>
      <w:pStyle w:val="6"/>
      <w:wordWrap w:val="0"/>
      <w:ind w:left="5016"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40EB7C">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6C574B32">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cs="宋体"/>
        <w:b/>
        <w:bCs/>
        <w:color w:val="005192"/>
        <w:sz w:val="32"/>
        <w:lang w:eastAsia="zh-CN"/>
      </w:rPr>
      <w:t>洛阳市</w:t>
    </w:r>
    <w:r>
      <w:rPr>
        <w:rFonts w:hint="eastAsia" w:ascii="宋体" w:hAnsi="宋体" w:cs="宋体"/>
        <w:b/>
        <w:bCs/>
        <w:color w:val="005192"/>
        <w:sz w:val="32"/>
        <w:szCs w:val="32"/>
        <w:lang w:val="en-US" w:eastAsia="zh-CN"/>
      </w:rPr>
      <w:t>文化广电和旅游局行政规范性文件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011D9"/>
    <w:rsid w:val="019E71BD"/>
    <w:rsid w:val="05440955"/>
    <w:rsid w:val="066E5641"/>
    <w:rsid w:val="06A67E67"/>
    <w:rsid w:val="080F63D8"/>
    <w:rsid w:val="09006E92"/>
    <w:rsid w:val="09341458"/>
    <w:rsid w:val="09553C02"/>
    <w:rsid w:val="0CE65B2C"/>
    <w:rsid w:val="0D5C5CF8"/>
    <w:rsid w:val="0ED818A4"/>
    <w:rsid w:val="101F0538"/>
    <w:rsid w:val="10254BD6"/>
    <w:rsid w:val="129E7932"/>
    <w:rsid w:val="13A23C39"/>
    <w:rsid w:val="152D2DCA"/>
    <w:rsid w:val="1C86388D"/>
    <w:rsid w:val="1E466CFF"/>
    <w:rsid w:val="22440422"/>
    <w:rsid w:val="23F13B42"/>
    <w:rsid w:val="287C616C"/>
    <w:rsid w:val="2FCE575A"/>
    <w:rsid w:val="2FFC7EDE"/>
    <w:rsid w:val="31A15F24"/>
    <w:rsid w:val="39A232A0"/>
    <w:rsid w:val="3A1C636B"/>
    <w:rsid w:val="3B5A6BBB"/>
    <w:rsid w:val="3BE16DE7"/>
    <w:rsid w:val="3E0E7999"/>
    <w:rsid w:val="3EDA13A6"/>
    <w:rsid w:val="3F5730EA"/>
    <w:rsid w:val="42F058B7"/>
    <w:rsid w:val="436109F6"/>
    <w:rsid w:val="441A38D4"/>
    <w:rsid w:val="474E2EF2"/>
    <w:rsid w:val="49B91357"/>
    <w:rsid w:val="4AEC52E8"/>
    <w:rsid w:val="4BC77339"/>
    <w:rsid w:val="4C9236C5"/>
    <w:rsid w:val="4E2A37E2"/>
    <w:rsid w:val="50414CBD"/>
    <w:rsid w:val="51E247E8"/>
    <w:rsid w:val="526F08CC"/>
    <w:rsid w:val="52F46F0B"/>
    <w:rsid w:val="55274B4C"/>
    <w:rsid w:val="55E064E0"/>
    <w:rsid w:val="5A4F3EF9"/>
    <w:rsid w:val="5D0D7ECB"/>
    <w:rsid w:val="608816D1"/>
    <w:rsid w:val="69D03F98"/>
    <w:rsid w:val="6A7F4576"/>
    <w:rsid w:val="6BF75DB0"/>
    <w:rsid w:val="6D0E3F22"/>
    <w:rsid w:val="6F8731DF"/>
    <w:rsid w:val="70AF1C83"/>
    <w:rsid w:val="714A2531"/>
    <w:rsid w:val="71C61E01"/>
    <w:rsid w:val="71E9213F"/>
    <w:rsid w:val="75AA717D"/>
    <w:rsid w:val="7C9011D9"/>
    <w:rsid w:val="7CFB3184"/>
    <w:rsid w:val="7DC651C5"/>
    <w:rsid w:val="7DFBC28B"/>
    <w:rsid w:val="7F624858"/>
    <w:rsid w:val="7FED60B9"/>
    <w:rsid w:val="AF7F4B14"/>
    <w:rsid w:val="D5F6BFC8"/>
    <w:rsid w:val="D6DD9B99"/>
    <w:rsid w:val="DACF7BFF"/>
    <w:rsid w:val="DBF4C527"/>
    <w:rsid w:val="DEFF1FC4"/>
    <w:rsid w:val="F7CE0210"/>
    <w:rsid w:val="FDB75BAD"/>
    <w:rsid w:val="FFDA27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NEU-BZ" w:eastAsia="宋体" w:cs="Times New Roman"/>
      <w:sz w:val="22"/>
      <w:szCs w:val="22"/>
      <w:lang w:val="en-US" w:eastAsia="zh-CN" w:bidi="ar-SA"/>
    </w:rPr>
  </w:style>
  <w:style w:type="paragraph" w:styleId="3">
    <w:name w:val="heading 2"/>
    <w:basedOn w:val="1"/>
    <w:next w:val="1"/>
    <w:qFormat/>
    <w:uiPriority w:val="0"/>
    <w:pPr>
      <w:keepNext/>
      <w:keepLines/>
      <w:spacing w:before="100" w:beforeLines="100" w:after="100" w:afterLines="100" w:line="600" w:lineRule="exact"/>
      <w:jc w:val="center"/>
      <w:outlineLvl w:val="1"/>
    </w:pPr>
    <w:rPr>
      <w:rFonts w:ascii="黑体" w:hAnsi="Arial" w:eastAsia="黑体"/>
      <w:bCs/>
      <w:sz w:val="32"/>
      <w:szCs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Indent 2"/>
    <w:basedOn w:val="1"/>
    <w:next w:val="1"/>
    <w:qFormat/>
    <w:uiPriority w:val="0"/>
    <w:pPr>
      <w:spacing w:line="590" w:lineRule="exact"/>
      <w:ind w:firstLine="880" w:firstLineChars="200"/>
    </w:pPr>
    <w:rPr>
      <w:rFonts w:hint="eastAsia" w:ascii="宋体" w:hAnsi="宋体" w:eastAsia="方正仿宋_GBK"/>
      <w:szCs w:val="32"/>
    </w:rPr>
  </w:style>
  <w:style w:type="paragraph" w:styleId="4">
    <w:name w:val="Plain Text"/>
    <w:basedOn w:val="1"/>
    <w:qFormat/>
    <w:uiPriority w:val="99"/>
    <w:rPr>
      <w:rFonts w:ascii="宋体" w:hAnsi="宋体" w:eastAsia="宋体" w:cs="宋体"/>
      <w:sz w:val="21"/>
      <w:szCs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page number"/>
    <w:basedOn w:val="9"/>
    <w:qFormat/>
    <w:uiPriority w:val="0"/>
  </w:style>
  <w:style w:type="paragraph" w:customStyle="1" w:styleId="11">
    <w:name w:val="15.5正文（仿宋GB）"/>
    <w:basedOn w:val="1"/>
    <w:qFormat/>
    <w:uiPriority w:val="0"/>
    <w:pPr>
      <w:ind w:firstLine="200" w:firstLineChars="200"/>
    </w:pPr>
    <w:rPr>
      <w:rFonts w:ascii="方正书宋简体" w:hAnsi="方正书宋简体" w:eastAsia="仿宋_GB2312"/>
      <w:color w:val="000000"/>
      <w:sz w:val="31"/>
      <w:szCs w:val="31"/>
    </w:rPr>
  </w:style>
  <w:style w:type="paragraph" w:customStyle="1" w:styleId="12">
    <w:name w:val="一级标题（二号小标宋）"/>
    <w:basedOn w:val="1"/>
    <w:link w:val="15"/>
    <w:qFormat/>
    <w:uiPriority w:val="0"/>
    <w:pPr>
      <w:jc w:val="center"/>
    </w:pPr>
    <w:rPr>
      <w:rFonts w:ascii="方正书宋简体" w:hAnsi="方正书宋简体" w:eastAsia="方正小标宋_GBK"/>
      <w:color w:val="000000"/>
      <w:sz w:val="42"/>
      <w:szCs w:val="42"/>
    </w:rPr>
  </w:style>
  <w:style w:type="paragraph" w:customStyle="1" w:styleId="13">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14">
    <w:name w:val="样式3"/>
    <w:basedOn w:val="1"/>
    <w:qFormat/>
    <w:uiPriority w:val="0"/>
    <w:pPr>
      <w:widowControl w:val="0"/>
      <w:adjustRightInd w:val="0"/>
      <w:snapToGrid w:val="0"/>
      <w:spacing w:before="100" w:beforeLines="100" w:after="100" w:afterLines="100" w:line="600" w:lineRule="exact"/>
      <w:jc w:val="center"/>
    </w:pPr>
    <w:rPr>
      <w:rFonts w:ascii="方正书宋简体" w:hAnsi="方正书宋简体" w:eastAsia="楷体_GB2312"/>
      <w:color w:val="000000"/>
      <w:sz w:val="31"/>
      <w:szCs w:val="31"/>
    </w:rPr>
  </w:style>
  <w:style w:type="character" w:customStyle="1" w:styleId="15">
    <w:name w:val="一级标题（二号小标宋） Char"/>
    <w:basedOn w:val="9"/>
    <w:link w:val="12"/>
    <w:qFormat/>
    <w:uiPriority w:val="0"/>
    <w:rPr>
      <w:rFonts w:ascii="方正书宋简体" w:hAnsi="方正书宋简体" w:eastAsia="方正小标宋_GBK"/>
      <w:color w:val="000000"/>
      <w:sz w:val="42"/>
      <w:szCs w:val="4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2093</Words>
  <Characters>2126</Characters>
  <Lines>0</Lines>
  <Paragraphs>0</Paragraphs>
  <TotalTime>4</TotalTime>
  <ScaleCrop>false</ScaleCrop>
  <LinksUpToDate>false</LinksUpToDate>
  <CharactersWithSpaces>2179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2021-09-12T02:41:00Z</dcterms:created>
  <dc:creator>t</dc:creator>
  <cp:lastModifiedBy>洛小雅</cp:lastModifiedBy>
  <cp:lastPrinted>2024-03-19T11:33:00Z</cp:lastPrinted>
  <dcterms:modified xsi:type="dcterms:W3CDTF">2026-03-16T02:02:32Z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B2730C3DE4B44101801484FFB4A50383</vt:lpwstr>
  </property>
  <property fmtid="{D5CDD505-2E9C-101B-9397-08002B2CF9AE}" pid="4" name="KSOTemplateDocerSaveRecord">
    <vt:lpwstr>eyJoZGlkIjoiY2VhZGRiNjFhYWNiNTc1ZWQ2Y2M2YzFmMTI0MmMxMWQiLCJ1c2VySWQiOiI3MzIxNjE0ODcifQ==</vt:lpwstr>
  </property>
</Properties>
</file>