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方正书宋简体" w:hAnsi="方正书宋简体" w:eastAsia="仿宋_GB2312"/>
          <w:color w:val="000000"/>
          <w:sz w:val="31"/>
          <w:szCs w:val="31"/>
        </w:rPr>
      </w:pP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方正书宋简体" w:hAnsi="方正书宋简体" w:eastAsia="仿宋_GB2312"/>
          <w:color w:val="000000"/>
          <w:sz w:val="31"/>
          <w:szCs w:val="31"/>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洛阳市民政局 洛阳市财政局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关于提高孤儿基本生活最低养育和残疾人</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 xml:space="preserve"> “两项补贴”标准的通知</w:t>
      </w:r>
    </w:p>
    <w:p>
      <w:pPr>
        <w:pStyle w:val="10"/>
        <w:keepNext w:val="0"/>
        <w:keepLines w:val="0"/>
        <w:pageBreakBefore w:val="0"/>
        <w:widowControl w:val="0"/>
        <w:shd w:val="clear" w:color="auto" w:fill="FFFFFF"/>
        <w:kinsoku/>
        <w:wordWrap/>
        <w:overflowPunct/>
        <w:topLinePunct w:val="0"/>
        <w:autoSpaceDE/>
        <w:autoSpaceDN/>
        <w:bidi w:val="0"/>
        <w:spacing w:before="0" w:beforeAutospacing="0" w:after="0" w:afterAutospacing="0" w:line="600" w:lineRule="exact"/>
        <w:jc w:val="center"/>
        <w:textAlignment w:val="auto"/>
        <w:rPr>
          <w:rFonts w:hint="eastAsia" w:ascii="方正小标宋_GBK" w:hAnsi="方正小标宋_GBK" w:eastAsia="方正小标宋_GBK" w:cs="方正小标宋_GBK"/>
          <w:color w:val="000000"/>
          <w:sz w:val="44"/>
          <w:szCs w:val="44"/>
          <w:shd w:val="clear" w:color="auto" w:fill="FFFFFF"/>
          <w:lang w:val="en-US" w:eastAsia="zh-CN"/>
        </w:rPr>
      </w:pPr>
    </w:p>
    <w:p>
      <w:pPr>
        <w:keepNext w:val="0"/>
        <w:keepLines w:val="0"/>
        <w:pageBreakBefore w:val="0"/>
        <w:widowControl w:val="0"/>
        <w:kinsoku/>
        <w:wordWrap/>
        <w:overflowPunct/>
        <w:topLinePunct/>
        <w:autoSpaceDE/>
        <w:autoSpaceDN/>
        <w:bidi w:val="0"/>
        <w:adjustRightInd/>
        <w:snapToGrid/>
        <w:spacing w:line="50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洛民</w:t>
      </w:r>
      <w:r>
        <w:rPr>
          <w:rFonts w:hint="eastAsia" w:ascii="仿宋_GB2312" w:hAnsi="仿宋_GB2312" w:eastAsia="仿宋_GB2312" w:cs="仿宋_GB2312"/>
          <w:sz w:val="32"/>
          <w:szCs w:val="32"/>
          <w:lang w:val="en-US" w:eastAsia="zh-CN"/>
        </w:rPr>
        <w:t>通</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号</w:t>
      </w:r>
    </w:p>
    <w:p>
      <w:pPr>
        <w:keepNext w:val="0"/>
        <w:keepLines w:val="0"/>
        <w:pageBreakBefore w:val="0"/>
        <w:widowControl w:val="0"/>
        <w:kinsoku/>
        <w:wordWrap/>
        <w:overflowPunct/>
        <w:topLinePunct w:val="0"/>
        <w:autoSpaceDE/>
        <w:autoSpaceDN/>
        <w:bidi w:val="0"/>
        <w:spacing w:line="600" w:lineRule="exact"/>
        <w:textAlignment w:val="auto"/>
        <w:rPr>
          <w:rFonts w:hint="eastAsia" w:ascii="仿宋" w:hAnsi="仿宋" w:eastAsia="仿宋"/>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kern w:val="24"/>
          <w:sz w:val="32"/>
          <w:szCs w:val="40"/>
          <w:lang w:eastAsia="zh-CN"/>
        </w:rPr>
      </w:pPr>
      <w:r>
        <w:rPr>
          <w:rFonts w:hint="eastAsia" w:ascii="仿宋_GB2312" w:hAnsi="仿宋_GB2312" w:eastAsia="仿宋_GB2312" w:cs="仿宋_GB2312"/>
          <w:kern w:val="24"/>
          <w:sz w:val="32"/>
          <w:szCs w:val="40"/>
          <w:lang w:eastAsia="zh-CN"/>
        </w:rPr>
        <w:t>各县区民政局、财政局，市城乡一体化示范区民政局、财政局：</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kern w:val="24"/>
          <w:sz w:val="32"/>
          <w:szCs w:val="40"/>
          <w:lang w:eastAsia="zh-CN"/>
        </w:rPr>
      </w:pPr>
      <w:r>
        <w:rPr>
          <w:rFonts w:hint="eastAsia" w:ascii="仿宋_GB2312" w:hAnsi="仿宋_GB2312" w:eastAsia="仿宋_GB2312" w:cs="仿宋_GB2312"/>
          <w:kern w:val="24"/>
          <w:sz w:val="32"/>
          <w:szCs w:val="40"/>
          <w:lang w:eastAsia="zh-CN"/>
        </w:rPr>
        <w:t>为贯彻落实党的二十届四中全会精神，加强普惠性、</w:t>
      </w:r>
      <w:r>
        <w:rPr>
          <w:rFonts w:hint="eastAsia" w:ascii="仿宋_GB2312" w:hAnsi="仿宋_GB2312" w:eastAsia="仿宋_GB2312" w:cs="仿宋_GB2312"/>
          <w:kern w:val="24"/>
          <w:sz w:val="32"/>
          <w:szCs w:val="40"/>
          <w:lang w:eastAsia="zh-CN"/>
        </w:rPr>
        <w:t>基础性、</w:t>
      </w:r>
      <w:r>
        <w:rPr>
          <w:rFonts w:hint="eastAsia" w:ascii="仿宋_GB2312" w:hAnsi="仿宋_GB2312" w:eastAsia="仿宋_GB2312" w:cs="仿宋_GB2312"/>
          <w:kern w:val="24"/>
          <w:sz w:val="32"/>
          <w:szCs w:val="40"/>
          <w:lang w:eastAsia="zh-CN"/>
        </w:rPr>
        <w:t>兜底性民生建设，努力保障和改善民生，根据《河南省民政厅</w:t>
      </w:r>
      <w:r>
        <w:rPr>
          <w:rFonts w:hint="eastAsia" w:ascii="仿宋_GB2312" w:hAnsi="仿宋_GB2312" w:eastAsia="仿宋_GB2312" w:cs="仿宋_GB2312"/>
          <w:kern w:val="24"/>
          <w:sz w:val="32"/>
          <w:szCs w:val="40"/>
          <w:lang w:val="en-US" w:eastAsia="zh-CN"/>
        </w:rPr>
        <w:t xml:space="preserve"> </w:t>
      </w:r>
      <w:r>
        <w:rPr>
          <w:rFonts w:hint="eastAsia" w:ascii="仿宋_GB2312" w:hAnsi="仿宋_GB2312" w:eastAsia="仿宋_GB2312" w:cs="仿宋_GB2312"/>
          <w:kern w:val="24"/>
          <w:sz w:val="32"/>
          <w:szCs w:val="40"/>
          <w:lang w:eastAsia="zh-CN"/>
        </w:rPr>
        <w:t>河南省财政厅关于提高孤儿基本生活最低养育和残疾人“两项补贴”标准的通知》（豫民文</w:t>
      </w:r>
      <w:r>
        <w:rPr>
          <w:rFonts w:hint="eastAsia" w:ascii="仿宋_GB2312" w:hAnsi="仿宋_GB2312" w:eastAsia="仿宋_GB2312" w:cs="仿宋_GB2312"/>
          <w:kern w:val="24"/>
          <w:sz w:val="32"/>
          <w:szCs w:val="40"/>
          <w:lang w:val="en-US" w:eastAsia="zh-CN"/>
        </w:rPr>
        <w:t>〔2026〕15号</w:t>
      </w:r>
      <w:r>
        <w:rPr>
          <w:rFonts w:hint="eastAsia" w:ascii="仿宋_GB2312" w:hAnsi="仿宋_GB2312" w:eastAsia="仿宋_GB2312" w:cs="仿宋_GB2312"/>
          <w:kern w:val="24"/>
          <w:sz w:val="32"/>
          <w:szCs w:val="40"/>
          <w:lang w:eastAsia="zh-CN"/>
        </w:rPr>
        <w:t>），</w:t>
      </w:r>
      <w:r>
        <w:rPr>
          <w:rFonts w:hint="eastAsia" w:ascii="仿宋_GB2312" w:hAnsi="仿宋_GB2312" w:eastAsia="仿宋_GB2312" w:cs="仿宋_GB2312"/>
          <w:kern w:val="24"/>
          <w:sz w:val="32"/>
          <w:szCs w:val="40"/>
          <w:lang w:eastAsia="zh-CN"/>
        </w:rPr>
        <w:t>自2026年1月1日起，全市</w:t>
      </w:r>
      <w:r>
        <w:rPr>
          <w:rFonts w:hint="eastAsia" w:ascii="仿宋_GB2312" w:hAnsi="仿宋_GB2312" w:eastAsia="仿宋_GB2312" w:cs="仿宋_GB2312"/>
          <w:kern w:val="24"/>
          <w:sz w:val="32"/>
          <w:szCs w:val="40"/>
          <w:lang w:eastAsia="zh-CN"/>
        </w:rPr>
        <w:t>社会散居孤儿基本生活最低养育标准从不低于1174元/人/月提高至不低于1200元/人/月，集中养育孤儿从不低于1567元/人/月提高至不低于1620元/人/月，艾滋病病毒感染儿童基本生活费、</w:t>
      </w:r>
      <w:r>
        <w:rPr>
          <w:rFonts w:hint="eastAsia" w:ascii="仿宋_GB2312" w:hAnsi="仿宋_GB2312" w:eastAsia="仿宋_GB2312" w:cs="仿宋_GB2312"/>
          <w:kern w:val="24"/>
          <w:sz w:val="32"/>
          <w:szCs w:val="40"/>
          <w:lang w:eastAsia="zh-CN"/>
        </w:rPr>
        <w:t>事实无人抚养儿童基本生活费参照孤儿标准同步予以提高；困难残疾人生活补贴标准从不低于81.5元/人/月提高至不低于92.5元/人/月，重度残疾人护理补贴标准从不低于87元/人/月提高至不低于92.5元/人/月。现就做好提高孤儿基本生活费、</w:t>
      </w:r>
      <w:r>
        <w:rPr>
          <w:rFonts w:hint="eastAsia" w:ascii="仿宋_GB2312" w:hAnsi="仿宋_GB2312" w:eastAsia="仿宋_GB2312" w:cs="仿宋_GB2312"/>
          <w:kern w:val="24"/>
          <w:sz w:val="32"/>
          <w:szCs w:val="40"/>
          <w:lang w:eastAsia="zh-CN"/>
        </w:rPr>
        <w:t>困难残疾人生活补贴和重度残疾人护理补贴(以下简称残疾人"两项补贴")有关事项通知如下：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4"/>
          <w:sz w:val="32"/>
          <w:szCs w:val="40"/>
          <w:lang w:eastAsia="zh-CN"/>
        </w:rPr>
      </w:pPr>
      <w:r>
        <w:rPr>
          <w:rFonts w:hint="eastAsia" w:ascii="黑体" w:hAnsi="黑体" w:eastAsia="黑体" w:cs="黑体"/>
          <w:kern w:val="24"/>
          <w:sz w:val="32"/>
          <w:szCs w:val="40"/>
          <w:lang w:eastAsia="zh-CN"/>
        </w:rPr>
        <w:t>一、强化资金保障。</w:t>
      </w:r>
      <w:r>
        <w:rPr>
          <w:rFonts w:hint="eastAsia" w:ascii="仿宋_GB2312" w:hAnsi="仿宋_GB2312" w:eastAsia="仿宋_GB2312" w:cs="仿宋_GB2312"/>
          <w:kern w:val="24"/>
          <w:sz w:val="32"/>
          <w:szCs w:val="40"/>
          <w:lang w:eastAsia="zh-CN"/>
        </w:rPr>
        <w:t>此次提标时间紧、</w:t>
      </w:r>
      <w:r>
        <w:rPr>
          <w:rFonts w:hint="eastAsia" w:ascii="仿宋_GB2312" w:hAnsi="仿宋_GB2312" w:eastAsia="仿宋_GB2312" w:cs="仿宋_GB2312"/>
          <w:kern w:val="24"/>
          <w:sz w:val="32"/>
          <w:szCs w:val="40"/>
          <w:lang w:eastAsia="zh-CN"/>
        </w:rPr>
        <w:t>任务重，各县区</w:t>
      </w:r>
      <w:r>
        <w:rPr>
          <w:rFonts w:hint="eastAsia" w:ascii="仿宋_GB2312" w:hAnsi="仿宋_GB2312" w:eastAsia="仿宋_GB2312" w:cs="仿宋_GB2312"/>
          <w:kern w:val="24"/>
          <w:sz w:val="32"/>
          <w:szCs w:val="40"/>
          <w:lang w:eastAsia="zh-CN"/>
        </w:rPr>
        <w:t>要高度重视，加强组织领导，迅速安排部署，确保按新的标准及时、</w:t>
      </w:r>
      <w:r>
        <w:rPr>
          <w:rFonts w:hint="eastAsia" w:ascii="仿宋_GB2312" w:hAnsi="仿宋_GB2312" w:eastAsia="仿宋_GB2312" w:cs="仿宋_GB2312"/>
          <w:kern w:val="24"/>
          <w:sz w:val="32"/>
          <w:szCs w:val="40"/>
          <w:lang w:eastAsia="zh-CN"/>
        </w:rPr>
        <w:t>足额发放到位。各县区</w:t>
      </w:r>
      <w:r>
        <w:rPr>
          <w:rFonts w:hint="eastAsia" w:ascii="仿宋_GB2312" w:hAnsi="仿宋_GB2312" w:eastAsia="仿宋_GB2312" w:cs="仿宋_GB2312"/>
          <w:kern w:val="24"/>
          <w:sz w:val="32"/>
          <w:szCs w:val="40"/>
          <w:lang w:eastAsia="zh-CN"/>
        </w:rPr>
        <w:t>民政部门要会同财政、</w:t>
      </w:r>
      <w:r>
        <w:rPr>
          <w:rFonts w:hint="eastAsia" w:ascii="仿宋_GB2312" w:hAnsi="仿宋_GB2312" w:eastAsia="仿宋_GB2312" w:cs="仿宋_GB2312"/>
          <w:kern w:val="24"/>
          <w:sz w:val="32"/>
          <w:szCs w:val="40"/>
          <w:lang w:eastAsia="zh-CN"/>
        </w:rPr>
        <w:t>残联等相关部门，合理测算孤儿基本生活费和残疾人“</w:t>
      </w:r>
      <w:r>
        <w:rPr>
          <w:rFonts w:hint="eastAsia" w:ascii="仿宋_GB2312" w:hAnsi="仿宋_GB2312" w:eastAsia="仿宋_GB2312" w:cs="仿宋_GB2312"/>
          <w:kern w:val="24"/>
          <w:sz w:val="32"/>
          <w:szCs w:val="40"/>
          <w:lang w:eastAsia="zh-CN"/>
        </w:rPr>
        <w:t>两项补贴”</w:t>
      </w:r>
      <w:r>
        <w:rPr>
          <w:rFonts w:hint="eastAsia" w:ascii="仿宋_GB2312" w:hAnsi="仿宋_GB2312" w:eastAsia="仿宋_GB2312" w:cs="仿宋_GB2312"/>
          <w:kern w:val="24"/>
          <w:sz w:val="32"/>
          <w:szCs w:val="40"/>
          <w:lang w:eastAsia="zh-CN"/>
        </w:rPr>
        <w:t>资金需求。各县区</w:t>
      </w:r>
      <w:r>
        <w:rPr>
          <w:rFonts w:hint="eastAsia" w:ascii="仿宋_GB2312" w:hAnsi="仿宋_GB2312" w:eastAsia="仿宋_GB2312" w:cs="仿宋_GB2312"/>
          <w:kern w:val="24"/>
          <w:sz w:val="32"/>
          <w:szCs w:val="40"/>
          <w:lang w:eastAsia="zh-CN"/>
        </w:rPr>
        <w:t>财政部门要将孤儿基本生活费和残疾人"两项补贴"资金纳入财政预算予以保障，孤儿提标部分按照省级财政负担40%，县区</w:t>
      </w:r>
      <w:r>
        <w:rPr>
          <w:rFonts w:hint="eastAsia" w:ascii="仿宋_GB2312" w:hAnsi="仿宋_GB2312" w:eastAsia="仿宋_GB2312" w:cs="仿宋_GB2312"/>
          <w:kern w:val="24"/>
          <w:sz w:val="32"/>
          <w:szCs w:val="40"/>
          <w:lang w:eastAsia="zh-CN"/>
        </w:rPr>
        <w:t>财政负担60%的比例执行；残疾人“</w:t>
      </w:r>
      <w:r>
        <w:rPr>
          <w:rFonts w:hint="eastAsia" w:ascii="仿宋_GB2312" w:hAnsi="仿宋_GB2312" w:eastAsia="仿宋_GB2312" w:cs="仿宋_GB2312"/>
          <w:kern w:val="24"/>
          <w:sz w:val="32"/>
          <w:szCs w:val="40"/>
          <w:lang w:eastAsia="zh-CN"/>
        </w:rPr>
        <w:t>两项补贴”</w:t>
      </w:r>
      <w:r>
        <w:rPr>
          <w:rFonts w:hint="eastAsia" w:ascii="仿宋_GB2312" w:hAnsi="仿宋_GB2312" w:eastAsia="仿宋_GB2312" w:cs="仿宋_GB2312"/>
          <w:kern w:val="24"/>
          <w:sz w:val="32"/>
          <w:szCs w:val="40"/>
          <w:lang w:eastAsia="zh-CN"/>
        </w:rPr>
        <w:t>按照豫政办</w:t>
      </w:r>
      <w:r>
        <w:rPr>
          <w:rFonts w:hint="eastAsia" w:ascii="仿宋_GB2312" w:hAnsi="仿宋_GB2312" w:eastAsia="仿宋_GB2312" w:cs="仿宋_GB2312"/>
          <w:kern w:val="24"/>
          <w:sz w:val="32"/>
          <w:szCs w:val="40"/>
          <w:lang w:val="en-US" w:eastAsia="zh-CN"/>
        </w:rPr>
        <w:t>〔</w:t>
      </w:r>
      <w:r>
        <w:rPr>
          <w:rFonts w:hint="eastAsia" w:ascii="仿宋_GB2312" w:hAnsi="仿宋_GB2312" w:eastAsia="仿宋_GB2312" w:cs="仿宋_GB2312"/>
          <w:kern w:val="24"/>
          <w:sz w:val="32"/>
          <w:szCs w:val="40"/>
          <w:lang w:eastAsia="zh-CN"/>
        </w:rPr>
        <w:t>2021</w:t>
      </w:r>
      <w:r>
        <w:rPr>
          <w:rFonts w:hint="eastAsia" w:ascii="仿宋_GB2312" w:hAnsi="仿宋_GB2312" w:eastAsia="仿宋_GB2312" w:cs="仿宋_GB2312"/>
          <w:kern w:val="24"/>
          <w:sz w:val="32"/>
          <w:szCs w:val="40"/>
          <w:lang w:val="en-US" w:eastAsia="zh-CN"/>
        </w:rPr>
        <w:t>〕</w:t>
      </w:r>
      <w:r>
        <w:rPr>
          <w:rFonts w:hint="eastAsia" w:ascii="仿宋_GB2312" w:hAnsi="仿宋_GB2312" w:eastAsia="仿宋_GB2312" w:cs="仿宋_GB2312"/>
          <w:kern w:val="24"/>
          <w:sz w:val="32"/>
          <w:szCs w:val="40"/>
          <w:lang w:eastAsia="zh-CN"/>
        </w:rPr>
        <w:t>75号</w:t>
      </w:r>
      <w:r>
        <w:rPr>
          <w:rFonts w:hint="eastAsia" w:ascii="仿宋_GB2312" w:hAnsi="仿宋_GB2312" w:eastAsia="仿宋_GB2312" w:cs="仿宋_GB2312"/>
          <w:b w:val="0"/>
          <w:bCs w:val="0"/>
          <w:sz w:val="32"/>
          <w:szCs w:val="32"/>
          <w:lang w:val="en-US" w:eastAsia="zh-CN"/>
        </w:rPr>
        <w:t>和洛政办</w:t>
      </w:r>
      <w:r>
        <w:rPr>
          <w:rFonts w:hint="eastAsia" w:ascii="仿宋_GB2312" w:hAnsi="仿宋_GB2312" w:eastAsia="仿宋_GB2312" w:cs="仿宋_GB2312"/>
          <w:kern w:val="24"/>
          <w:sz w:val="32"/>
          <w:szCs w:val="40"/>
          <w:lang w:val="en-US" w:eastAsia="zh-CN"/>
        </w:rPr>
        <w:t>〔2020〕5号</w:t>
      </w:r>
      <w:r>
        <w:rPr>
          <w:rFonts w:hint="eastAsia" w:ascii="仿宋_GB2312" w:hAnsi="仿宋_GB2312" w:eastAsia="仿宋_GB2312" w:cs="仿宋_GB2312"/>
          <w:b w:val="0"/>
          <w:bCs w:val="0"/>
          <w:sz w:val="32"/>
          <w:szCs w:val="32"/>
          <w:lang w:val="en-US" w:eastAsia="zh-CN"/>
        </w:rPr>
        <w:t>文件规定的省、市、县区</w:t>
      </w:r>
      <w:r>
        <w:rPr>
          <w:rFonts w:hint="eastAsia" w:ascii="仿宋_GB2312" w:hAnsi="仿宋_GB2312" w:eastAsia="仿宋_GB2312" w:cs="仿宋_GB2312"/>
          <w:kern w:val="24"/>
          <w:sz w:val="32"/>
          <w:szCs w:val="40"/>
          <w:lang w:eastAsia="zh-CN"/>
        </w:rPr>
        <w:t>财政共同事权支出责任分担比例执行。</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4"/>
          <w:sz w:val="32"/>
          <w:szCs w:val="40"/>
          <w:lang w:eastAsia="zh-CN"/>
        </w:rPr>
      </w:pPr>
      <w:r>
        <w:rPr>
          <w:rFonts w:hint="eastAsia" w:ascii="黑体" w:hAnsi="黑体" w:eastAsia="黑体" w:cs="黑体"/>
          <w:kern w:val="24"/>
          <w:sz w:val="32"/>
          <w:szCs w:val="40"/>
          <w:lang w:eastAsia="zh-CN"/>
        </w:rPr>
        <w:t>二、严格审核管理。</w:t>
      </w:r>
      <w:r>
        <w:rPr>
          <w:rFonts w:hint="eastAsia" w:ascii="仿宋_GB2312" w:hAnsi="仿宋_GB2312" w:eastAsia="仿宋_GB2312" w:cs="仿宋_GB2312"/>
          <w:kern w:val="24"/>
          <w:sz w:val="32"/>
          <w:szCs w:val="40"/>
          <w:lang w:eastAsia="zh-CN"/>
        </w:rPr>
        <w:t>各县区</w:t>
      </w:r>
      <w:r>
        <w:rPr>
          <w:rFonts w:hint="eastAsia" w:ascii="仿宋_GB2312" w:hAnsi="仿宋_GB2312" w:eastAsia="仿宋_GB2312" w:cs="仿宋_GB2312"/>
          <w:kern w:val="24"/>
          <w:sz w:val="32"/>
          <w:szCs w:val="40"/>
          <w:lang w:eastAsia="zh-CN"/>
        </w:rPr>
        <w:t>要加强资格审核认定，从2026年1月1日起，对新申请的孤儿、</w:t>
      </w:r>
      <w:r>
        <w:rPr>
          <w:rFonts w:hint="eastAsia" w:ascii="仿宋_GB2312" w:hAnsi="仿宋_GB2312" w:eastAsia="仿宋_GB2312" w:cs="仿宋_GB2312"/>
          <w:kern w:val="24"/>
          <w:sz w:val="32"/>
          <w:szCs w:val="40"/>
          <w:lang w:eastAsia="zh-CN"/>
        </w:rPr>
        <w:t>艾滋病病毒感染儿童、</w:t>
      </w:r>
      <w:r>
        <w:rPr>
          <w:rFonts w:hint="eastAsia" w:ascii="仿宋_GB2312" w:hAnsi="仿宋_GB2312" w:eastAsia="仿宋_GB2312" w:cs="仿宋_GB2312"/>
          <w:kern w:val="24"/>
          <w:sz w:val="32"/>
          <w:szCs w:val="40"/>
          <w:lang w:eastAsia="zh-CN"/>
        </w:rPr>
        <w:t>事实无人抚养儿童和残疾人“</w:t>
      </w:r>
      <w:r>
        <w:rPr>
          <w:rFonts w:hint="eastAsia" w:ascii="仿宋_GB2312" w:hAnsi="仿宋_GB2312" w:eastAsia="仿宋_GB2312" w:cs="仿宋_GB2312"/>
          <w:kern w:val="24"/>
          <w:sz w:val="32"/>
          <w:szCs w:val="40"/>
          <w:lang w:eastAsia="zh-CN"/>
        </w:rPr>
        <w:t>两项补贴”</w:t>
      </w:r>
      <w:r>
        <w:rPr>
          <w:rFonts w:hint="eastAsia" w:ascii="仿宋_GB2312" w:hAnsi="仿宋_GB2312" w:eastAsia="仿宋_GB2312" w:cs="仿宋_GB2312"/>
          <w:kern w:val="24"/>
          <w:sz w:val="32"/>
          <w:szCs w:val="40"/>
          <w:lang w:eastAsia="zh-CN"/>
        </w:rPr>
        <w:t>对象按照新标准进行审核确认，对已经在册的保障对象，按照新标准重新核算补贴资金，通过河南省惠民惠农财政补贴资金“</w:t>
      </w:r>
      <w:r>
        <w:rPr>
          <w:rFonts w:hint="eastAsia" w:ascii="仿宋_GB2312" w:hAnsi="仿宋_GB2312" w:eastAsia="仿宋_GB2312" w:cs="仿宋_GB2312"/>
          <w:kern w:val="24"/>
          <w:sz w:val="32"/>
          <w:szCs w:val="40"/>
          <w:lang w:eastAsia="zh-CN"/>
        </w:rPr>
        <w:t>一卡通”</w:t>
      </w:r>
      <w:r>
        <w:rPr>
          <w:rFonts w:hint="eastAsia" w:ascii="仿宋_GB2312" w:hAnsi="仿宋_GB2312" w:eastAsia="仿宋_GB2312" w:cs="仿宋_GB2312"/>
          <w:kern w:val="24"/>
          <w:sz w:val="32"/>
          <w:szCs w:val="40"/>
          <w:lang w:eastAsia="zh-CN"/>
        </w:rPr>
        <w:t>系统发放到位。要加强全国儿童福利信息系统和全国残疾人两项补贴信息系统使用管理，在标准变更前及时处理系统中审核认定、</w:t>
      </w:r>
      <w:r>
        <w:rPr>
          <w:rFonts w:hint="eastAsia" w:ascii="仿宋_GB2312" w:hAnsi="仿宋_GB2312" w:eastAsia="仿宋_GB2312" w:cs="仿宋_GB2312"/>
          <w:kern w:val="24"/>
          <w:sz w:val="32"/>
          <w:szCs w:val="40"/>
          <w:lang w:eastAsia="zh-CN"/>
        </w:rPr>
        <w:t>停发、</w:t>
      </w:r>
      <w:r>
        <w:rPr>
          <w:rFonts w:hint="eastAsia" w:ascii="仿宋_GB2312" w:hAnsi="仿宋_GB2312" w:eastAsia="仿宋_GB2312" w:cs="仿宋_GB2312"/>
          <w:kern w:val="24"/>
          <w:sz w:val="32"/>
          <w:szCs w:val="40"/>
          <w:lang w:eastAsia="zh-CN"/>
        </w:rPr>
        <w:t>续发、</w:t>
      </w:r>
      <w:r>
        <w:rPr>
          <w:rFonts w:hint="eastAsia" w:ascii="仿宋_GB2312" w:hAnsi="仿宋_GB2312" w:eastAsia="仿宋_GB2312" w:cs="仿宋_GB2312"/>
          <w:kern w:val="24"/>
          <w:sz w:val="32"/>
          <w:szCs w:val="40"/>
          <w:lang w:eastAsia="zh-CN"/>
        </w:rPr>
        <w:t>补发等工作，并做好相关资料存档。要加强全国儿童福利信息系统和全国残疾人两项补贴信息系统与省惠民惠农财政补贴资金“</w:t>
      </w:r>
      <w:r>
        <w:rPr>
          <w:rFonts w:hint="eastAsia" w:ascii="仿宋_GB2312" w:hAnsi="仿宋_GB2312" w:eastAsia="仿宋_GB2312" w:cs="仿宋_GB2312"/>
          <w:kern w:val="24"/>
          <w:sz w:val="32"/>
          <w:szCs w:val="40"/>
          <w:lang w:eastAsia="zh-CN"/>
        </w:rPr>
        <w:t>一卡通”</w:t>
      </w:r>
      <w:r>
        <w:rPr>
          <w:rFonts w:hint="eastAsia" w:ascii="仿宋_GB2312" w:hAnsi="仿宋_GB2312" w:eastAsia="仿宋_GB2312" w:cs="仿宋_GB2312"/>
          <w:kern w:val="24"/>
          <w:sz w:val="32"/>
          <w:szCs w:val="40"/>
          <w:lang w:eastAsia="zh-CN"/>
        </w:rPr>
        <w:t>系统发放数据核验，做到线上线下发放一致。要强化精准管理，加强动态监测，确保应享尽享，应退尽退。</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b w:val="0"/>
          <w:bCs w:val="0"/>
          <w:color w:val="auto"/>
          <w:kern w:val="0"/>
          <w:sz w:val="32"/>
          <w:szCs w:val="32"/>
          <w:highlight w:val="none"/>
          <w:u w:val="none"/>
          <w:lang w:val="en-US" w:eastAsia="zh-CN" w:bidi="ar-SA"/>
        </w:rPr>
      </w:pPr>
      <w:r>
        <w:rPr>
          <w:rFonts w:hint="eastAsia" w:ascii="黑体" w:hAnsi="黑体" w:eastAsia="黑体" w:cs="黑体"/>
          <w:kern w:val="24"/>
          <w:sz w:val="32"/>
          <w:szCs w:val="40"/>
          <w:lang w:eastAsia="zh-CN"/>
        </w:rPr>
        <w:t>三、加强宣传督导。</w:t>
      </w:r>
      <w:r>
        <w:rPr>
          <w:rFonts w:hint="eastAsia" w:ascii="仿宋_GB2312" w:hAnsi="仿宋_GB2312" w:eastAsia="仿宋_GB2312" w:cs="仿宋_GB2312"/>
          <w:kern w:val="24"/>
          <w:sz w:val="32"/>
          <w:szCs w:val="40"/>
          <w:lang w:eastAsia="zh-CN"/>
        </w:rPr>
        <w:t>各县区</w:t>
      </w:r>
      <w:r>
        <w:rPr>
          <w:rFonts w:hint="eastAsia" w:ascii="仿宋_GB2312" w:hAnsi="仿宋_GB2312" w:eastAsia="仿宋_GB2312" w:cs="仿宋_GB2312"/>
          <w:kern w:val="24"/>
          <w:sz w:val="32"/>
          <w:szCs w:val="40"/>
          <w:lang w:eastAsia="zh-CN"/>
        </w:rPr>
        <w:t>要做好提标政策宣传，通过电视、</w:t>
      </w:r>
      <w:r>
        <w:rPr>
          <w:rFonts w:hint="eastAsia" w:ascii="仿宋_GB2312" w:hAnsi="仿宋_GB2312" w:eastAsia="仿宋_GB2312" w:cs="仿宋_GB2312"/>
          <w:b w:val="0"/>
          <w:bCs w:val="0"/>
          <w:color w:val="auto"/>
          <w:kern w:val="0"/>
          <w:sz w:val="32"/>
          <w:szCs w:val="32"/>
          <w:highlight w:val="none"/>
          <w:u w:val="none"/>
          <w:lang w:val="en-US" w:eastAsia="zh-CN" w:bidi="ar-SA"/>
        </w:rPr>
        <w:t>网络、自媒体等方式加强宣传引导，营造良好舆论氛围，传递党和政府对困难群众的关心关怀，切实提高广大群众对提标政策的知晓率。各县区民政、财政部门要加强对提标工作的组织实施，确保在2026年2月10日前按照新的标准执行，并将1月份提标资金补发到位。市民政局将联合市财政局适时进行督导检查，并对各县区政策落实情况进行通报。</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b w:val="0"/>
          <w:bCs w:val="0"/>
          <w:color w:val="auto"/>
          <w:kern w:val="0"/>
          <w:sz w:val="32"/>
          <w:szCs w:val="32"/>
          <w:highlight w:val="none"/>
          <w:u w:val="none"/>
          <w:lang w:val="en-US" w:eastAsia="zh-CN" w:bidi="ar-SA"/>
        </w:rPr>
      </w:pPr>
      <w:bookmarkStart w:id="0" w:name="_GoBack"/>
      <w:bookmarkEnd w:id="0"/>
    </w:p>
    <w:p>
      <w:pPr>
        <w:pStyle w:val="3"/>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kern w:val="0"/>
          <w:sz w:val="32"/>
          <w:szCs w:val="32"/>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kern w:val="0"/>
          <w:sz w:val="32"/>
          <w:szCs w:val="32"/>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b w:val="0"/>
          <w:bCs w:val="0"/>
          <w:color w:val="auto"/>
          <w:kern w:val="0"/>
          <w:sz w:val="32"/>
          <w:szCs w:val="32"/>
          <w:highlight w:val="none"/>
          <w:u w:val="none"/>
          <w:lang w:val="en-US" w:eastAsia="zh-CN" w:bidi="ar-SA"/>
        </w:rPr>
      </w:pPr>
      <w:r>
        <w:rPr>
          <w:rFonts w:hint="default" w:ascii="仿宋_GB2312" w:hAnsi="仿宋_GB2312" w:eastAsia="仿宋_GB2312" w:cs="仿宋_GB2312"/>
          <w:b w:val="0"/>
          <w:bCs w:val="0"/>
          <w:color w:val="auto"/>
          <w:kern w:val="0"/>
          <w:sz w:val="32"/>
          <w:szCs w:val="32"/>
          <w:highlight w:val="none"/>
          <w:u w:val="none"/>
          <w:lang w:val="en-US" w:eastAsia="zh-CN" w:bidi="ar-SA"/>
        </w:rPr>
        <w:t xml:space="preserve">    </w:t>
      </w:r>
      <w:r>
        <w:rPr>
          <w:rFonts w:hint="eastAsia" w:ascii="仿宋_GB2312" w:hAnsi="仿宋_GB2312" w:eastAsia="仿宋_GB2312" w:cs="仿宋_GB2312"/>
          <w:b w:val="0"/>
          <w:bCs w:val="0"/>
          <w:color w:val="auto"/>
          <w:kern w:val="0"/>
          <w:sz w:val="32"/>
          <w:szCs w:val="32"/>
          <w:highlight w:val="none"/>
          <w:u w:val="none"/>
          <w:lang w:val="en-US" w:eastAsia="zh-CN" w:bidi="ar-SA"/>
        </w:rPr>
        <w:t xml:space="preserve">          洛阳市民政局</w:t>
      </w:r>
      <w:r>
        <w:rPr>
          <w:rFonts w:hint="default" w:ascii="仿宋_GB2312" w:hAnsi="仿宋_GB2312" w:eastAsia="仿宋_GB2312" w:cs="仿宋_GB2312"/>
          <w:b w:val="0"/>
          <w:bCs w:val="0"/>
          <w:color w:val="auto"/>
          <w:kern w:val="0"/>
          <w:sz w:val="32"/>
          <w:szCs w:val="32"/>
          <w:highlight w:val="none"/>
          <w:u w:val="none"/>
          <w:lang w:val="en-US" w:eastAsia="zh-CN" w:bidi="ar-SA"/>
        </w:rPr>
        <w:t xml:space="preserve">         洛阳市财政局</w:t>
      </w:r>
    </w:p>
    <w:p>
      <w:pPr>
        <w:rPr>
          <w:rFonts w:hint="default" w:ascii="仿宋_GB2312" w:hAnsi="仿宋_GB2312" w:eastAsia="仿宋_GB2312" w:cs="仿宋_GB2312"/>
          <w:b w:val="0"/>
          <w:bCs w:val="0"/>
          <w:color w:val="auto"/>
          <w:kern w:val="0"/>
          <w:sz w:val="32"/>
          <w:szCs w:val="32"/>
          <w:highlight w:val="none"/>
          <w:u w:val="none"/>
          <w:lang w:val="en-US" w:eastAsia="zh-CN" w:bidi="ar-SA"/>
        </w:rPr>
      </w:pPr>
      <w:r>
        <w:rPr>
          <w:rFonts w:hint="eastAsia" w:ascii="仿宋_GB2312" w:hAnsi="仿宋_GB2312" w:eastAsia="仿宋_GB2312" w:cs="仿宋_GB2312"/>
          <w:b w:val="0"/>
          <w:bCs w:val="0"/>
          <w:color w:val="auto"/>
          <w:kern w:val="0"/>
          <w:sz w:val="32"/>
          <w:szCs w:val="32"/>
          <w:highlight w:val="none"/>
          <w:u w:val="none"/>
          <w:lang w:val="en-US" w:eastAsia="zh-CN" w:bidi="ar-SA"/>
        </w:rPr>
        <w:t xml:space="preserve">                                </w:t>
      </w:r>
      <w:r>
        <w:rPr>
          <w:rFonts w:hint="default" w:ascii="仿宋_GB2312" w:hAnsi="仿宋_GB2312" w:eastAsia="仿宋_GB2312" w:cs="仿宋_GB2312"/>
          <w:b w:val="0"/>
          <w:bCs w:val="0"/>
          <w:color w:val="auto"/>
          <w:kern w:val="0"/>
          <w:sz w:val="32"/>
          <w:szCs w:val="32"/>
          <w:highlight w:val="none"/>
          <w:u w:val="none"/>
          <w:lang w:val="en-US" w:eastAsia="zh-CN" w:bidi="ar-SA"/>
        </w:rPr>
        <w:t xml:space="preserve"> </w:t>
      </w:r>
      <w:r>
        <w:rPr>
          <w:rFonts w:hint="eastAsia" w:ascii="仿宋_GB2312" w:hAnsi="仿宋_GB2312" w:eastAsia="仿宋_GB2312" w:cs="仿宋_GB2312"/>
          <w:b w:val="0"/>
          <w:bCs w:val="0"/>
          <w:color w:val="auto"/>
          <w:kern w:val="0"/>
          <w:sz w:val="32"/>
          <w:szCs w:val="32"/>
          <w:highlight w:val="none"/>
          <w:u w:val="none"/>
          <w:lang w:val="en-US" w:eastAsia="zh-CN" w:bidi="ar-SA"/>
        </w:rPr>
        <w:t>2026年2月10日</w:t>
      </w:r>
    </w:p>
    <w:p>
      <w:pPr>
        <w:keepNext w:val="0"/>
        <w:keepLines w:val="0"/>
        <w:pageBreakBefore w:val="0"/>
        <w:widowControl w:val="0"/>
        <w:kinsoku/>
        <w:wordWrap/>
        <w:overflowPunct/>
        <w:topLinePunct w:val="0"/>
        <w:autoSpaceDE/>
        <w:autoSpaceDN/>
        <w:bidi w:val="0"/>
        <w:adjustRightInd/>
        <w:snapToGrid/>
        <w:spacing w:line="600" w:lineRule="exact"/>
        <w:ind w:firstLine="620" w:firstLineChars="200"/>
        <w:textAlignment w:val="auto"/>
        <w:rPr>
          <w:rFonts w:hint="eastAsia" w:ascii="方正书宋简体" w:hAnsi="方正书宋简体" w:eastAsia="仿宋_GB2312"/>
          <w:color w:val="000000"/>
          <w:sz w:val="31"/>
          <w:szCs w:val="31"/>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NEU-BZ">
    <w:altName w:val="华文仿宋"/>
    <w:panose1 w:val="02010600010101010101"/>
    <w:charset w:val="86"/>
    <w:family w:val="auto"/>
    <w:pitch w:val="default"/>
    <w:sig w:usb0="00000000" w:usb1="00000000" w:usb2="00000016" w:usb3="00000000" w:csb0="00040001"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方正书宋简体">
    <w:altName w:val="方正书宋_GBK"/>
    <w:panose1 w:val="02010601030101010101"/>
    <w:charset w:val="86"/>
    <w:family w:val="script"/>
    <w:pitch w:val="default"/>
    <w:sig w:usb0="00000000" w:usb1="00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sans-serif">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501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">
              <v:fill on="f" focussize="0,0"/>
              <v:stroke on="f" weight="0.5pt"/>
              <v:imagedata o:title=""/>
              <o:lock v:ext="edit" aspectratio="f"/>
              <v:textbox inset="0mm,0mm,0mm,0mm" style="mso-fit-shape-to-text:t;">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9"/>
      <w:wordWrap w:val="0"/>
      <w:ind w:left="895" w:leftChars="407" w:firstLine="10518" w:firstLineChars="3287"/>
      <w:jc w:val="right"/>
      <w:rPr>
        <w:rFonts w:hint="eastAsia"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">
              <v:fill on="f" focussize="0,0"/>
              <v:stroke weight="1.75pt" color="#005192 [3204]" miterlimit="8" joinstyle="miter"/>
              <v:imagedata o:title=""/>
              <o:lock v:ext="edit" aspectratio="f"/>
            </v:line>
          </w:pict>
        </mc:Fallback>
      </mc:AlternateContent>
    </w:r>
    <w:r>
      <w:rPr>
        <w:rFonts w:hint="eastAsia" w:ascii="宋体" w:hAnsi="宋体" w:cs="宋体"/>
        <w:b/>
        <w:bCs/>
        <w:color w:val="005192"/>
        <w:sz w:val="28"/>
        <w:szCs w:val="44"/>
        <w:lang w:val="en-US" w:eastAsia="zh-CN"/>
      </w:rPr>
      <w:t>洛洛阳市民政局</w:t>
    </w:r>
    <w:r>
      <w:rPr>
        <w:rFonts w:hint="eastAsia" w:ascii="宋体" w:hAnsi="宋体" w:eastAsia="宋体" w:cs="宋体"/>
        <w:b/>
        <w:bCs/>
        <w:color w:val="005192"/>
        <w:sz w:val="28"/>
        <w:szCs w:val="44"/>
        <w:lang w:val="en-US" w:eastAsia="zh-CN"/>
      </w:rPr>
      <w:t xml:space="preserve">发布    </w:t>
    </w:r>
  </w:p>
  <w:p>
    <w:pPr>
      <w:pStyle w:val="9"/>
      <w:wordWrap w:val="0"/>
      <w:ind w:left="5016"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&#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">
              <v:fill on="f" focussize="0,0"/>
              <v:stroke weight="1.75pt" color="#005192 [3204]" miterlimit="8" joinstyle="miter"/>
              <v:imagedata o:title=""/>
              <o:lock v:ext="edit" aspectratio="f"/>
            </v:line>
          </w:pict>
        </mc:Fallback>
      </mc:AlternateContent>
    </w:r>
  </w:p>
  <w:p>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cs="宋体"/>
        <w:b/>
        <w:bCs/>
        <w:color w:val="005192"/>
        <w:sz w:val="32"/>
        <w:lang w:eastAsia="zh-CN"/>
      </w:rPr>
      <w:t>洛阳市民政</w:t>
    </w:r>
    <w:r>
      <w:rPr>
        <w:rFonts w:hint="eastAsia" w:ascii="宋体" w:hAnsi="宋体" w:cs="宋体"/>
        <w:b/>
        <w:bCs/>
        <w:color w:val="005192"/>
        <w:sz w:val="32"/>
        <w:szCs w:val="32"/>
        <w:lang w:val="en-US" w:eastAsia="zh-CN"/>
      </w:rPr>
      <w:t>局行政规范性文件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FiZTQyZTY1N2IwODA3ZTNhNjc4NTExMTAzNzdhYjkifQ=="/>
  </w:docVars>
  <w:rsids>
    <w:rsidRoot w:val="7C9011D9"/>
    <w:rsid w:val="019E71BD"/>
    <w:rsid w:val="05440955"/>
    <w:rsid w:val="066E5641"/>
    <w:rsid w:val="06A67E67"/>
    <w:rsid w:val="080F63D8"/>
    <w:rsid w:val="09006E92"/>
    <w:rsid w:val="09341458"/>
    <w:rsid w:val="09553C02"/>
    <w:rsid w:val="0CE65B2C"/>
    <w:rsid w:val="0D5C5CF8"/>
    <w:rsid w:val="0ED818A4"/>
    <w:rsid w:val="101F0538"/>
    <w:rsid w:val="10254BD6"/>
    <w:rsid w:val="129E7932"/>
    <w:rsid w:val="13A23C39"/>
    <w:rsid w:val="152D2DCA"/>
    <w:rsid w:val="1C86388D"/>
    <w:rsid w:val="1E466CFF"/>
    <w:rsid w:val="1FFBC3FD"/>
    <w:rsid w:val="22440422"/>
    <w:rsid w:val="23F13B42"/>
    <w:rsid w:val="23FD7C76"/>
    <w:rsid w:val="287C616C"/>
    <w:rsid w:val="2FCE575A"/>
    <w:rsid w:val="2FFC7EDE"/>
    <w:rsid w:val="31A15F24"/>
    <w:rsid w:val="39A232A0"/>
    <w:rsid w:val="3A1C636B"/>
    <w:rsid w:val="3B5A6BBB"/>
    <w:rsid w:val="3BE16DE7"/>
    <w:rsid w:val="3E0E7999"/>
    <w:rsid w:val="3EDA13A6"/>
    <w:rsid w:val="3EEF294B"/>
    <w:rsid w:val="3F5730EA"/>
    <w:rsid w:val="3FF39F44"/>
    <w:rsid w:val="3FF78062"/>
    <w:rsid w:val="3FF9D5BA"/>
    <w:rsid w:val="42F058B7"/>
    <w:rsid w:val="436109F6"/>
    <w:rsid w:val="441A38D4"/>
    <w:rsid w:val="474E2EF2"/>
    <w:rsid w:val="49B91357"/>
    <w:rsid w:val="4AEC52E8"/>
    <w:rsid w:val="4BC77339"/>
    <w:rsid w:val="4C9236C5"/>
    <w:rsid w:val="4E2A37E2"/>
    <w:rsid w:val="50414CBD"/>
    <w:rsid w:val="51E247E8"/>
    <w:rsid w:val="526F08CC"/>
    <w:rsid w:val="52F46F0B"/>
    <w:rsid w:val="55274B4C"/>
    <w:rsid w:val="55E064E0"/>
    <w:rsid w:val="57F59C46"/>
    <w:rsid w:val="5A4F3EF9"/>
    <w:rsid w:val="5D0D7ECB"/>
    <w:rsid w:val="5E6FAA47"/>
    <w:rsid w:val="5FA725F4"/>
    <w:rsid w:val="608816D1"/>
    <w:rsid w:val="69D03F98"/>
    <w:rsid w:val="6A5B8DC5"/>
    <w:rsid w:val="6A7F4576"/>
    <w:rsid w:val="6BF75DB0"/>
    <w:rsid w:val="6D0E3F22"/>
    <w:rsid w:val="6DEDCACC"/>
    <w:rsid w:val="6FFDAB0D"/>
    <w:rsid w:val="70AF1C83"/>
    <w:rsid w:val="714A2531"/>
    <w:rsid w:val="71C61E01"/>
    <w:rsid w:val="71E9213F"/>
    <w:rsid w:val="75AA717D"/>
    <w:rsid w:val="769D2EAA"/>
    <w:rsid w:val="7C9011D9"/>
    <w:rsid w:val="7CFB3184"/>
    <w:rsid w:val="7D963550"/>
    <w:rsid w:val="7DC651C5"/>
    <w:rsid w:val="7DFBC28B"/>
    <w:rsid w:val="7EEEFEEF"/>
    <w:rsid w:val="7EFD5AF4"/>
    <w:rsid w:val="7EFDE43E"/>
    <w:rsid w:val="7FCFD07A"/>
    <w:rsid w:val="7FD3D5CF"/>
    <w:rsid w:val="7FE27FBA"/>
    <w:rsid w:val="7FED60B9"/>
    <w:rsid w:val="7FF6E8A4"/>
    <w:rsid w:val="9A6F095D"/>
    <w:rsid w:val="9FFD059F"/>
    <w:rsid w:val="AF7F4B14"/>
    <w:rsid w:val="D5F6BFC8"/>
    <w:rsid w:val="D6DD9B99"/>
    <w:rsid w:val="D78FF5B7"/>
    <w:rsid w:val="D95FC5F1"/>
    <w:rsid w:val="DACF7BFF"/>
    <w:rsid w:val="DBF4C527"/>
    <w:rsid w:val="DD9D4FD5"/>
    <w:rsid w:val="DEF46044"/>
    <w:rsid w:val="DEFF1FC4"/>
    <w:rsid w:val="E7D4B1B4"/>
    <w:rsid w:val="EFF6FB22"/>
    <w:rsid w:val="F5F718B9"/>
    <w:rsid w:val="F7CE0210"/>
    <w:rsid w:val="F7FD29AF"/>
    <w:rsid w:val="FBDE0393"/>
    <w:rsid w:val="FDB75BAD"/>
    <w:rsid w:val="FFAFF94B"/>
    <w:rsid w:val="FFDA27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NEU-BZ" w:eastAsia="宋体" w:cs="Times New Roman"/>
      <w:sz w:val="22"/>
      <w:szCs w:val="22"/>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qFormat/>
    <w:uiPriority w:val="0"/>
    <w:pPr>
      <w:keepNext/>
      <w:keepLines/>
      <w:spacing w:before="100" w:beforeLines="100" w:after="100" w:afterLines="100" w:line="600" w:lineRule="exact"/>
      <w:jc w:val="center"/>
      <w:outlineLvl w:val="1"/>
    </w:pPr>
    <w:rPr>
      <w:rFonts w:ascii="黑体" w:hAnsi="Arial" w:eastAsia="黑体"/>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qFormat/>
    <w:uiPriority w:val="0"/>
    <w:pPr>
      <w:spacing w:after="120"/>
      <w:ind w:firstLine="420" w:firstLineChars="100"/>
      <w:jc w:val="both"/>
    </w:pPr>
    <w:rPr>
      <w:rFonts w:eastAsia="仿宋_GB2312"/>
      <w:sz w:val="32"/>
      <w:szCs w:val="32"/>
    </w:rPr>
  </w:style>
  <w:style w:type="paragraph" w:styleId="3">
    <w:name w:val="Body Text"/>
    <w:basedOn w:val="1"/>
    <w:next w:val="1"/>
    <w:qFormat/>
    <w:uiPriority w:val="0"/>
    <w:pPr>
      <w:jc w:val="center"/>
    </w:pPr>
    <w:rPr>
      <w:rFonts w:eastAsia="宋体"/>
      <w:sz w:val="44"/>
      <w:szCs w:val="20"/>
    </w:rPr>
  </w:style>
  <w:style w:type="paragraph" w:styleId="6">
    <w:name w:val="Block Text"/>
    <w:basedOn w:val="1"/>
    <w:qFormat/>
    <w:uiPriority w:val="0"/>
    <w:pPr>
      <w:spacing w:after="120"/>
      <w:ind w:left="1440" w:leftChars="700" w:right="1440" w:rightChars="700"/>
    </w:pPr>
  </w:style>
  <w:style w:type="paragraph" w:styleId="7">
    <w:name w:val="Plain Text"/>
    <w:basedOn w:val="1"/>
    <w:qFormat/>
    <w:uiPriority w:val="99"/>
    <w:rPr>
      <w:rFonts w:ascii="宋体" w:hAnsi="宋体" w:eastAsia="宋体" w:cs="宋体"/>
      <w:sz w:val="21"/>
      <w:szCs w:val="21"/>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3">
    <w:name w:val="page number"/>
    <w:basedOn w:val="12"/>
    <w:qFormat/>
    <w:uiPriority w:val="0"/>
  </w:style>
  <w:style w:type="paragraph" w:customStyle="1" w:styleId="14">
    <w:name w:val="15.5正文（仿宋GB）"/>
    <w:basedOn w:val="1"/>
    <w:qFormat/>
    <w:uiPriority w:val="0"/>
    <w:pPr>
      <w:ind w:firstLine="200" w:firstLineChars="200"/>
    </w:pPr>
    <w:rPr>
      <w:rFonts w:ascii="方正书宋简体" w:hAnsi="方正书宋简体" w:eastAsia="仿宋_GB2312"/>
      <w:color w:val="000000"/>
      <w:sz w:val="31"/>
      <w:szCs w:val="31"/>
    </w:rPr>
  </w:style>
  <w:style w:type="paragraph" w:customStyle="1" w:styleId="15">
    <w:name w:val="一级标题（二号小标宋）"/>
    <w:basedOn w:val="1"/>
    <w:link w:val="18"/>
    <w:qFormat/>
    <w:uiPriority w:val="0"/>
    <w:pPr>
      <w:jc w:val="center"/>
    </w:pPr>
    <w:rPr>
      <w:rFonts w:ascii="方正书宋简体" w:hAnsi="方正书宋简体" w:eastAsia="方正小标宋_GBK"/>
      <w:color w:val="000000"/>
      <w:sz w:val="42"/>
      <w:szCs w:val="42"/>
    </w:rPr>
  </w:style>
  <w:style w:type="paragraph" w:customStyle="1" w:styleId="16">
    <w:name w:val="15.5楷体（标题下楷体）"/>
    <w:basedOn w:val="1"/>
    <w:qFormat/>
    <w:uiPriority w:val="0"/>
    <w:pPr>
      <w:spacing w:before="105"/>
      <w:ind w:firstLine="200" w:firstLineChars="200"/>
      <w:jc w:val="center"/>
    </w:pPr>
    <w:rPr>
      <w:rFonts w:ascii="方正书宋简体" w:hAnsi="方正书宋简体" w:eastAsia="楷体_GB2312"/>
      <w:color w:val="000000"/>
      <w:sz w:val="31"/>
      <w:szCs w:val="31"/>
    </w:rPr>
  </w:style>
  <w:style w:type="paragraph" w:customStyle="1" w:styleId="17">
    <w:name w:val="样式3"/>
    <w:basedOn w:val="1"/>
    <w:qFormat/>
    <w:uiPriority w:val="0"/>
    <w:pPr>
      <w:widowControl w:val="0"/>
      <w:adjustRightInd w:val="0"/>
      <w:snapToGrid w:val="0"/>
      <w:spacing w:before="100" w:beforeLines="100" w:after="100" w:afterLines="100" w:line="600" w:lineRule="exact"/>
      <w:jc w:val="center"/>
    </w:pPr>
    <w:rPr>
      <w:rFonts w:ascii="方正书宋简体" w:hAnsi="方正书宋简体" w:eastAsia="楷体_GB2312"/>
      <w:color w:val="000000"/>
      <w:sz w:val="31"/>
      <w:szCs w:val="31"/>
    </w:rPr>
  </w:style>
  <w:style w:type="character" w:customStyle="1" w:styleId="18">
    <w:name w:val="一级标题（二号小标宋） Char"/>
    <w:basedOn w:val="12"/>
    <w:link w:val="15"/>
    <w:qFormat/>
    <w:uiPriority w:val="0"/>
    <w:rPr>
      <w:rFonts w:ascii="方正书宋简体" w:hAnsi="方正书宋简体" w:eastAsia="方正小标宋_GBK"/>
      <w:color w:val="000000"/>
      <w:sz w:val="42"/>
      <w:szCs w:val="42"/>
    </w:rPr>
  </w:style>
  <w:style w:type="table" w:customStyle="1" w:styleId="19">
    <w:name w:val="Table Normal"/>
    <w:unhideWhenUsed/>
    <w:qFormat/>
    <w:uiPriority w:val="0"/>
    <w:tblPr>
      <w:tblCellMar>
        <w:top w:w="0" w:type="dxa"/>
        <w:left w:w="0" w:type="dxa"/>
        <w:bottom w:w="0" w:type="dxa"/>
        <w:right w:w="0" w:type="dxa"/>
      </w:tblCellMar>
    </w:tblPr>
  </w:style>
  <w:style w:type="paragraph" w:customStyle="1" w:styleId="20">
    <w:name w:val=" Char Char Char1 Char Char Char Char"/>
    <w:basedOn w:val="1"/>
    <w:semiHidden/>
    <w:qFormat/>
    <w:uiPriority w:val="0"/>
    <w:rPr>
      <w:rFonts w:eastAsia="宋体"/>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1017</Words>
  <Characters>1069</Characters>
  <Lines>0</Lines>
  <Paragraphs>0</Paragraphs>
  <TotalTime>5</TotalTime>
  <ScaleCrop>false</ScaleCrop>
  <LinksUpToDate>false</LinksUpToDate>
  <CharactersWithSpaces>1139</CharactersWithSpaces>
  <Application>WPS Office_11.8.2.11625_F1E327BC-269C-435d-A152-05C5408002CA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2021-09-14T18:41:00Z</dcterms:created>
  <dc:creator>t</dc:creator>
  <cp:lastModifiedBy>greatwall</cp:lastModifiedBy>
  <cp:lastPrinted>2024-03-22T03:33:00Z</cp:lastPrinted>
  <dcterms:modified xsi:type="dcterms:W3CDTF">2026-02-13T15:21:12Z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2052-11.8.2.11625</vt:lpwstr>
  </property>
  <property fmtid="{D5CDD505-2E9C-101B-9397-08002B2CF9AE}" pid="3" name="ICV">
    <vt:lpwstr>94ED227DC04B74BF224099684596D18B_43</vt:lpwstr>
  </property>
</Properties>
</file>