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0" w:line="550" w:lineRule="exact"/>
        <w:ind w:firstLine="0" w:firstLineChars="0"/>
        <w:jc w:val="both"/>
        <w:textAlignment w:val="auto"/>
        <w:rPr>
          <w:rFonts w:hint="default" w:ascii="Times New Roman" w:hAnsi="Times New Roman" w:eastAsia="文星标宋" w:cs="Times New Roman"/>
          <w:sz w:val="44"/>
        </w:rPr>
      </w:pPr>
    </w:p>
    <w:p>
      <w:pPr>
        <w:widowControl w:val="0"/>
        <w:kinsoku/>
        <w:overflowPunct w:val="0"/>
        <w:autoSpaceDE/>
        <w:autoSpaceDN/>
        <w:adjustRightInd/>
        <w:snapToGrid/>
        <w:spacing w:line="570" w:lineRule="exact"/>
        <w:jc w:val="center"/>
        <w:textAlignment w:val="auto"/>
        <w:rPr>
          <w:rFonts w:ascii="Times New Roman" w:hAnsi="Times New Roman" w:eastAsia="方正小标宋简体" w:cs="Times New Roman"/>
          <w:snapToGrid/>
          <w:color w:val="000000" w:themeColor="text1"/>
          <w:kern w:val="2"/>
          <w:sz w:val="44"/>
          <w:szCs w:val="44"/>
          <w:lang w:eastAsia="zh-CN"/>
          <w14:textFill>
            <w14:solidFill>
              <w14:schemeClr w14:val="tx1"/>
            </w14:solidFill>
          </w14:textFill>
        </w:rPr>
      </w:pPr>
      <w:r>
        <w:rPr>
          <w:rFonts w:ascii="Times New Roman" w:hAnsi="Times New Roman" w:eastAsia="方正小标宋简体" w:cs="Times New Roman"/>
          <w:snapToGrid/>
          <w:color w:val="000000" w:themeColor="text1"/>
          <w:kern w:val="2"/>
          <w:sz w:val="44"/>
          <w:szCs w:val="44"/>
          <w:lang w:eastAsia="zh-CN"/>
          <w14:textFill>
            <w14:solidFill>
              <w14:schemeClr w14:val="tx1"/>
            </w14:solidFill>
          </w14:textFill>
        </w:rPr>
        <w:t>宜阳县人民政府</w:t>
      </w:r>
    </w:p>
    <w:p>
      <w:pPr>
        <w:widowControl w:val="0"/>
        <w:kinsoku/>
        <w:overflowPunct w:val="0"/>
        <w:autoSpaceDE/>
        <w:autoSpaceDN/>
        <w:adjustRightInd/>
        <w:snapToGrid/>
        <w:spacing w:line="570" w:lineRule="exact"/>
        <w:jc w:val="center"/>
        <w:textAlignment w:val="auto"/>
        <w:rPr>
          <w:rFonts w:ascii="Times New Roman" w:hAnsi="Times New Roman" w:eastAsia="方正小标宋简体" w:cs="Times New Roman"/>
          <w:snapToGrid/>
          <w:color w:val="000000" w:themeColor="text1"/>
          <w:kern w:val="2"/>
          <w:sz w:val="44"/>
          <w:szCs w:val="44"/>
          <w:lang w:eastAsia="zh-CN"/>
          <w14:textFill>
            <w14:solidFill>
              <w14:schemeClr w14:val="tx1"/>
            </w14:solidFill>
          </w14:textFill>
        </w:rPr>
      </w:pPr>
      <w:r>
        <w:rPr>
          <w:rFonts w:ascii="Times New Roman" w:hAnsi="Times New Roman" w:eastAsia="方正小标宋简体" w:cs="Times New Roman"/>
          <w:snapToGrid/>
          <w:color w:val="000000" w:themeColor="text1"/>
          <w:kern w:val="2"/>
          <w:sz w:val="44"/>
          <w:szCs w:val="44"/>
          <w:lang w:eastAsia="zh-CN"/>
          <w14:textFill>
            <w14:solidFill>
              <w14:schemeClr w14:val="tx1"/>
            </w14:solidFill>
          </w14:textFill>
        </w:rPr>
        <w:t>关于印发经济适用住房上市交易管理的</w:t>
      </w:r>
    </w:p>
    <w:p>
      <w:pPr>
        <w:widowControl w:val="0"/>
        <w:kinsoku/>
        <w:overflowPunct w:val="0"/>
        <w:autoSpaceDE/>
        <w:autoSpaceDN/>
        <w:adjustRightInd/>
        <w:snapToGrid/>
        <w:spacing w:line="570" w:lineRule="exact"/>
        <w:jc w:val="center"/>
        <w:textAlignment w:val="auto"/>
        <w:rPr>
          <w:rFonts w:ascii="Times New Roman" w:hAnsi="Times New Roman" w:eastAsia="方正小标宋简体" w:cs="Times New Roman"/>
          <w:snapToGrid/>
          <w:color w:val="000000" w:themeColor="text1"/>
          <w:kern w:val="2"/>
          <w:sz w:val="44"/>
          <w:szCs w:val="44"/>
          <w:lang w:eastAsia="zh-CN"/>
          <w14:textFill>
            <w14:solidFill>
              <w14:schemeClr w14:val="tx1"/>
            </w14:solidFill>
          </w14:textFill>
        </w:rPr>
      </w:pPr>
      <w:r>
        <w:rPr>
          <w:rFonts w:ascii="Times New Roman" w:hAnsi="Times New Roman" w:eastAsia="方正小标宋简体" w:cs="Times New Roman"/>
          <w:snapToGrid/>
          <w:color w:val="000000" w:themeColor="text1"/>
          <w:kern w:val="2"/>
          <w:sz w:val="44"/>
          <w:szCs w:val="44"/>
          <w:lang w:eastAsia="zh-CN"/>
          <w14:textFill>
            <w14:solidFill>
              <w14:schemeClr w14:val="tx1"/>
            </w14:solidFill>
          </w14:textFill>
        </w:rPr>
        <w:t xml:space="preserve">意    </w:t>
      </w:r>
      <w:r>
        <w:rPr>
          <w:rFonts w:hint="eastAsia" w:ascii="Times New Roman" w:hAnsi="Times New Roman" w:eastAsia="方正小标宋简体" w:cs="Times New Roman"/>
          <w:snapToGrid/>
          <w:color w:val="000000" w:themeColor="text1"/>
          <w:kern w:val="2"/>
          <w:sz w:val="44"/>
          <w:szCs w:val="44"/>
          <w:lang w:eastAsia="zh-CN"/>
          <w14:textFill>
            <w14:solidFill>
              <w14:schemeClr w14:val="tx1"/>
            </w14:solidFill>
          </w14:textFill>
        </w:rPr>
        <w:t xml:space="preserve">  </w:t>
      </w:r>
      <w:r>
        <w:rPr>
          <w:rFonts w:ascii="Times New Roman" w:hAnsi="Times New Roman" w:eastAsia="方正小标宋简体" w:cs="Times New Roman"/>
          <w:snapToGrid/>
          <w:color w:val="000000" w:themeColor="text1"/>
          <w:kern w:val="2"/>
          <w:sz w:val="44"/>
          <w:szCs w:val="44"/>
          <w:lang w:eastAsia="zh-CN"/>
          <w14:textFill>
            <w14:solidFill>
              <w14:schemeClr w14:val="tx1"/>
            </w14:solidFill>
          </w14:textFill>
        </w:rPr>
        <w:t xml:space="preserve"> 见</w:t>
      </w:r>
    </w:p>
    <w:p>
      <w:pPr>
        <w:widowControl w:val="0"/>
        <w:kinsoku/>
        <w:overflowPunct w:val="0"/>
        <w:autoSpaceDE/>
        <w:autoSpaceDN/>
        <w:adjustRightInd/>
        <w:spacing w:line="600" w:lineRule="exact"/>
        <w:jc w:val="center"/>
        <w:textAlignment w:val="auto"/>
        <w:rPr>
          <w:rFonts w:ascii="Times New Roman" w:hAnsi="Times New Roman" w:eastAsia="仿宋_GB2312" w:cs="Times New Roman"/>
          <w:snapToGrid/>
          <w:color w:val="000000" w:themeColor="text1"/>
          <w:kern w:val="2"/>
          <w:sz w:val="32"/>
          <w:szCs w:val="32"/>
          <w:lang w:eastAsia="zh-CN"/>
          <w14:textFill>
            <w14:solidFill>
              <w14:schemeClr w14:val="tx1"/>
            </w14:solidFill>
          </w14:textFill>
        </w:rPr>
      </w:pPr>
      <w:r>
        <w:rPr>
          <w:rFonts w:ascii="Times New Roman" w:hAnsi="Times New Roman" w:eastAsia="仿宋_GB2312" w:cs="Times New Roman"/>
          <w:snapToGrid/>
          <w:color w:val="000000" w:themeColor="text1"/>
          <w:kern w:val="2"/>
          <w:sz w:val="32"/>
          <w:szCs w:val="32"/>
          <w:lang w:eastAsia="zh-CN"/>
          <w14:textFill>
            <w14:solidFill>
              <w14:schemeClr w14:val="tx1"/>
            </w14:solidFill>
          </w14:textFill>
        </w:rPr>
        <w:t>宜政〔2026〕</w:t>
      </w:r>
      <w:r>
        <w:rPr>
          <w:rFonts w:hint="eastAsia" w:ascii="Times New Roman" w:hAnsi="Times New Roman" w:eastAsia="仿宋_GB2312" w:cs="Times New Roman"/>
          <w:snapToGrid/>
          <w:color w:val="000000" w:themeColor="text1"/>
          <w:kern w:val="2"/>
          <w:sz w:val="32"/>
          <w:szCs w:val="32"/>
          <w:lang w:eastAsia="zh-CN"/>
          <w14:textFill>
            <w14:solidFill>
              <w14:schemeClr w14:val="tx1"/>
            </w14:solidFill>
          </w14:textFill>
        </w:rPr>
        <w:t>1</w:t>
      </w:r>
      <w:r>
        <w:rPr>
          <w:rFonts w:ascii="Times New Roman" w:hAnsi="Times New Roman" w:eastAsia="仿宋_GB2312" w:cs="Times New Roman"/>
          <w:snapToGrid/>
          <w:color w:val="000000" w:themeColor="text1"/>
          <w:kern w:val="2"/>
          <w:sz w:val="32"/>
          <w:szCs w:val="32"/>
          <w:lang w:eastAsia="zh-CN"/>
          <w14:textFill>
            <w14:solidFill>
              <w14:schemeClr w14:val="tx1"/>
            </w14:solidFill>
          </w14:textFill>
        </w:rPr>
        <w:t>号</w:t>
      </w:r>
    </w:p>
    <w:p>
      <w:pPr>
        <w:keepNext w:val="0"/>
        <w:keepLines w:val="0"/>
        <w:pageBreakBefore w:val="0"/>
        <w:widowControl w:val="0"/>
        <w:kinsoku/>
        <w:wordWrap/>
        <w:overflowPunct/>
        <w:topLinePunct w:val="0"/>
        <w:autoSpaceDE/>
        <w:autoSpaceDN/>
        <w:bidi w:val="0"/>
        <w:adjustRightInd/>
        <w:spacing w:before="0" w:after="0" w:line="570" w:lineRule="exact"/>
        <w:rPr>
          <w:rFonts w:hint="default" w:ascii="Times New Roman" w:hAnsi="Times New Roman" w:eastAsia="仿宋_GB2312" w:cs="Times New Roman"/>
          <w:sz w:val="32"/>
        </w:rPr>
      </w:pPr>
    </w:p>
    <w:p>
      <w:pPr>
        <w:widowControl w:val="0"/>
        <w:kinsoku/>
        <w:overflowPunct w:val="0"/>
        <w:autoSpaceDE/>
        <w:autoSpaceDN/>
        <w:adjustRightInd/>
        <w:snapToGrid/>
        <w:spacing w:line="570" w:lineRule="exact"/>
        <w:jc w:val="both"/>
        <w:textAlignment w:val="auto"/>
        <w:rPr>
          <w:rFonts w:ascii="Times New Roman" w:hAnsi="Times New Roman" w:eastAsia="仿宋_GB2312" w:cs="Times New Roman"/>
          <w:snapToGrid/>
          <w:color w:val="000000" w:themeColor="text1"/>
          <w:kern w:val="2"/>
          <w:sz w:val="32"/>
          <w:szCs w:val="32"/>
          <w:lang w:eastAsia="zh-CN"/>
          <w14:textFill>
            <w14:solidFill>
              <w14:schemeClr w14:val="tx1"/>
            </w14:solidFill>
          </w14:textFill>
        </w:rPr>
      </w:pPr>
      <w:r>
        <w:rPr>
          <w:rFonts w:ascii="Times New Roman" w:hAnsi="Times New Roman" w:eastAsia="仿宋_GB2312" w:cs="Times New Roman"/>
          <w:snapToGrid/>
          <w:color w:val="000000" w:themeColor="text1"/>
          <w:kern w:val="2"/>
          <w:sz w:val="32"/>
          <w:szCs w:val="32"/>
          <w:lang w:eastAsia="zh-CN"/>
          <w14:textFill>
            <w14:solidFill>
              <w14:schemeClr w14:val="tx1"/>
            </w14:solidFill>
          </w14:textFill>
        </w:rPr>
        <w:t>各乡镇人民政府，县人民政府有关部门，各有关单位：</w:t>
      </w:r>
    </w:p>
    <w:p>
      <w:pPr>
        <w:widowControl w:val="0"/>
        <w:kinsoku/>
        <w:overflowPunct w:val="0"/>
        <w:autoSpaceDE/>
        <w:autoSpaceDN/>
        <w:adjustRightInd/>
        <w:snapToGrid/>
        <w:spacing w:line="570" w:lineRule="exact"/>
        <w:ind w:firstLine="640" w:firstLineChars="200"/>
        <w:jc w:val="both"/>
        <w:textAlignment w:val="auto"/>
        <w:rPr>
          <w:rFonts w:ascii="Times New Roman" w:hAnsi="Times New Roman" w:eastAsia="仿宋_GB2312" w:cs="Times New Roman"/>
          <w:snapToGrid/>
          <w:color w:val="000000" w:themeColor="text1"/>
          <w:kern w:val="2"/>
          <w:sz w:val="32"/>
          <w:szCs w:val="32"/>
          <w:lang w:eastAsia="zh-CN"/>
          <w14:textFill>
            <w14:solidFill>
              <w14:schemeClr w14:val="tx1"/>
            </w14:solidFill>
          </w14:textFill>
        </w:rPr>
      </w:pPr>
      <w:r>
        <w:rPr>
          <w:rFonts w:ascii="Times New Roman" w:hAnsi="Times New Roman" w:eastAsia="仿宋_GB2312" w:cs="Times New Roman"/>
          <w:snapToGrid/>
          <w:color w:val="000000" w:themeColor="text1"/>
          <w:kern w:val="2"/>
          <w:sz w:val="32"/>
          <w:szCs w:val="32"/>
          <w:lang w:eastAsia="zh-CN"/>
          <w14:textFill>
            <w14:solidFill>
              <w14:schemeClr w14:val="tx1"/>
            </w14:solidFill>
          </w14:textFill>
        </w:rPr>
        <w:t>《宜阳县人民政府关于经济适用住房上市交易管理的意见》已经县政府第22次常务会议研究通过，现印发给你们，请认真遵照执行。</w:t>
      </w:r>
    </w:p>
    <w:p>
      <w:pPr>
        <w:widowControl w:val="0"/>
        <w:kinsoku/>
        <w:overflowPunct w:val="0"/>
        <w:autoSpaceDE/>
        <w:autoSpaceDN/>
        <w:adjustRightInd/>
        <w:snapToGrid/>
        <w:spacing w:line="570" w:lineRule="exact"/>
        <w:ind w:firstLine="640" w:firstLineChars="200"/>
        <w:jc w:val="both"/>
        <w:textAlignment w:val="auto"/>
        <w:rPr>
          <w:rFonts w:ascii="Times New Roman" w:hAnsi="Times New Roman" w:eastAsia="仿宋_GB2312" w:cs="Times New Roman"/>
          <w:snapToGrid/>
          <w:color w:val="000000" w:themeColor="text1"/>
          <w:kern w:val="2"/>
          <w:sz w:val="32"/>
          <w:szCs w:val="32"/>
          <w:lang w:eastAsia="zh-CN"/>
          <w14:textFill>
            <w14:solidFill>
              <w14:schemeClr w14:val="tx1"/>
            </w14:solidFill>
          </w14:textFill>
        </w:rPr>
      </w:pPr>
    </w:p>
    <w:p>
      <w:pPr>
        <w:widowControl w:val="0"/>
        <w:kinsoku/>
        <w:overflowPunct w:val="0"/>
        <w:autoSpaceDE/>
        <w:autoSpaceDN/>
        <w:adjustRightInd/>
        <w:snapToGrid/>
        <w:spacing w:line="570" w:lineRule="exact"/>
        <w:ind w:firstLine="640" w:firstLineChars="200"/>
        <w:jc w:val="both"/>
        <w:textAlignment w:val="auto"/>
        <w:rPr>
          <w:rFonts w:ascii="Times New Roman" w:hAnsi="Times New Roman" w:eastAsia="仿宋_GB2312" w:cs="Times New Roman"/>
          <w:snapToGrid/>
          <w:color w:val="000000" w:themeColor="text1"/>
          <w:kern w:val="2"/>
          <w:sz w:val="32"/>
          <w:szCs w:val="32"/>
          <w:lang w:eastAsia="zh-CN"/>
          <w14:textFill>
            <w14:solidFill>
              <w14:schemeClr w14:val="tx1"/>
            </w14:solidFill>
          </w14:textFill>
        </w:rPr>
      </w:pPr>
    </w:p>
    <w:p>
      <w:pPr>
        <w:widowControl w:val="0"/>
        <w:kinsoku/>
        <w:overflowPunct w:val="0"/>
        <w:autoSpaceDE/>
        <w:autoSpaceDN/>
        <w:adjustRightInd/>
        <w:snapToGrid/>
        <w:spacing w:line="570" w:lineRule="exact"/>
        <w:ind w:firstLine="640" w:firstLineChars="200"/>
        <w:jc w:val="both"/>
        <w:textAlignment w:val="auto"/>
        <w:rPr>
          <w:rFonts w:ascii="Times New Roman" w:hAnsi="Times New Roman" w:eastAsia="仿宋_GB2312" w:cs="Times New Roman"/>
          <w:snapToGrid/>
          <w:color w:val="000000" w:themeColor="text1"/>
          <w:kern w:val="2"/>
          <w:sz w:val="32"/>
          <w:szCs w:val="32"/>
          <w:lang w:eastAsia="zh-CN"/>
          <w14:textFill>
            <w14:solidFill>
              <w14:schemeClr w14:val="tx1"/>
            </w14:solidFill>
          </w14:textFill>
        </w:rPr>
      </w:pPr>
    </w:p>
    <w:p>
      <w:pPr>
        <w:pStyle w:val="17"/>
        <w:keepNext w:val="0"/>
        <w:keepLines w:val="0"/>
        <w:pageBreakBefore w:val="0"/>
        <w:widowControl w:val="0"/>
        <w:shd w:val="clear" w:color="auto" w:fill="auto"/>
        <w:tabs>
          <w:tab w:val="left" w:pos="1471"/>
        </w:tabs>
        <w:kinsoku/>
        <w:wordWrap/>
        <w:overflowPunct/>
        <w:topLinePunct w:val="0"/>
        <w:autoSpaceDE/>
        <w:autoSpaceDN/>
        <w:bidi w:val="0"/>
        <w:adjustRightInd/>
        <w:snapToGrid/>
        <w:spacing w:before="0" w:after="0" w:line="570" w:lineRule="exact"/>
        <w:ind w:left="0" w:right="0" w:firstLine="700"/>
        <w:jc w:val="right"/>
        <w:textAlignment w:val="auto"/>
        <w:rPr>
          <w:rFonts w:ascii="Times New Roman" w:hAnsi="Times New Roman" w:eastAsia="仿宋_GB2312" w:cs="Times New Roman"/>
          <w:snapToGrid/>
          <w:color w:val="000000" w:themeColor="text1"/>
          <w:kern w:val="2"/>
          <w:sz w:val="32"/>
          <w:szCs w:val="32"/>
          <w:lang w:eastAsia="zh-CN"/>
          <w14:textFill>
            <w14:solidFill>
              <w14:schemeClr w14:val="tx1"/>
            </w14:solidFill>
          </w14:textFill>
        </w:rPr>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pPr>
      <w:r>
        <w:rPr>
          <w:rFonts w:ascii="Times New Roman" w:hAnsi="Times New Roman" w:eastAsia="仿宋_GB2312" w:cs="Times New Roman"/>
          <w:snapToGrid/>
          <w:color w:val="000000" w:themeColor="text1"/>
          <w:kern w:val="2"/>
          <w:sz w:val="32"/>
          <w:szCs w:val="32"/>
          <w:lang w:eastAsia="zh-CN"/>
          <w14:textFill>
            <w14:solidFill>
              <w14:schemeClr w14:val="tx1"/>
            </w14:solidFill>
          </w14:textFill>
        </w:rPr>
        <w:t>2026年1月</w:t>
      </w:r>
      <w:r>
        <w:rPr>
          <w:rFonts w:hint="eastAsia" w:ascii="Times New Roman" w:hAnsi="Times New Roman" w:eastAsia="仿宋_GB2312" w:cs="Times New Roman"/>
          <w:snapToGrid/>
          <w:color w:val="000000" w:themeColor="text1"/>
          <w:kern w:val="2"/>
          <w:sz w:val="32"/>
          <w:szCs w:val="32"/>
          <w:lang w:eastAsia="zh-CN"/>
          <w14:textFill>
            <w14:solidFill>
              <w14:schemeClr w14:val="tx1"/>
            </w14:solidFill>
          </w14:textFill>
        </w:rPr>
        <w:t>29</w:t>
      </w:r>
      <w:r>
        <w:rPr>
          <w:rFonts w:ascii="Times New Roman" w:hAnsi="Times New Roman" w:eastAsia="仿宋_GB2312" w:cs="Times New Roman"/>
          <w:snapToGrid/>
          <w:color w:val="000000" w:themeColor="text1"/>
          <w:kern w:val="2"/>
          <w:sz w:val="32"/>
          <w:szCs w:val="32"/>
          <w:lang w:eastAsia="zh-CN"/>
          <w14:textFill>
            <w14:solidFill>
              <w14:schemeClr w14:val="tx1"/>
            </w14:solidFill>
          </w14:textFill>
        </w:rPr>
        <w:t>日</w:t>
      </w:r>
    </w:p>
    <w:p>
      <w:pPr>
        <w:widowControl w:val="0"/>
        <w:kinsoku/>
        <w:overflowPunct w:val="0"/>
        <w:autoSpaceDE/>
        <w:autoSpaceDN/>
        <w:adjustRightInd/>
        <w:snapToGrid/>
        <w:spacing w:line="580" w:lineRule="exact"/>
        <w:jc w:val="center"/>
        <w:textAlignment w:val="auto"/>
        <w:rPr>
          <w:rFonts w:ascii="Times New Roman" w:hAnsi="Times New Roman" w:eastAsia="方正小标宋简体" w:cs="Times New Roman"/>
          <w:snapToGrid/>
          <w:color w:val="000000" w:themeColor="text1"/>
          <w:kern w:val="2"/>
          <w:sz w:val="44"/>
          <w:szCs w:val="44"/>
          <w:lang w:eastAsia="zh-CN"/>
          <w14:textFill>
            <w14:solidFill>
              <w14:schemeClr w14:val="tx1"/>
            </w14:solidFill>
          </w14:textFill>
        </w:rPr>
      </w:pPr>
      <w:r>
        <w:rPr>
          <w:rFonts w:ascii="Times New Roman" w:hAnsi="Times New Roman" w:eastAsia="方正小标宋简体" w:cs="Times New Roman"/>
          <w:snapToGrid/>
          <w:color w:val="000000" w:themeColor="text1"/>
          <w:kern w:val="2"/>
          <w:sz w:val="44"/>
          <w:szCs w:val="44"/>
          <w:lang w:eastAsia="zh-CN"/>
          <w14:textFill>
            <w14:solidFill>
              <w14:schemeClr w14:val="tx1"/>
            </w14:solidFill>
          </w14:textFill>
        </w:rPr>
        <w:t>宜阳县人民政府</w:t>
      </w:r>
    </w:p>
    <w:p>
      <w:pPr>
        <w:widowControl w:val="0"/>
        <w:kinsoku/>
        <w:overflowPunct w:val="0"/>
        <w:autoSpaceDE/>
        <w:autoSpaceDN/>
        <w:adjustRightInd/>
        <w:snapToGrid/>
        <w:spacing w:line="580" w:lineRule="exact"/>
        <w:jc w:val="center"/>
        <w:textAlignment w:val="auto"/>
        <w:rPr>
          <w:rFonts w:ascii="Times New Roman" w:hAnsi="Times New Roman" w:eastAsia="方正小标宋简体" w:cs="Times New Roman"/>
          <w:snapToGrid/>
          <w:color w:val="000000" w:themeColor="text1"/>
          <w:kern w:val="2"/>
          <w:sz w:val="44"/>
          <w:szCs w:val="44"/>
          <w:lang w:eastAsia="zh-CN"/>
          <w14:textFill>
            <w14:solidFill>
              <w14:schemeClr w14:val="tx1"/>
            </w14:solidFill>
          </w14:textFill>
        </w:rPr>
      </w:pPr>
      <w:r>
        <w:rPr>
          <w:rFonts w:ascii="Times New Roman" w:hAnsi="Times New Roman" w:eastAsia="方正小标宋简体" w:cs="Times New Roman"/>
          <w:snapToGrid/>
          <w:color w:val="000000" w:themeColor="text1"/>
          <w:kern w:val="2"/>
          <w:sz w:val="44"/>
          <w:szCs w:val="44"/>
          <w:lang w:eastAsia="zh-CN"/>
          <w14:textFill>
            <w14:solidFill>
              <w14:schemeClr w14:val="tx1"/>
            </w14:solidFill>
          </w14:textFill>
        </w:rPr>
        <w:t>关于经济适用住房上市交易管理的意见</w:t>
      </w:r>
    </w:p>
    <w:p>
      <w:pPr>
        <w:widowControl w:val="0"/>
        <w:kinsoku/>
        <w:overflowPunct w:val="0"/>
        <w:autoSpaceDE/>
        <w:autoSpaceDN/>
        <w:adjustRightInd/>
        <w:snapToGrid/>
        <w:spacing w:line="580" w:lineRule="exact"/>
        <w:jc w:val="center"/>
        <w:textAlignment w:val="auto"/>
        <w:rPr>
          <w:rFonts w:ascii="Times New Roman" w:hAnsi="Times New Roman" w:eastAsia="方正小标宋简体" w:cs="Times New Roman"/>
          <w:snapToGrid/>
          <w:color w:val="000000" w:themeColor="text1"/>
          <w:kern w:val="2"/>
          <w:sz w:val="44"/>
          <w:szCs w:val="44"/>
          <w:lang w:eastAsia="zh-CN"/>
          <w14:textFill>
            <w14:solidFill>
              <w14:schemeClr w14:val="tx1"/>
            </w14:solidFill>
          </w14:textFill>
        </w:rPr>
      </w:pPr>
    </w:p>
    <w:p>
      <w:pPr>
        <w:widowControl w:val="0"/>
        <w:kinsoku/>
        <w:overflowPunct w:val="0"/>
        <w:autoSpaceDE/>
        <w:autoSpaceDN/>
        <w:adjustRightInd/>
        <w:snapToGrid/>
        <w:spacing w:line="580" w:lineRule="exact"/>
        <w:ind w:firstLine="640" w:firstLineChars="200"/>
        <w:jc w:val="both"/>
        <w:textAlignment w:val="auto"/>
        <w:rPr>
          <w:rFonts w:ascii="Times New Roman" w:hAnsi="Times New Roman" w:eastAsia="仿宋_GB2312" w:cs="Times New Roman"/>
          <w:snapToGrid/>
          <w:color w:val="000000" w:themeColor="text1"/>
          <w:kern w:val="2"/>
          <w:sz w:val="32"/>
          <w:szCs w:val="32"/>
          <w:lang w:eastAsia="zh-CN"/>
          <w14:textFill>
            <w14:solidFill>
              <w14:schemeClr w14:val="tx1"/>
            </w14:solidFill>
          </w14:textFill>
        </w:rPr>
      </w:pPr>
      <w:r>
        <w:rPr>
          <w:rFonts w:ascii="Times New Roman" w:hAnsi="Times New Roman" w:eastAsia="仿宋_GB2312" w:cs="Times New Roman"/>
          <w:snapToGrid/>
          <w:color w:val="000000" w:themeColor="text1"/>
          <w:kern w:val="2"/>
          <w:sz w:val="32"/>
          <w:szCs w:val="32"/>
          <w:lang w:eastAsia="zh-CN"/>
          <w14:textFill>
            <w14:solidFill>
              <w14:schemeClr w14:val="tx1"/>
            </w14:solidFill>
          </w14:textFill>
        </w:rPr>
        <w:t>为贯彻落实《住房和城乡建设部关于加强经济适用住房管理有关问题的通知》（建保〔2010〕59号）精神、《洛阳市人民政府关于进一步加强城市区经济适用住房上市交易管理的意见》（洛政〔2021〕21号），结合我县实际，现对县域内经济适用住房上市交易或取得完全产权管理工作提出如下意见：</w:t>
      </w:r>
    </w:p>
    <w:p>
      <w:pPr>
        <w:widowControl w:val="0"/>
        <w:kinsoku/>
        <w:overflowPunct w:val="0"/>
        <w:autoSpaceDE/>
        <w:autoSpaceDN/>
        <w:adjustRightInd/>
        <w:snapToGrid/>
        <w:spacing w:line="580" w:lineRule="exact"/>
        <w:ind w:firstLine="640" w:firstLineChars="200"/>
        <w:jc w:val="both"/>
        <w:textAlignment w:val="auto"/>
        <w:rPr>
          <w:rFonts w:ascii="Times New Roman" w:hAnsi="Times New Roman" w:eastAsia="仿宋_GB2312" w:cs="Times New Roman"/>
          <w:snapToGrid/>
          <w:color w:val="000000" w:themeColor="text1"/>
          <w:kern w:val="2"/>
          <w:sz w:val="32"/>
          <w:szCs w:val="32"/>
          <w:lang w:eastAsia="zh-CN"/>
          <w14:textFill>
            <w14:solidFill>
              <w14:schemeClr w14:val="tx1"/>
            </w14:solidFill>
          </w14:textFill>
        </w:rPr>
      </w:pPr>
      <w:r>
        <w:rPr>
          <w:rFonts w:ascii="Times New Roman" w:hAnsi="Times New Roman" w:eastAsia="仿宋_GB2312" w:cs="Times New Roman"/>
          <w:snapToGrid/>
          <w:color w:val="000000" w:themeColor="text1"/>
          <w:kern w:val="2"/>
          <w:sz w:val="32"/>
          <w:szCs w:val="32"/>
          <w:lang w:eastAsia="zh-CN"/>
          <w14:textFill>
            <w14:solidFill>
              <w14:schemeClr w14:val="tx1"/>
            </w14:solidFill>
          </w14:textFill>
        </w:rPr>
        <w:t>一、经济适用住房购买不满5年的，不得直接上市交易或取得完全产权。</w:t>
      </w:r>
    </w:p>
    <w:p>
      <w:pPr>
        <w:widowControl w:val="0"/>
        <w:kinsoku/>
        <w:overflowPunct w:val="0"/>
        <w:autoSpaceDE/>
        <w:autoSpaceDN/>
        <w:adjustRightInd/>
        <w:snapToGrid/>
        <w:spacing w:line="580" w:lineRule="exact"/>
        <w:ind w:firstLine="640" w:firstLineChars="200"/>
        <w:jc w:val="both"/>
        <w:textAlignment w:val="auto"/>
        <w:rPr>
          <w:rFonts w:ascii="Times New Roman" w:hAnsi="Times New Roman" w:eastAsia="仿宋_GB2312" w:cs="Times New Roman"/>
          <w:snapToGrid/>
          <w:color w:val="000000" w:themeColor="text1"/>
          <w:kern w:val="2"/>
          <w:sz w:val="32"/>
          <w:szCs w:val="32"/>
          <w:lang w:eastAsia="zh-CN"/>
          <w14:textFill>
            <w14:solidFill>
              <w14:schemeClr w14:val="tx1"/>
            </w14:solidFill>
          </w14:textFill>
        </w:rPr>
      </w:pPr>
      <w:r>
        <w:rPr>
          <w:rFonts w:ascii="Times New Roman" w:hAnsi="Times New Roman" w:eastAsia="仿宋_GB2312" w:cs="Times New Roman"/>
          <w:snapToGrid/>
          <w:color w:val="000000" w:themeColor="text1"/>
          <w:kern w:val="2"/>
          <w:sz w:val="32"/>
          <w:szCs w:val="32"/>
          <w:lang w:eastAsia="zh-CN"/>
          <w14:textFill>
            <w14:solidFill>
              <w14:schemeClr w14:val="tx1"/>
            </w14:solidFill>
          </w14:textFill>
        </w:rPr>
        <w:t>如购房人因特殊原因确需出售，由政府按原出售价格扣除折旧费后回购。回购住房用于向符合经济适用住房购买条件的家庭出售。</w:t>
      </w:r>
    </w:p>
    <w:p>
      <w:pPr>
        <w:widowControl w:val="0"/>
        <w:kinsoku/>
        <w:overflowPunct w:val="0"/>
        <w:autoSpaceDE/>
        <w:autoSpaceDN/>
        <w:adjustRightInd/>
        <w:snapToGrid/>
        <w:spacing w:line="580" w:lineRule="exact"/>
        <w:ind w:firstLine="640" w:firstLineChars="200"/>
        <w:jc w:val="both"/>
        <w:textAlignment w:val="auto"/>
        <w:rPr>
          <w:rFonts w:ascii="Times New Roman" w:hAnsi="Times New Roman" w:eastAsia="仿宋_GB2312" w:cs="Times New Roman"/>
          <w:snapToGrid/>
          <w:color w:val="000000" w:themeColor="text1"/>
          <w:kern w:val="2"/>
          <w:sz w:val="32"/>
          <w:szCs w:val="32"/>
          <w:lang w:eastAsia="zh-CN"/>
          <w14:textFill>
            <w14:solidFill>
              <w14:schemeClr w14:val="tx1"/>
            </w14:solidFill>
          </w14:textFill>
        </w:rPr>
      </w:pPr>
      <w:r>
        <w:rPr>
          <w:rFonts w:ascii="Times New Roman" w:hAnsi="Times New Roman" w:eastAsia="仿宋_GB2312" w:cs="Times New Roman"/>
          <w:snapToGrid/>
          <w:color w:val="000000" w:themeColor="text1"/>
          <w:kern w:val="2"/>
          <w:sz w:val="32"/>
          <w:szCs w:val="32"/>
          <w:lang w:eastAsia="zh-CN"/>
          <w14:textFill>
            <w14:solidFill>
              <w14:schemeClr w14:val="tx1"/>
            </w14:solidFill>
          </w14:textFill>
        </w:rPr>
        <w:t>经济适用住房购买满5年或实际居住满5年需上市交易或取得完全产权的，须报经县住建部门（住房中心）审查，确定是否回购。政府不回购的，按照规定标准缴纳相关费用后可上市交易或取得完全产权。经核准同意上市交易的经济适用住房按我县二手房交易流程办理。</w:t>
      </w:r>
    </w:p>
    <w:p>
      <w:pPr>
        <w:widowControl w:val="0"/>
        <w:kinsoku/>
        <w:overflowPunct w:val="0"/>
        <w:autoSpaceDE/>
        <w:autoSpaceDN/>
        <w:adjustRightInd/>
        <w:snapToGrid/>
        <w:spacing w:line="580" w:lineRule="exact"/>
        <w:ind w:firstLine="640" w:firstLineChars="200"/>
        <w:jc w:val="both"/>
        <w:textAlignment w:val="auto"/>
        <w:rPr>
          <w:rFonts w:ascii="Times New Roman" w:hAnsi="Times New Roman" w:eastAsia="仿宋_GB2312" w:cs="Times New Roman"/>
          <w:snapToGrid/>
          <w:color w:val="000000" w:themeColor="text1"/>
          <w:kern w:val="2"/>
          <w:sz w:val="32"/>
          <w:szCs w:val="32"/>
          <w:lang w:eastAsia="zh-CN"/>
          <w14:textFill>
            <w14:solidFill>
              <w14:schemeClr w14:val="tx1"/>
            </w14:solidFill>
          </w14:textFill>
        </w:rPr>
      </w:pPr>
      <w:r>
        <w:rPr>
          <w:rFonts w:ascii="Times New Roman" w:hAnsi="Times New Roman" w:eastAsia="仿宋_GB2312" w:cs="Times New Roman"/>
          <w:snapToGrid/>
          <w:color w:val="000000" w:themeColor="text1"/>
          <w:kern w:val="2"/>
          <w:sz w:val="32"/>
          <w:szCs w:val="32"/>
          <w:lang w:eastAsia="zh-CN"/>
          <w14:textFill>
            <w14:solidFill>
              <w14:schemeClr w14:val="tx1"/>
            </w14:solidFill>
          </w14:textFill>
        </w:rPr>
        <w:t>二、经济适用住房上市交易或取得完全产权土地出让金补缴标准为上市交易当年基准地价的20%，土地面积以证载分摊土地使用权面积为准。</w:t>
      </w:r>
    </w:p>
    <w:p>
      <w:pPr>
        <w:widowControl w:val="0"/>
        <w:kinsoku/>
        <w:overflowPunct w:val="0"/>
        <w:autoSpaceDE/>
        <w:autoSpaceDN/>
        <w:adjustRightInd/>
        <w:snapToGrid/>
        <w:spacing w:line="580" w:lineRule="exact"/>
        <w:ind w:firstLine="640" w:firstLineChars="200"/>
        <w:jc w:val="both"/>
        <w:textAlignment w:val="auto"/>
        <w:rPr>
          <w:rFonts w:ascii="Times New Roman" w:hAnsi="Times New Roman" w:eastAsia="仿宋_GB2312" w:cs="Times New Roman"/>
          <w:snapToGrid/>
          <w:color w:val="000000" w:themeColor="text1"/>
          <w:kern w:val="2"/>
          <w:sz w:val="32"/>
          <w:szCs w:val="32"/>
          <w:lang w:eastAsia="zh-CN"/>
          <w14:textFill>
            <w14:solidFill>
              <w14:schemeClr w14:val="tx1"/>
            </w14:solidFill>
          </w14:textFill>
        </w:rPr>
      </w:pPr>
      <w:r>
        <w:rPr>
          <w:rFonts w:ascii="Times New Roman" w:hAnsi="Times New Roman" w:eastAsia="仿宋_GB2312" w:cs="Times New Roman"/>
          <w:snapToGrid/>
          <w:color w:val="000000" w:themeColor="text1"/>
          <w:kern w:val="2"/>
          <w:sz w:val="32"/>
          <w:szCs w:val="32"/>
          <w:lang w:eastAsia="zh-CN"/>
          <w14:textFill>
            <w14:solidFill>
              <w14:schemeClr w14:val="tx1"/>
            </w14:solidFill>
          </w14:textFill>
        </w:rPr>
        <w:t>三、经济适用住房上市交易或取得完全产权房屋收益所得收取标准：</w:t>
      </w:r>
    </w:p>
    <w:p>
      <w:pPr>
        <w:widowControl w:val="0"/>
        <w:kinsoku/>
        <w:overflowPunct w:val="0"/>
        <w:autoSpaceDE/>
        <w:autoSpaceDN/>
        <w:adjustRightInd/>
        <w:snapToGrid/>
        <w:spacing w:line="580" w:lineRule="exact"/>
        <w:ind w:firstLine="640" w:firstLineChars="200"/>
        <w:jc w:val="both"/>
        <w:textAlignment w:val="auto"/>
        <w:rPr>
          <w:rFonts w:ascii="Times New Roman" w:hAnsi="Times New Roman" w:eastAsia="仿宋_GB2312" w:cs="Times New Roman"/>
          <w:snapToGrid/>
          <w:color w:val="000000" w:themeColor="text1"/>
          <w:kern w:val="2"/>
          <w:sz w:val="32"/>
          <w:szCs w:val="32"/>
          <w:lang w:eastAsia="zh-CN"/>
          <w14:textFill>
            <w14:solidFill>
              <w14:schemeClr w14:val="tx1"/>
            </w14:solidFill>
          </w14:textFill>
        </w:rPr>
      </w:pPr>
      <w:r>
        <w:rPr>
          <w:rFonts w:ascii="Times New Roman" w:hAnsi="Times New Roman" w:eastAsia="仿宋_GB2312" w:cs="Times New Roman"/>
          <w:snapToGrid/>
          <w:color w:val="000000" w:themeColor="text1"/>
          <w:kern w:val="2"/>
          <w:sz w:val="32"/>
          <w:szCs w:val="32"/>
          <w:lang w:eastAsia="zh-CN"/>
          <w14:textFill>
            <w14:solidFill>
              <w14:schemeClr w14:val="tx1"/>
            </w14:solidFill>
          </w14:textFill>
        </w:rPr>
        <w:t>（一）单套面积90平方米（含90平方米）以内，按购房价格和申请上市交易或者取得完全产权时的价格（以税务部门征收契税的计税依据为准）差值部分的比例征收，房屋收益收取比例为10%。</w:t>
      </w:r>
    </w:p>
    <w:p>
      <w:pPr>
        <w:widowControl w:val="0"/>
        <w:kinsoku/>
        <w:overflowPunct w:val="0"/>
        <w:autoSpaceDE/>
        <w:autoSpaceDN/>
        <w:adjustRightInd/>
        <w:snapToGrid/>
        <w:spacing w:line="580" w:lineRule="exact"/>
        <w:ind w:firstLine="640" w:firstLineChars="200"/>
        <w:jc w:val="both"/>
        <w:textAlignment w:val="auto"/>
        <w:rPr>
          <w:rFonts w:ascii="Times New Roman" w:hAnsi="Times New Roman" w:eastAsia="仿宋_GB2312" w:cs="Times New Roman"/>
          <w:snapToGrid/>
          <w:color w:val="000000" w:themeColor="text1"/>
          <w:kern w:val="2"/>
          <w:sz w:val="32"/>
          <w:szCs w:val="32"/>
          <w:lang w:eastAsia="zh-CN"/>
          <w14:textFill>
            <w14:solidFill>
              <w14:schemeClr w14:val="tx1"/>
            </w14:solidFill>
          </w14:textFill>
        </w:rPr>
      </w:pPr>
      <w:r>
        <w:rPr>
          <w:rFonts w:ascii="Times New Roman" w:hAnsi="Times New Roman" w:eastAsia="仿宋_GB2312" w:cs="Times New Roman"/>
          <w:snapToGrid/>
          <w:color w:val="000000" w:themeColor="text1"/>
          <w:kern w:val="2"/>
          <w:sz w:val="32"/>
          <w:szCs w:val="32"/>
          <w:lang w:eastAsia="zh-CN"/>
          <w14:textFill>
            <w14:solidFill>
              <w14:schemeClr w14:val="tx1"/>
            </w14:solidFill>
          </w14:textFill>
        </w:rPr>
        <w:t>（二）单套面积超过90平方米的，超出部分收益所得按上述标准双倍收取。</w:t>
      </w:r>
    </w:p>
    <w:p>
      <w:pPr>
        <w:widowControl w:val="0"/>
        <w:kinsoku/>
        <w:overflowPunct w:val="0"/>
        <w:autoSpaceDE/>
        <w:autoSpaceDN/>
        <w:adjustRightInd/>
        <w:snapToGrid/>
        <w:spacing w:line="580" w:lineRule="exact"/>
        <w:ind w:firstLine="640" w:firstLineChars="200"/>
        <w:jc w:val="both"/>
        <w:textAlignment w:val="auto"/>
        <w:rPr>
          <w:rFonts w:ascii="Times New Roman" w:hAnsi="Times New Roman" w:eastAsia="仿宋_GB2312" w:cs="Times New Roman"/>
          <w:snapToGrid/>
          <w:color w:val="000000" w:themeColor="text1"/>
          <w:spacing w:val="-20"/>
          <w:kern w:val="2"/>
          <w:sz w:val="32"/>
          <w:szCs w:val="32"/>
          <w:lang w:eastAsia="zh-CN"/>
          <w14:textFill>
            <w14:solidFill>
              <w14:schemeClr w14:val="tx1"/>
            </w14:solidFill>
          </w14:textFill>
        </w:rPr>
      </w:pPr>
      <w:r>
        <w:rPr>
          <w:rFonts w:ascii="Times New Roman" w:hAnsi="Times New Roman" w:eastAsia="仿宋_GB2312" w:cs="Times New Roman"/>
          <w:snapToGrid/>
          <w:color w:val="000000" w:themeColor="text1"/>
          <w:kern w:val="2"/>
          <w:sz w:val="32"/>
          <w:szCs w:val="32"/>
          <w:lang w:eastAsia="zh-CN"/>
          <w14:textFill>
            <w14:solidFill>
              <w14:schemeClr w14:val="tx1"/>
            </w14:solidFill>
          </w14:textFill>
        </w:rPr>
        <w:t>四、</w:t>
      </w:r>
      <w:r>
        <w:rPr>
          <w:rFonts w:ascii="Times New Roman" w:hAnsi="Times New Roman" w:eastAsia="仿宋_GB2312" w:cs="Times New Roman"/>
          <w:snapToGrid/>
          <w:color w:val="000000" w:themeColor="text1"/>
          <w:spacing w:val="-20"/>
          <w:kern w:val="2"/>
          <w:sz w:val="32"/>
          <w:szCs w:val="32"/>
          <w:lang w:eastAsia="zh-CN"/>
          <w14:textFill>
            <w14:solidFill>
              <w14:schemeClr w14:val="tx1"/>
            </w14:solidFill>
          </w14:textFill>
        </w:rPr>
        <w:t>经济适用住房上市交易或取得完全产权按下列程序办理。</w:t>
      </w:r>
    </w:p>
    <w:p>
      <w:pPr>
        <w:widowControl w:val="0"/>
        <w:kinsoku/>
        <w:overflowPunct w:val="0"/>
        <w:autoSpaceDE/>
        <w:autoSpaceDN/>
        <w:adjustRightInd/>
        <w:snapToGrid/>
        <w:spacing w:line="580" w:lineRule="exact"/>
        <w:ind w:firstLine="640" w:firstLineChars="200"/>
        <w:jc w:val="both"/>
        <w:textAlignment w:val="auto"/>
        <w:rPr>
          <w:rFonts w:ascii="Times New Roman" w:hAnsi="Times New Roman" w:eastAsia="仿宋_GB2312" w:cs="Times New Roman"/>
          <w:snapToGrid/>
          <w:color w:val="000000" w:themeColor="text1"/>
          <w:kern w:val="2"/>
          <w:sz w:val="32"/>
          <w:szCs w:val="32"/>
          <w:lang w:eastAsia="zh-CN"/>
          <w14:textFill>
            <w14:solidFill>
              <w14:schemeClr w14:val="tx1"/>
            </w14:solidFill>
          </w14:textFill>
        </w:rPr>
      </w:pPr>
      <w:r>
        <w:rPr>
          <w:rFonts w:ascii="Times New Roman" w:hAnsi="Times New Roman" w:eastAsia="仿宋_GB2312" w:cs="Times New Roman"/>
          <w:snapToGrid/>
          <w:color w:val="000000" w:themeColor="text1"/>
          <w:kern w:val="2"/>
          <w:sz w:val="32"/>
          <w:szCs w:val="32"/>
          <w:lang w:eastAsia="zh-CN"/>
          <w14:textFill>
            <w14:solidFill>
              <w14:schemeClr w14:val="tx1"/>
            </w14:solidFill>
          </w14:textFill>
        </w:rPr>
        <w:t>（一）产权人向住建部门（住房中心）提交书面申请，住建部门（住房中心）在10个工作日内做出政府是否回购答复，不回购的向申请人出具《经济适用住房上市交易意见书》或《经济适用住房取得完全产权意见书》。</w:t>
      </w:r>
    </w:p>
    <w:p>
      <w:pPr>
        <w:widowControl w:val="0"/>
        <w:kinsoku/>
        <w:overflowPunct w:val="0"/>
        <w:autoSpaceDE/>
        <w:autoSpaceDN/>
        <w:adjustRightInd/>
        <w:snapToGrid/>
        <w:spacing w:line="580" w:lineRule="exact"/>
        <w:ind w:firstLine="640" w:firstLineChars="200"/>
        <w:jc w:val="both"/>
        <w:textAlignment w:val="auto"/>
        <w:rPr>
          <w:rFonts w:ascii="Times New Roman" w:hAnsi="Times New Roman" w:eastAsia="仿宋_GB2312" w:cs="Times New Roman"/>
          <w:snapToGrid/>
          <w:color w:val="000000" w:themeColor="text1"/>
          <w:kern w:val="2"/>
          <w:sz w:val="32"/>
          <w:szCs w:val="32"/>
          <w:lang w:eastAsia="zh-CN"/>
          <w14:textFill>
            <w14:solidFill>
              <w14:schemeClr w14:val="tx1"/>
            </w14:solidFill>
          </w14:textFill>
        </w:rPr>
      </w:pPr>
      <w:r>
        <w:rPr>
          <w:rFonts w:ascii="Times New Roman" w:hAnsi="Times New Roman" w:eastAsia="仿宋_GB2312" w:cs="Times New Roman"/>
          <w:snapToGrid/>
          <w:color w:val="000000" w:themeColor="text1"/>
          <w:kern w:val="2"/>
          <w:sz w:val="32"/>
          <w:szCs w:val="32"/>
          <w:lang w:eastAsia="zh-CN"/>
          <w14:textFill>
            <w14:solidFill>
              <w14:schemeClr w14:val="tx1"/>
            </w14:solidFill>
          </w14:textFill>
        </w:rPr>
        <w:t>（二）对政府不予回购、同意上市交易或取得完全产权的房产，产权人持《经济适用住房上市交易意见书》或《经济适用住房取得完全产权意见书》，向自然资源部门补缴土地出让金，向住建部门（住房中心）缴纳收益所得，并持缴费凭证到住建部门（住房中心）办理房屋交易手续或到不动产登记部门办理完全产权手续。</w:t>
      </w:r>
    </w:p>
    <w:p>
      <w:pPr>
        <w:widowControl w:val="0"/>
        <w:kinsoku/>
        <w:overflowPunct w:val="0"/>
        <w:autoSpaceDE/>
        <w:autoSpaceDN/>
        <w:adjustRightInd/>
        <w:snapToGrid/>
        <w:spacing w:line="580" w:lineRule="exact"/>
        <w:ind w:firstLine="640" w:firstLineChars="200"/>
        <w:jc w:val="both"/>
        <w:textAlignment w:val="auto"/>
        <w:rPr>
          <w:rFonts w:ascii="Times New Roman" w:hAnsi="Times New Roman" w:eastAsia="仿宋_GB2312" w:cs="Times New Roman"/>
          <w:snapToGrid/>
          <w:color w:val="000000" w:themeColor="text1"/>
          <w:kern w:val="2"/>
          <w:sz w:val="32"/>
          <w:szCs w:val="32"/>
          <w:lang w:eastAsia="zh-CN"/>
          <w14:textFill>
            <w14:solidFill>
              <w14:schemeClr w14:val="tx1"/>
            </w14:solidFill>
          </w14:textFill>
        </w:rPr>
      </w:pPr>
      <w:r>
        <w:rPr>
          <w:rFonts w:ascii="Times New Roman" w:hAnsi="Times New Roman" w:eastAsia="仿宋_GB2312" w:cs="Times New Roman"/>
          <w:snapToGrid/>
          <w:color w:val="000000" w:themeColor="text1"/>
          <w:kern w:val="2"/>
          <w:sz w:val="32"/>
          <w:szCs w:val="32"/>
          <w:lang w:eastAsia="zh-CN"/>
          <w14:textFill>
            <w14:solidFill>
              <w14:schemeClr w14:val="tx1"/>
            </w14:solidFill>
          </w14:textFill>
        </w:rPr>
        <w:t>政府决定回购的房产，产权人持购房要件与住建部门（住房中心）办理回购手续；已办理不动产登记的，住建部门（住房中心）与产权人凭回购手续及其它相关材料办理不动产转移登记，将回购不动产登记在住房中心名下，同时为原购房人办理经济适用住房注销手续。</w:t>
      </w:r>
    </w:p>
    <w:p>
      <w:pPr>
        <w:widowControl w:val="0"/>
        <w:kinsoku/>
        <w:overflowPunct w:val="0"/>
        <w:autoSpaceDE/>
        <w:autoSpaceDN/>
        <w:adjustRightInd/>
        <w:snapToGrid/>
        <w:spacing w:line="580" w:lineRule="exact"/>
        <w:ind w:firstLine="640" w:firstLineChars="200"/>
        <w:jc w:val="both"/>
        <w:textAlignment w:val="auto"/>
        <w:rPr>
          <w:rFonts w:ascii="Times New Roman" w:hAnsi="Times New Roman" w:eastAsia="仿宋_GB2312" w:cs="Times New Roman"/>
          <w:snapToGrid/>
          <w:color w:val="000000" w:themeColor="text1"/>
          <w:kern w:val="2"/>
          <w:sz w:val="32"/>
          <w:szCs w:val="32"/>
          <w:lang w:eastAsia="zh-CN"/>
          <w14:textFill>
            <w14:solidFill>
              <w14:schemeClr w14:val="tx1"/>
            </w14:solidFill>
          </w14:textFill>
        </w:rPr>
      </w:pPr>
      <w:r>
        <w:rPr>
          <w:rFonts w:ascii="Times New Roman" w:hAnsi="Times New Roman" w:eastAsia="仿宋_GB2312" w:cs="Times New Roman"/>
          <w:snapToGrid/>
          <w:color w:val="000000" w:themeColor="text1"/>
          <w:kern w:val="2"/>
          <w:sz w:val="32"/>
          <w:szCs w:val="32"/>
          <w:lang w:eastAsia="zh-CN"/>
          <w14:textFill>
            <w14:solidFill>
              <w14:schemeClr w14:val="tx1"/>
            </w14:solidFill>
          </w14:textFill>
        </w:rPr>
        <w:t>（三）产权人须在《经济适用住房上市交易意见书》或《经济适用住房取得完全产权意见书》下发之日起30日内到有关部门补缴土地出让金、收益所得。</w:t>
      </w:r>
    </w:p>
    <w:p>
      <w:pPr>
        <w:widowControl w:val="0"/>
        <w:kinsoku/>
        <w:overflowPunct w:val="0"/>
        <w:autoSpaceDE/>
        <w:autoSpaceDN/>
        <w:adjustRightInd/>
        <w:snapToGrid/>
        <w:spacing w:line="580" w:lineRule="exact"/>
        <w:ind w:firstLine="640" w:firstLineChars="200"/>
        <w:jc w:val="both"/>
        <w:textAlignment w:val="auto"/>
        <w:rPr>
          <w:rFonts w:ascii="Times New Roman" w:hAnsi="Times New Roman" w:eastAsia="仿宋_GB2312" w:cs="Times New Roman"/>
          <w:snapToGrid/>
          <w:color w:val="000000" w:themeColor="text1"/>
          <w:kern w:val="2"/>
          <w:sz w:val="32"/>
          <w:szCs w:val="32"/>
          <w:lang w:eastAsia="zh-CN"/>
          <w14:textFill>
            <w14:solidFill>
              <w14:schemeClr w14:val="tx1"/>
            </w14:solidFill>
          </w14:textFill>
        </w:rPr>
      </w:pPr>
      <w:r>
        <w:rPr>
          <w:rFonts w:ascii="Times New Roman" w:hAnsi="Times New Roman" w:eastAsia="仿宋_GB2312" w:cs="Times New Roman"/>
          <w:snapToGrid/>
          <w:color w:val="000000" w:themeColor="text1"/>
          <w:kern w:val="2"/>
          <w:sz w:val="32"/>
          <w:szCs w:val="32"/>
          <w:lang w:eastAsia="zh-CN"/>
          <w14:textFill>
            <w14:solidFill>
              <w14:schemeClr w14:val="tx1"/>
            </w14:solidFill>
          </w14:textFill>
        </w:rPr>
        <w:t>（四）因工作调动、户口迁移等特殊情况，购房人申请退回已购经济适用住房的，经宜阳县住房保障工作领导小组办公室研究同意后，按原购房价格扣除折旧费后由政府回购，住房折旧费按每年1%的折旧率予以核减，不满一年的按一年计算。</w:t>
      </w:r>
    </w:p>
    <w:p>
      <w:pPr>
        <w:widowControl w:val="0"/>
        <w:kinsoku/>
        <w:overflowPunct w:val="0"/>
        <w:autoSpaceDE/>
        <w:autoSpaceDN/>
        <w:adjustRightInd/>
        <w:snapToGrid/>
        <w:spacing w:line="580" w:lineRule="exact"/>
        <w:ind w:firstLine="640" w:firstLineChars="200"/>
        <w:jc w:val="both"/>
        <w:textAlignment w:val="auto"/>
        <w:rPr>
          <w:rFonts w:ascii="Times New Roman" w:hAnsi="Times New Roman" w:eastAsia="仿宋_GB2312" w:cs="Times New Roman"/>
          <w:snapToGrid/>
          <w:color w:val="000000" w:themeColor="text1"/>
          <w:kern w:val="2"/>
          <w:sz w:val="32"/>
          <w:szCs w:val="32"/>
          <w:lang w:eastAsia="zh-CN"/>
          <w14:textFill>
            <w14:solidFill>
              <w14:schemeClr w14:val="tx1"/>
            </w14:solidFill>
          </w14:textFill>
        </w:rPr>
      </w:pPr>
      <w:r>
        <w:rPr>
          <w:rFonts w:ascii="Times New Roman" w:hAnsi="Times New Roman" w:eastAsia="仿宋_GB2312" w:cs="Times New Roman"/>
          <w:snapToGrid/>
          <w:color w:val="000000" w:themeColor="text1"/>
          <w:kern w:val="2"/>
          <w:sz w:val="32"/>
          <w:szCs w:val="32"/>
          <w:lang w:eastAsia="zh-CN"/>
          <w14:textFill>
            <w14:solidFill>
              <w14:schemeClr w14:val="tx1"/>
            </w14:solidFill>
          </w14:textFill>
        </w:rPr>
        <w:t>对购买满5年或实际居住满5年已列入棚户区改造、基础设施、公益设施建设计划范围的经济适用住房，须补缴土地出让金和收益所得后，按房屋征收相关法规政策执行。</w:t>
      </w:r>
    </w:p>
    <w:p>
      <w:pPr>
        <w:widowControl w:val="0"/>
        <w:kinsoku/>
        <w:overflowPunct w:val="0"/>
        <w:autoSpaceDE/>
        <w:autoSpaceDN/>
        <w:adjustRightInd/>
        <w:snapToGrid/>
        <w:spacing w:line="580" w:lineRule="exact"/>
        <w:ind w:firstLine="640" w:firstLineChars="200"/>
        <w:jc w:val="both"/>
        <w:textAlignment w:val="auto"/>
        <w:rPr>
          <w:rFonts w:ascii="Times New Roman" w:hAnsi="Times New Roman" w:eastAsia="仿宋_GB2312" w:cs="Times New Roman"/>
          <w:snapToGrid/>
          <w:color w:val="000000" w:themeColor="text1"/>
          <w:kern w:val="2"/>
          <w:sz w:val="32"/>
          <w:szCs w:val="32"/>
          <w:lang w:eastAsia="zh-CN"/>
          <w14:textFill>
            <w14:solidFill>
              <w14:schemeClr w14:val="tx1"/>
            </w14:solidFill>
          </w14:textFill>
        </w:rPr>
      </w:pPr>
      <w:r>
        <w:rPr>
          <w:rFonts w:ascii="Times New Roman" w:hAnsi="Times New Roman" w:eastAsia="仿宋_GB2312" w:cs="Times New Roman"/>
          <w:snapToGrid/>
          <w:color w:val="000000" w:themeColor="text1"/>
          <w:kern w:val="2"/>
          <w:sz w:val="32"/>
          <w:szCs w:val="32"/>
          <w:lang w:eastAsia="zh-CN"/>
          <w14:textFill>
            <w14:solidFill>
              <w14:schemeClr w14:val="tx1"/>
            </w14:solidFill>
          </w14:textFill>
        </w:rPr>
        <w:t>五、住建部门（住房中心）须建立住房保障管理档案，产权人将已购经济适用住房上市交易或取得完全产权的，不再具有购买或租住保障性住房资格。</w:t>
      </w:r>
    </w:p>
    <w:p>
      <w:pPr>
        <w:widowControl w:val="0"/>
        <w:kinsoku/>
        <w:overflowPunct w:val="0"/>
        <w:autoSpaceDE/>
        <w:autoSpaceDN/>
        <w:adjustRightInd/>
        <w:snapToGrid/>
        <w:spacing w:line="580" w:lineRule="exact"/>
        <w:ind w:firstLine="640" w:firstLineChars="200"/>
        <w:jc w:val="both"/>
        <w:textAlignment w:val="auto"/>
        <w:rPr>
          <w:rFonts w:hint="eastAsia"/>
          <w:lang w:val="en-US" w:eastAsia="zh-CN"/>
        </w:rPr>
      </w:pPr>
      <w:r>
        <w:rPr>
          <w:rFonts w:ascii="Times New Roman" w:hAnsi="Times New Roman" w:eastAsia="仿宋_GB2312" w:cs="Times New Roman"/>
          <w:snapToGrid/>
          <w:color w:val="000000" w:themeColor="text1"/>
          <w:kern w:val="2"/>
          <w:sz w:val="32"/>
          <w:szCs w:val="32"/>
          <w:lang w:eastAsia="zh-CN"/>
          <w14:textFill>
            <w14:solidFill>
              <w14:schemeClr w14:val="tx1"/>
            </w14:solidFill>
          </w14:textFill>
        </w:rPr>
        <w:t>六、本意见自发</w:t>
      </w:r>
      <w:bookmarkStart w:id="0" w:name="_GoBack"/>
      <w:bookmarkEnd w:id="0"/>
      <w:r>
        <w:rPr>
          <w:rFonts w:ascii="Times New Roman" w:hAnsi="Times New Roman" w:eastAsia="仿宋_GB2312" w:cs="Times New Roman"/>
          <w:snapToGrid/>
          <w:color w:val="000000" w:themeColor="text1"/>
          <w:kern w:val="2"/>
          <w:sz w:val="32"/>
          <w:szCs w:val="32"/>
          <w:lang w:eastAsia="zh-CN"/>
          <w14:textFill>
            <w14:solidFill>
              <w14:schemeClr w14:val="tx1"/>
            </w14:solidFill>
          </w14:textFill>
        </w:rPr>
        <w:t>布之日起实施，有效期2年。</w:t>
      </w:r>
    </w:p>
    <w:sectPr>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NEU-BZ">
    <w:altName w:val="Noto Serif CJK JP"/>
    <w:panose1 w:val="02010600010101010101"/>
    <w:charset w:val="86"/>
    <w:family w:val="auto"/>
    <w:pitch w:val="default"/>
    <w:sig w:usb0="00000000" w:usb1="00000000" w:usb2="00000016" w:usb3="00000000" w:csb0="00040001" w:csb1="00000000"/>
  </w:font>
  <w:font w:name="方正书宋简体">
    <w:altName w:val="方正书宋_GBK"/>
    <w:panose1 w:val="02010601030101010101"/>
    <w:charset w:val="86"/>
    <w:family w:val="script"/>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文星标宋">
    <w:panose1 w:val="02010604000101010101"/>
    <w:charset w:val="86"/>
    <w:family w:val="auto"/>
    <w:pitch w:val="default"/>
    <w:sig w:usb0="00000001" w:usb1="080E0000" w:usb2="00000000" w:usb3="00000000" w:csb0="00040001" w:csb1="00000000"/>
  </w:font>
  <w:font w:name="仿宋">
    <w:altName w:val="方正仿宋_GBK"/>
    <w:panose1 w:val="02010609060101010101"/>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小标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5016"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iMuAO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DiMuAOGwIAACkEAAAOAAAAAAAAAAEAIAAAADUBAABkcnMvZTJvRG9jLnhtbFBLBQYA&#10;AAAABgAGAFkBAADCBQAAAAA=&#10;">
              <v:fill on="f" focussize="0,0"/>
              <v:stroke on="f" weight="0.5pt"/>
              <v:imagedata o:title=""/>
              <o:lock v:ext="edit" aspectratio="f"/>
              <v:textbox inset="0mm,0mm,0mm,0mm" style="mso-fit-shape-to-text:t;">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6"/>
      <w:wordWrap w:val="0"/>
      <w:ind w:left="895" w:leftChars="407" w:firstLine="10518" w:firstLineChars="3287"/>
      <w:jc w:val="right"/>
      <w:rPr>
        <w:rFonts w:hint="eastAsia" w:ascii="宋体" w:hAnsi="宋体" w:eastAsia="宋体" w:cs="宋体"/>
        <w:b/>
        <w:bCs/>
        <w:color w:val="005192"/>
        <w:sz w:val="28"/>
        <w:szCs w:val="44"/>
        <w:lang w:val="en-US" w:eastAsia="zh-CN"/>
      </w:rPr>
    </w:pPr>
    <w:r>
      <w:rPr>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Dzp6XR1AAAAAYBAAAP&#10;AAAAAAAAAAEAIAAAADgAAABkcnMvZG93bnJldi54bWxQSwECFAAUAAAACACHTuJArqM64M0BAABn&#10;AwAADgAAAAAAAAABACAAAAA5AQAAZHJzL2Uyb0RvYy54bWxQSwUGAAAAAAYABgBZAQAAeAUAAAAA&#10;">
              <v:fill on="f" focussize="0,0"/>
              <v:stroke weight="1.75pt" color="#005192 [3204]" miterlimit="8" joinstyle="miter"/>
              <v:imagedata o:title=""/>
              <o:lock v:ext="edit" aspectratio="f"/>
            </v:line>
          </w:pict>
        </mc:Fallback>
      </mc:AlternateContent>
    </w:r>
    <w:r>
      <w:rPr>
        <w:rFonts w:hint="eastAsia" w:ascii="宋体" w:hAnsi="宋体" w:cs="宋体"/>
        <w:b/>
        <w:bCs/>
        <w:color w:val="005192"/>
        <w:sz w:val="28"/>
        <w:szCs w:val="44"/>
        <w:lang w:val="en-US" w:eastAsia="zh-CN"/>
      </w:rPr>
      <w:t>洛洛阳市宜阳县</w:t>
    </w:r>
    <w:r>
      <w:rPr>
        <w:rFonts w:hint="eastAsia" w:ascii="宋体" w:hAnsi="宋体" w:eastAsia="宋体" w:cs="宋体"/>
        <w:b/>
        <w:bCs/>
        <w:color w:val="005192"/>
        <w:sz w:val="28"/>
        <w:szCs w:val="44"/>
        <w:lang w:val="en-US" w:eastAsia="zh-CN"/>
      </w:rPr>
      <w:t xml:space="preserve">人民政府发布    </w:t>
    </w:r>
  </w:p>
  <w:p>
    <w:pPr>
      <w:pStyle w:val="6"/>
      <w:wordWrap w:val="0"/>
      <w:ind w:left="5016" w:leftChars="2280" w:firstLine="5621"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BYAAABkcnMvUEsBAhQAFAAAAAgAh07iQNRH&#10;QNbVAAAACQEAAA8AAAAAAAAAAQAgAAAAOAAAAGRycy9kb3ducmV2LnhtbFBLAQIUABQAAAAIAIdO&#10;4kDj7jEZ1wEAAG8DAAAOAAAAAAAAAAEAIAAAADoBAABkcnMvZTJvRG9jLnhtbFBLBQYAAAAABgAG&#10;AFkBAACDBQAAAAA=&#10;">
              <v:fill on="f" focussize="0,0"/>
              <v:stroke weight="1.75pt" color="#005192 [3204]" miterlimit="8" joinstyle="miter"/>
              <v:imagedata o:title=""/>
              <o:lock v:ext="edit" aspectratio="f"/>
            </v:line>
          </w:pict>
        </mc:Fallback>
      </mc:AlternateContent>
    </w:r>
  </w:p>
  <w:p>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cs="宋体"/>
        <w:b/>
        <w:bCs/>
        <w:color w:val="005192"/>
        <w:sz w:val="32"/>
        <w:lang w:eastAsia="zh-CN"/>
      </w:rPr>
      <w:t>洛阳市</w:t>
    </w:r>
    <w:r>
      <w:rPr>
        <w:rFonts w:hint="eastAsia" w:ascii="宋体" w:hAnsi="宋体" w:cs="宋体"/>
        <w:b/>
        <w:bCs/>
        <w:color w:val="005192"/>
        <w:sz w:val="32"/>
        <w:szCs w:val="32"/>
        <w:lang w:val="en-US" w:eastAsia="zh-CN"/>
      </w:rPr>
      <w:t>宜阳县人民政府行政规范性文件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9011D9"/>
    <w:rsid w:val="019E71BD"/>
    <w:rsid w:val="05440955"/>
    <w:rsid w:val="066E5641"/>
    <w:rsid w:val="06A67E67"/>
    <w:rsid w:val="080F63D8"/>
    <w:rsid w:val="09006E92"/>
    <w:rsid w:val="09341458"/>
    <w:rsid w:val="09553C02"/>
    <w:rsid w:val="0CE65B2C"/>
    <w:rsid w:val="0D5C5CF8"/>
    <w:rsid w:val="0ED818A4"/>
    <w:rsid w:val="101F0538"/>
    <w:rsid w:val="10254BD6"/>
    <w:rsid w:val="129E7932"/>
    <w:rsid w:val="13A23C39"/>
    <w:rsid w:val="152D2DCA"/>
    <w:rsid w:val="1976D2CD"/>
    <w:rsid w:val="1C86388D"/>
    <w:rsid w:val="1E466CFF"/>
    <w:rsid w:val="22440422"/>
    <w:rsid w:val="23F13B42"/>
    <w:rsid w:val="287C616C"/>
    <w:rsid w:val="2FCE575A"/>
    <w:rsid w:val="2FFC7EDE"/>
    <w:rsid w:val="31A15F24"/>
    <w:rsid w:val="377D876A"/>
    <w:rsid w:val="39A232A0"/>
    <w:rsid w:val="3A1C636B"/>
    <w:rsid w:val="3B5A6BBB"/>
    <w:rsid w:val="3BE16DE7"/>
    <w:rsid w:val="3E0E7999"/>
    <w:rsid w:val="3EDA13A6"/>
    <w:rsid w:val="3F5730EA"/>
    <w:rsid w:val="42F058B7"/>
    <w:rsid w:val="436109F6"/>
    <w:rsid w:val="441A38D4"/>
    <w:rsid w:val="474E2EF2"/>
    <w:rsid w:val="49B91357"/>
    <w:rsid w:val="4AEC52E8"/>
    <w:rsid w:val="4AFF8CDB"/>
    <w:rsid w:val="4BC77339"/>
    <w:rsid w:val="4C9236C5"/>
    <w:rsid w:val="4E2A37E2"/>
    <w:rsid w:val="50414CBD"/>
    <w:rsid w:val="51E247E8"/>
    <w:rsid w:val="526F08CC"/>
    <w:rsid w:val="52F46F0B"/>
    <w:rsid w:val="55274B4C"/>
    <w:rsid w:val="55E064E0"/>
    <w:rsid w:val="5A4F3EF9"/>
    <w:rsid w:val="5D0D7ECB"/>
    <w:rsid w:val="5DF7239B"/>
    <w:rsid w:val="608816D1"/>
    <w:rsid w:val="69D03F98"/>
    <w:rsid w:val="6A7F4576"/>
    <w:rsid w:val="6BF75DB0"/>
    <w:rsid w:val="6D0E3F22"/>
    <w:rsid w:val="6D772313"/>
    <w:rsid w:val="70AF1C83"/>
    <w:rsid w:val="714A2531"/>
    <w:rsid w:val="71C61E01"/>
    <w:rsid w:val="71E9213F"/>
    <w:rsid w:val="75AA717D"/>
    <w:rsid w:val="75FEA01E"/>
    <w:rsid w:val="76FFFAC2"/>
    <w:rsid w:val="7C9011D9"/>
    <w:rsid w:val="7CFB3184"/>
    <w:rsid w:val="7DC651C5"/>
    <w:rsid w:val="7DFBC28B"/>
    <w:rsid w:val="7FCFBF36"/>
    <w:rsid w:val="7FED60B9"/>
    <w:rsid w:val="7FFFDD6C"/>
    <w:rsid w:val="9B7FC3A1"/>
    <w:rsid w:val="D5F6BFC8"/>
    <w:rsid w:val="D6DD9B99"/>
    <w:rsid w:val="E93FD82C"/>
    <w:rsid w:val="F7CE0210"/>
    <w:rsid w:val="FDB75BAD"/>
    <w:rsid w:val="FF3F0089"/>
    <w:rsid w:val="FFDA27BD"/>
    <w:rsid w:val="FFF6546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Calibri" w:hAnsi="NEU-BZ" w:eastAsia="宋体" w:cs="Times New Roman"/>
      <w:sz w:val="22"/>
      <w:szCs w:val="22"/>
      <w:lang w:val="en-US" w:eastAsia="zh-CN" w:bidi="ar-SA"/>
    </w:rPr>
  </w:style>
  <w:style w:type="paragraph" w:styleId="3">
    <w:name w:val="heading 2"/>
    <w:basedOn w:val="1"/>
    <w:next w:val="1"/>
    <w:qFormat/>
    <w:uiPriority w:val="0"/>
    <w:pPr>
      <w:keepNext/>
      <w:keepLines/>
      <w:spacing w:before="100" w:beforeLines="100" w:after="100" w:afterLines="100" w:line="600" w:lineRule="exact"/>
      <w:jc w:val="center"/>
      <w:outlineLvl w:val="1"/>
    </w:pPr>
    <w:rPr>
      <w:rFonts w:ascii="黑体" w:hAnsi="Arial" w:eastAsia="黑体"/>
      <w:bCs/>
      <w:sz w:val="32"/>
      <w:szCs w:val="32"/>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4">
    <w:name w:val="Plain Text"/>
    <w:basedOn w:val="1"/>
    <w:qFormat/>
    <w:uiPriority w:val="99"/>
    <w:rPr>
      <w:rFonts w:ascii="宋体" w:hAnsi="宋体" w:eastAsia="宋体" w:cs="宋体"/>
      <w:sz w:val="21"/>
      <w:szCs w:val="21"/>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0">
    <w:name w:val="page number"/>
    <w:basedOn w:val="9"/>
    <w:qFormat/>
    <w:uiPriority w:val="0"/>
  </w:style>
  <w:style w:type="paragraph" w:customStyle="1" w:styleId="11">
    <w:name w:val="15.5正文（仿宋GB）"/>
    <w:basedOn w:val="1"/>
    <w:qFormat/>
    <w:uiPriority w:val="0"/>
    <w:pPr>
      <w:ind w:firstLine="200" w:firstLineChars="200"/>
    </w:pPr>
    <w:rPr>
      <w:rFonts w:ascii="方正书宋简体" w:hAnsi="方正书宋简体" w:eastAsia="仿宋_GB2312"/>
      <w:color w:val="000000"/>
      <w:sz w:val="31"/>
      <w:szCs w:val="31"/>
    </w:rPr>
  </w:style>
  <w:style w:type="paragraph" w:customStyle="1" w:styleId="12">
    <w:name w:val="一级标题（二号小标宋）"/>
    <w:basedOn w:val="1"/>
    <w:link w:val="15"/>
    <w:qFormat/>
    <w:uiPriority w:val="0"/>
    <w:pPr>
      <w:jc w:val="center"/>
    </w:pPr>
    <w:rPr>
      <w:rFonts w:ascii="方正书宋简体" w:hAnsi="方正书宋简体" w:eastAsia="方正小标宋_GBK"/>
      <w:color w:val="000000"/>
      <w:sz w:val="42"/>
      <w:szCs w:val="42"/>
    </w:rPr>
  </w:style>
  <w:style w:type="paragraph" w:customStyle="1" w:styleId="13">
    <w:name w:val="15.5楷体（标题下楷体）"/>
    <w:basedOn w:val="1"/>
    <w:qFormat/>
    <w:uiPriority w:val="0"/>
    <w:pPr>
      <w:spacing w:before="105"/>
      <w:ind w:firstLine="200" w:firstLineChars="200"/>
      <w:jc w:val="center"/>
    </w:pPr>
    <w:rPr>
      <w:rFonts w:ascii="方正书宋简体" w:hAnsi="方正书宋简体" w:eastAsia="楷体_GB2312"/>
      <w:color w:val="000000"/>
      <w:sz w:val="31"/>
      <w:szCs w:val="31"/>
    </w:rPr>
  </w:style>
  <w:style w:type="paragraph" w:customStyle="1" w:styleId="14">
    <w:name w:val="样式3"/>
    <w:basedOn w:val="1"/>
    <w:qFormat/>
    <w:uiPriority w:val="0"/>
    <w:pPr>
      <w:widowControl w:val="0"/>
      <w:adjustRightInd w:val="0"/>
      <w:snapToGrid w:val="0"/>
      <w:spacing w:before="100" w:beforeLines="100" w:after="100" w:afterLines="100" w:line="600" w:lineRule="exact"/>
      <w:jc w:val="center"/>
    </w:pPr>
    <w:rPr>
      <w:rFonts w:ascii="方正书宋简体" w:hAnsi="方正书宋简体" w:eastAsia="楷体_GB2312"/>
      <w:color w:val="000000"/>
      <w:sz w:val="31"/>
      <w:szCs w:val="31"/>
    </w:rPr>
  </w:style>
  <w:style w:type="character" w:customStyle="1" w:styleId="15">
    <w:name w:val="一级标题（二号小标宋） Char"/>
    <w:basedOn w:val="9"/>
    <w:link w:val="12"/>
    <w:qFormat/>
    <w:uiPriority w:val="0"/>
    <w:rPr>
      <w:rFonts w:ascii="方正书宋简体" w:hAnsi="方正书宋简体" w:eastAsia="方正小标宋_GBK"/>
      <w:color w:val="000000"/>
      <w:sz w:val="42"/>
      <w:szCs w:val="42"/>
    </w:rPr>
  </w:style>
  <w:style w:type="paragraph" w:customStyle="1" w:styleId="16">
    <w:name w:val="Body text|2"/>
    <w:basedOn w:val="1"/>
    <w:qFormat/>
    <w:uiPriority w:val="0"/>
    <w:pPr>
      <w:widowControl w:val="0"/>
      <w:shd w:val="clear" w:color="auto" w:fill="auto"/>
      <w:spacing w:after="470"/>
    </w:pPr>
    <w:rPr>
      <w:rFonts w:ascii="宋体" w:hAnsi="宋体" w:eastAsia="宋体" w:cs="宋体"/>
      <w:sz w:val="60"/>
      <w:szCs w:val="60"/>
      <w:u w:val="none"/>
      <w:shd w:val="clear" w:color="auto" w:fill="auto"/>
      <w:lang w:val="zh-TW" w:eastAsia="zh-TW" w:bidi="zh-TW"/>
    </w:rPr>
  </w:style>
  <w:style w:type="paragraph" w:customStyle="1" w:styleId="17">
    <w:name w:val="Body text|1"/>
    <w:basedOn w:val="1"/>
    <w:qFormat/>
    <w:uiPriority w:val="0"/>
    <w:pPr>
      <w:widowControl w:val="0"/>
      <w:shd w:val="clear" w:color="auto" w:fill="auto"/>
      <w:spacing w:line="322" w:lineRule="auto"/>
      <w:ind w:firstLine="400"/>
    </w:pPr>
    <w:rPr>
      <w:rFonts w:ascii="宋体" w:hAnsi="宋体" w:eastAsia="宋体" w:cs="宋体"/>
      <w:sz w:val="26"/>
      <w:szCs w:val="26"/>
      <w:u w:val="none"/>
      <w:shd w:val="clear" w:color="auto" w:fill="auto"/>
      <w:lang w:val="zh-TW" w:eastAsia="zh-TW" w:bidi="zh-TW"/>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2720</Words>
  <Characters>2724</Characters>
  <Lines>0</Lines>
  <Paragraphs>0</Paragraphs>
  <TotalTime>3</TotalTime>
  <ScaleCrop>false</ScaleCrop>
  <LinksUpToDate>false</LinksUpToDate>
  <CharactersWithSpaces>2816</CharactersWithSpaces>
  <Application>WPS Office_11.8.2.10195_F1E327BC-269C-435d-A152-05C5408002CA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2021-09-13T18:41:00Z</dcterms:created>
  <dc:creator>t</dc:creator>
  <cp:lastModifiedBy>xxzx-</cp:lastModifiedBy>
  <cp:lastPrinted>2021-09-26T17:19:00Z</cp:lastPrinted>
  <dcterms:modified xsi:type="dcterms:W3CDTF">2026-02-02T15:13:07Z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2052-11.8.2.10195</vt:lpwstr>
  </property>
  <property fmtid="{D5CDD505-2E9C-101B-9397-08002B2CF9AE}" pid="3" name="ICV">
    <vt:lpwstr>B2730C3DE4B44101801484FFB4A50383</vt:lpwstr>
  </property>
</Properties>
</file>