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w:t>
      </w:r>
    </w:p>
    <w:p>
      <w:pPr>
        <w:pStyle w:val="11"/>
        <w:widowControl/>
        <w:spacing w:before="0" w:beforeAutospacing="0" w:after="0" w:afterAutospacing="0" w:line="600" w:lineRule="exact"/>
        <w:jc w:val="both"/>
        <w:rPr>
          <w:rFonts w:ascii="方正小标宋简体" w:hAnsi="方正小标宋简体" w:eastAsia="方正小标宋简体" w:cs="方正小标宋简体"/>
          <w:sz w:val="44"/>
          <w:szCs w:val="44"/>
        </w:rPr>
      </w:pPr>
    </w:p>
    <w:p>
      <w:pPr>
        <w:pStyle w:val="4"/>
        <w:widowControl/>
        <w:spacing w:before="0" w:beforeAutospacing="0" w:after="0" w:afterAutospacing="0" w:line="600" w:lineRule="exact"/>
        <w:jc w:val="center"/>
        <w:rPr>
          <w:rFonts w:hint="default" w:ascii="方正小标宋简体" w:hAnsi="方正小标宋简体" w:eastAsia="方正小标宋简体" w:cs="方正小标宋简体"/>
          <w:b w:val="0"/>
          <w:bCs w:val="0"/>
          <w:sz w:val="44"/>
          <w:szCs w:val="44"/>
        </w:rPr>
      </w:pPr>
      <w:bookmarkStart w:id="0" w:name="_GoBack"/>
      <w:r>
        <w:rPr>
          <w:rFonts w:ascii="方正小标宋简体" w:hAnsi="方正小标宋简体" w:eastAsia="方正小标宋简体" w:cs="方正小标宋简体"/>
          <w:b w:val="0"/>
          <w:bCs w:val="0"/>
          <w:sz w:val="44"/>
          <w:szCs w:val="44"/>
        </w:rPr>
        <w:t>关于加强老年人能力评估机构管理工作的通知</w:t>
      </w:r>
    </w:p>
    <w:p>
      <w:pPr>
        <w:pStyle w:val="11"/>
        <w:widowControl/>
        <w:spacing w:before="0" w:beforeAutospacing="0" w:after="0" w:afterAutospacing="0" w:line="600" w:lineRule="exact"/>
        <w:jc w:val="center"/>
        <w:rPr>
          <w:rFonts w:ascii="楷体" w:hAnsi="楷体" w:eastAsia="楷体" w:cs="楷体"/>
          <w:sz w:val="32"/>
          <w:szCs w:val="32"/>
        </w:rPr>
      </w:pPr>
      <w:r>
        <w:rPr>
          <w:rFonts w:hint="eastAsia" w:ascii="楷体" w:hAnsi="楷体" w:eastAsia="楷体" w:cs="楷体"/>
          <w:sz w:val="32"/>
          <w:szCs w:val="32"/>
        </w:rPr>
        <w:t>（征求意见稿）</w:t>
      </w:r>
      <w:bookmarkEnd w:id="0"/>
    </w:p>
    <w:p>
      <w:pPr>
        <w:pStyle w:val="11"/>
        <w:widowControl/>
        <w:spacing w:before="0" w:beforeAutospacing="0" w:after="0" w:afterAutospacing="0" w:line="600" w:lineRule="exact"/>
        <w:ind w:firstLine="640" w:firstLineChars="200"/>
        <w:rPr>
          <w:rFonts w:ascii="仿宋_GB2312" w:hAnsi="仿宋_GB2312" w:eastAsia="仿宋_GB2312" w:cs="仿宋_GB2312"/>
          <w:sz w:val="32"/>
          <w:szCs w:val="32"/>
        </w:rPr>
      </w:pPr>
    </w:p>
    <w:p>
      <w:pPr>
        <w:adjustRightInd w:val="0"/>
        <w:snapToGrid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各县区民政局、市城乡一体化示范区民政局：</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根据《民政部财政部关于实施向中度以上失能老年人发放养老服务消费补贴项目的通知》、河南省民政厅、河南省财政厅关于印发《关于实施向中度以上失能老年人发放养老服务消费补贴项目工作方案》的通知和《老年人能力评估规范》（GB/T 42195-2022）等文件标准要求，为进一步健全老年人能力评估工作机制，加强全市老年人能力评估机构管理工作，现将有关事宜通知如下。</w:t>
      </w:r>
    </w:p>
    <w:p>
      <w:pPr>
        <w:adjustRightInd w:val="0"/>
        <w:snapToGrid w:val="0"/>
        <w:spacing w:line="600" w:lineRule="exact"/>
        <w:rPr>
          <w:rFonts w:ascii="黑体" w:hAnsi="黑体" w:eastAsia="黑体" w:cs="黑体"/>
          <w:sz w:val="32"/>
          <w:szCs w:val="32"/>
        </w:rPr>
      </w:pPr>
      <w:r>
        <w:rPr>
          <w:rFonts w:hint="eastAsia" w:ascii="黑体" w:hAnsi="黑体" w:eastAsia="黑体" w:cs="黑体"/>
          <w:sz w:val="32"/>
          <w:szCs w:val="32"/>
        </w:rPr>
        <w:t>一、培育专业化老年人能力评估机构</w:t>
      </w:r>
    </w:p>
    <w:p>
      <w:pPr>
        <w:adjustRightInd w:val="0"/>
        <w:snapToGrid w:val="0"/>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老年人能力评估是由专业人员依据国家统一标准，对老年人个体的自理能力、基础运动能力、精神状态、感知觉与社会参与等方面进行的综合分析评价工作。评估结果是科学确定老年人服务需求类型、照料护理等级以及明确养老服务补贴资格等工作的重要依据。各县区民政部门要从发展基本养老服务的全局出发，以保障老年人养老服务需求为核心，坚持政府指导、社会参与，权责明晰、公平公正，科学规范、有序推进的原则，培育一批</w:t>
      </w:r>
      <w:r>
        <w:rPr>
          <w:rFonts w:hint="eastAsia" w:ascii="仿宋_GB2312" w:hAnsi="仿宋_GB2312" w:eastAsia="仿宋_GB2312" w:cs="仿宋_GB2312"/>
          <w:sz w:val="32"/>
          <w:szCs w:val="32"/>
        </w:rPr>
        <w:t>资质优良、信誉度好、专业过硬的老年人能力</w:t>
      </w:r>
      <w:r>
        <w:rPr>
          <w:rFonts w:hint="eastAsia" w:ascii="仿宋_GB2312" w:hAnsi="仿宋_GB2312" w:eastAsia="仿宋_GB2312" w:cs="仿宋_GB2312"/>
          <w:kern w:val="0"/>
          <w:sz w:val="32"/>
          <w:szCs w:val="32"/>
        </w:rPr>
        <w:t>评估机构。鼓励具备条件的各类涉老服务、康养服务、卫生健康等企事业单位及社会组织依法依规申请老年人能力评估服务资质，评估机构数量要满足当地养老服务供给，原则上每个县区评估机构不少于3家。</w:t>
      </w:r>
    </w:p>
    <w:p>
      <w:pPr>
        <w:adjustRightInd w:val="0"/>
        <w:snapToGrid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二、明确评估机构设立条件</w:t>
      </w:r>
    </w:p>
    <w:p>
      <w:pPr>
        <w:adjustRightInd w:val="0"/>
        <w:snapToGrid w:val="0"/>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老年人评估机构遵循自愿申报、择优遴选和公平公正的原则，应符合《老年人能力评估规范》（GB/T 42195-2022）中第5.1评估环境、5.2评估主体的相关要求，并同时符合以下条件：</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楷体" w:hAnsi="楷体" w:eastAsia="楷体" w:cs="楷体"/>
          <w:kern w:val="2"/>
          <w:sz w:val="32"/>
          <w:szCs w:val="32"/>
        </w:rPr>
        <w:t>（一）资质要求。</w:t>
      </w:r>
      <w:r>
        <w:rPr>
          <w:rFonts w:hint="eastAsia" w:ascii="仿宋_GB2312" w:hAnsi="仿宋_GB2312" w:eastAsia="仿宋_GB2312" w:cs="仿宋_GB2312"/>
          <w:sz w:val="32"/>
          <w:szCs w:val="32"/>
        </w:rPr>
        <w:t>依法设立，具有独立承担民事责任能力的企事业单位或社会组织，业务范围包括老年人能力评估类相关内容，</w:t>
      </w:r>
      <w:r>
        <w:rPr>
          <w:rFonts w:hint="eastAsia" w:ascii="仿宋_GB2312" w:hAnsi="仿宋_GB2312" w:eastAsia="仿宋_GB2312" w:cs="仿宋_GB2312"/>
          <w:bCs/>
          <w:kern w:val="44"/>
          <w:sz w:val="32"/>
          <w:szCs w:val="32"/>
        </w:rPr>
        <w:t>符合《老年人能力评估规范》关于评估主体的有关要求，</w:t>
      </w:r>
      <w:r>
        <w:rPr>
          <w:rFonts w:hint="eastAsia" w:ascii="仿宋_GB2312" w:hAnsi="仿宋_GB2312" w:eastAsia="仿宋_GB2312" w:cs="仿宋_GB2312"/>
          <w:sz w:val="32"/>
          <w:szCs w:val="32"/>
        </w:rPr>
        <w:t>能够独立开展老年人能力评估工作，无重大违法记录，未被列入严重违法失信名单。评估机构不得同时承担依本机构评估结论而开展养老服务工作，评估机构出资人、法定代表人、主要负责人不得开办或参与开办养老服务机构，承诺未参与提供由本项目补贴的养老服务或与提供本项目补贴的养老服务主体形成关联交易。</w:t>
      </w:r>
    </w:p>
    <w:p>
      <w:pPr>
        <w:spacing w:line="600" w:lineRule="exact"/>
        <w:ind w:firstLine="640" w:firstLineChars="200"/>
        <w:rPr>
          <w:rFonts w:ascii="仿宋_GB2312" w:hAnsi="仿宋_GB2312" w:eastAsia="仿宋_GB2312" w:cs="仿宋_GB2312"/>
          <w:bCs/>
          <w:kern w:val="44"/>
          <w:sz w:val="32"/>
          <w:szCs w:val="32"/>
        </w:rPr>
      </w:pPr>
      <w:r>
        <w:rPr>
          <w:rFonts w:hint="eastAsia" w:ascii="楷体" w:hAnsi="楷体" w:eastAsia="楷体" w:cs="楷体"/>
          <w:sz w:val="32"/>
          <w:szCs w:val="32"/>
        </w:rPr>
        <w:t>（二）人员要求。</w:t>
      </w:r>
      <w:r>
        <w:rPr>
          <w:rFonts w:hint="eastAsia" w:ascii="仿宋_GB2312" w:hAnsi="仿宋_GB2312" w:eastAsia="仿宋_GB2312" w:cs="仿宋_GB2312"/>
          <w:bCs/>
          <w:kern w:val="44"/>
          <w:sz w:val="32"/>
          <w:szCs w:val="32"/>
        </w:rPr>
        <w:t>至少配备5名专职或兼职评估人员。评估人员应具有全日制高中或中专以上学历，有2年以上从事医疗护理、健康管理、养老服务、老年社会工作等实务经历并具有相关专业背景，理解评估指标内容，掌握评估要求。能够客观公正开展评估工作并及时将评估结果同步至“民政通”，保护被评估人员和评估人员的尊严、安全和个人隐私。</w:t>
      </w:r>
    </w:p>
    <w:p>
      <w:pPr>
        <w:spacing w:line="600" w:lineRule="exact"/>
        <w:ind w:firstLine="640" w:firstLineChars="200"/>
        <w:rPr>
          <w:rFonts w:ascii="仿宋_GB2312" w:hAnsi="仿宋_GB2312" w:eastAsia="仿宋_GB2312" w:cs="仿宋_GB2312"/>
          <w:sz w:val="32"/>
          <w:szCs w:val="32"/>
        </w:rPr>
      </w:pPr>
      <w:r>
        <w:rPr>
          <w:rFonts w:hint="eastAsia" w:ascii="楷体" w:hAnsi="楷体" w:eastAsia="楷体" w:cs="楷体"/>
          <w:sz w:val="32"/>
          <w:szCs w:val="32"/>
        </w:rPr>
        <w:t>（三）场地要求。</w:t>
      </w:r>
      <w:r>
        <w:rPr>
          <w:rFonts w:hint="eastAsia" w:ascii="仿宋_GB2312" w:hAnsi="仿宋_GB2312" w:eastAsia="仿宋_GB2312" w:cs="仿宋_GB2312"/>
          <w:sz w:val="32"/>
          <w:szCs w:val="32"/>
        </w:rPr>
        <w:t>具有独立、专业的评估场地，评估环境应清洁、安静、光线充足、空气清新、温度适宜，符合国家标准。采取集中评估时，应设立等候评估的空间，评估工作在相对独立的评估室内逐一进行，开展评估工作的机构宜设立单独的评估室。评估室内物品应满足评估需要，不应放置与评估无关的物品，评估室内或室外有连续的台阶和带有扶手的通道，可供评估使用。楼梯、台阶各级踏步应均匀一致、平整、防滑。</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2025年1月1日以来，机构和评估人员未被纳入单独或联合失信惩戒名单、未被行政处罚、未被纳入人民法院失信被执行人名单，服务过程中未发生重大安全事故或服务对象群体投诉信访事件。</w:t>
      </w:r>
    </w:p>
    <w:p>
      <w:pPr>
        <w:adjustRightInd w:val="0"/>
        <w:snapToGrid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三、优化评估机构申办流程</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楷体" w:hAnsi="楷体" w:eastAsia="楷体" w:cs="楷体"/>
          <w:sz w:val="32"/>
          <w:szCs w:val="32"/>
        </w:rPr>
        <w:t>（一）组织申报。</w:t>
      </w:r>
      <w:r>
        <w:rPr>
          <w:rFonts w:hint="eastAsia" w:ascii="仿宋_GB2312" w:hAnsi="仿宋_GB2312" w:eastAsia="仿宋_GB2312" w:cs="仿宋_GB2312"/>
          <w:sz w:val="32"/>
          <w:szCs w:val="32"/>
        </w:rPr>
        <w:t>符合上述条件的机构可向所在县区民政部门提出申请，并提交以下纸质材料：</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1.《洛阳市老年人能力评估机构申请表》（见附件1）、《洛阳市老年人能力评估机构承诺书》（见附件2）。</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2.《营业执照》或《民办非企业单位登记证书》或《事业单位法人证书》等相关材料正、副本原件及加盖公章的复印件。</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3.洛阳市老年人能力评估机构人员花名册（见附件3），劳动合同、劳务合同或聘用合同复印件、相关职业（执业）资格证书复印件。</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4.提供评估场所产权证明、配备设施设备后的图片。自有产权提供产权证复印件，租赁场所提供产权证、租赁合同复印件，租赁合同期限不低于1年。</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5.提供评估机构信用中国查询无失信记录的证明。</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楷体" w:hAnsi="楷体" w:eastAsia="楷体" w:cs="楷体"/>
          <w:sz w:val="32"/>
          <w:szCs w:val="32"/>
        </w:rPr>
        <w:t>（二）遴选评审。</w:t>
      </w:r>
      <w:r>
        <w:rPr>
          <w:rFonts w:hint="eastAsia" w:ascii="仿宋_GB2312" w:hAnsi="仿宋_GB2312" w:eastAsia="仿宋_GB2312" w:cs="仿宋_GB2312"/>
          <w:sz w:val="32"/>
          <w:szCs w:val="32"/>
        </w:rPr>
        <w:t>按照“即审即入、有进有出、动态更新、严格管理”的原则，各县区民政部门应及时对申请材料在5个工作日内完成初审，根据需要进行实地查看，发现违规的机构要及时清退。经市民政局、市养老服务中心审核确认后，按规定赋予“民政通”权限。一视同仁支持不同所有制、不同注册地、不同规模相关机构参与项目，不得以资金能力等为由限制其参与。县级以上民政部门可主动邀商，织密服务网络，为中度以上失能老年人提供更高品质的服务。</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楷体" w:hAnsi="楷体" w:eastAsia="楷体" w:cs="楷体"/>
          <w:sz w:val="32"/>
          <w:szCs w:val="32"/>
        </w:rPr>
        <w:t>（三）公告入库。</w:t>
      </w:r>
      <w:r>
        <w:rPr>
          <w:rFonts w:hint="eastAsia" w:ascii="仿宋_GB2312" w:hAnsi="仿宋_GB2312" w:eastAsia="仿宋_GB2312" w:cs="仿宋_GB2312"/>
          <w:sz w:val="32"/>
          <w:szCs w:val="32"/>
        </w:rPr>
        <w:t>审核通过的，应将其纳入拟确定评估机构名单进行公示，公示期满无异议的，向社会公告评估机构名单，并录入老年人能力评估机构库统一管理。</w:t>
      </w:r>
    </w:p>
    <w:p>
      <w:pPr>
        <w:adjustRightInd w:val="0"/>
        <w:snapToGrid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四、强化评估机构运营管理</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（一）评估机构应按照《老年人能力评估规范》（GB/T42195-2022）等文件要求，建立健全培训、考核、评估、运营、财务、资产管理等内部质量管理制度。</w:t>
      </w:r>
    </w:p>
    <w:p>
      <w:pPr>
        <w:pStyle w:val="11"/>
        <w:adjustRightInd w:val="0"/>
        <w:snapToGrid w:val="0"/>
        <w:spacing w:before="0" w:beforeAutospacing="0" w:after="0" w:afterAutospacing="0" w:line="60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kern w:val="2"/>
          <w:sz w:val="32"/>
          <w:szCs w:val="32"/>
        </w:rPr>
        <w:t>（二）</w:t>
      </w:r>
      <w:r>
        <w:rPr>
          <w:rFonts w:hint="eastAsia" w:ascii="仿宋_GB2312" w:hAnsi="仿宋_GB2312" w:eastAsia="仿宋_GB2312" w:cs="仿宋_GB2312"/>
          <w:sz w:val="32"/>
          <w:szCs w:val="32"/>
        </w:rPr>
        <w:t>评估机构应与评估人员签订劳动合同、劳务合同或聘用合同，签订合同期限不低于1年。评估人员只能在一家评估机构专职或兼职开展评估工作，不得在其他机构挂靠评估资格证书。</w:t>
      </w:r>
    </w:p>
    <w:p>
      <w:pPr>
        <w:pStyle w:val="11"/>
        <w:adjustRightInd w:val="0"/>
        <w:snapToGrid w:val="0"/>
        <w:spacing w:before="0" w:beforeAutospacing="0" w:after="0" w:afterAutospacing="0" w:line="60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kern w:val="2"/>
          <w:sz w:val="32"/>
          <w:szCs w:val="32"/>
        </w:rPr>
        <w:t>评估机构应按照“客观公正、科学规范”的原则开展评估工作，评估人员实行持证上岗、亮证评估，每次评估应有2名评估人员同时在场，至少一人具有医护背景。评估人员对被评估人员能力评估结果负专业技术责任。</w:t>
      </w:r>
      <w:r>
        <w:rPr>
          <w:rFonts w:hint="eastAsia" w:ascii="仿宋_GB2312" w:hAnsi="仿宋_GB2312" w:eastAsia="仿宋_GB2312" w:cs="仿宋_GB2312"/>
          <w:sz w:val="32"/>
          <w:szCs w:val="32"/>
        </w:rPr>
        <w:t>与被评估人员存在亲属关系、组织关联、经济利益关联等可能影响评估公正性的情形，应主动申请回避，如应回避而未回避的，评估结果作废。</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（四）评估机构应严格保护被评估人员的尊严、安全和个人隐私，不得向任何机构或个人提供被评估人员、评估过程、评估结果等评估信息。</w:t>
      </w:r>
      <w:r>
        <w:rPr>
          <w:rFonts w:hint="eastAsia" w:ascii="仿宋_GB2312" w:hAnsi="仿宋_GB2312" w:eastAsia="仿宋_GB2312" w:cs="仿宋_GB2312"/>
          <w:kern w:val="0"/>
          <w:sz w:val="32"/>
          <w:szCs w:val="32"/>
        </w:rPr>
        <w:t>不得在评估中推销商品和服务，不得依本机构评估结论开展养老服务工作。</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（五）评估机构应主动接受并配合主管部门或受主管部门委托的第三方机构的指导、监督和管理，并按规定提供相关材料。</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评估机构须建立健全评估档案管理制度，按规范要求对老年人能力评估过程中的相关记录、评估结论书等档案材料进行留存归档，存档期限不得少于10年。若主管部门建立数字化评估系统，则依照该系统管理的相关规定执行。</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七）评估机构的名称、出资人、法定代表人、主要负责人、注册地址、银行账户、业务范围等重大信息变更时，应自有关部门批准之日起30个工作日内向县区民政部门提出书面申请进行信息变更，信息变更后，评估机构不符合规定的，终止评估机构资格。</w:t>
      </w:r>
    </w:p>
    <w:p>
      <w:pPr>
        <w:pStyle w:val="11"/>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八）评估机构法定代表人、主要负责人被列入失信人名单，登记证书、行业资质或执业许可证照失效，被有关部门吊销、注销营（执）业资质，统一社会信用代码发生变化，提供虚假资料、出具失实报告的，将自动终止评估机构资格。</w:t>
      </w:r>
    </w:p>
    <w:p>
      <w:pPr>
        <w:adjustRightInd w:val="0"/>
        <w:snapToGrid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五、加强评估机构监督管理</w:t>
      </w:r>
    </w:p>
    <w:p>
      <w:pPr>
        <w:pStyle w:val="11"/>
        <w:adjustRightInd w:val="0"/>
        <w:snapToGrid w:val="0"/>
        <w:spacing w:before="0" w:beforeAutospacing="0" w:after="0" w:afterAutospacing="0" w:line="60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（一）洛阳市民政局、市养老服务中心负责制定老年人能力评估机构管理政策，指导县区民政部门开展评估工作。市养老服务中心负责监督指导老年人能力评估工作、开展评估人员培训和评估系统管理。</w:t>
      </w:r>
    </w:p>
    <w:p>
      <w:pPr>
        <w:pStyle w:val="11"/>
        <w:adjustRightInd w:val="0"/>
        <w:snapToGrid w:val="0"/>
        <w:spacing w:before="0" w:beforeAutospacing="0" w:after="0" w:afterAutospacing="0" w:line="60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各县区民政部门负责评估机构征集确定、组织评估、监督检查和动态管理等工作。应与评估机构签订协议，明确双方权利义务，通过实地检查、抽查、智能监控等方式，对评估机构评估行为进行监督，对于违反规定开展评估的应进行约谈。通过满意度调查、第三方评价、聘请社会监督员等方式对评估机构进行社会监督，畅通投诉举报渠道，及时发现问题并进行处理。</w:t>
      </w:r>
    </w:p>
    <w:p>
      <w:pPr>
        <w:pStyle w:val="11"/>
        <w:adjustRightInd w:val="0"/>
        <w:snapToGrid w:val="0"/>
        <w:spacing w:before="0" w:beforeAutospacing="0" w:after="0" w:afterAutospacing="0" w:line="60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评估机构和评估人员有出具虚假评估报告、篡改评估结果等情形的，依法追回评估费用，纳入失信联合惩戒名单，并依据法律法规及相关规定承担责任；涉嫌犯罪的，依法移送司法机关处理。评估机构和评估人员泄露评估信息的，依据相关法律规定承担责任；涉嫌犯罪的，依法移送司法机关处理。</w:t>
      </w:r>
    </w:p>
    <w:p>
      <w:pPr>
        <w:pStyle w:val="11"/>
        <w:adjustRightInd w:val="0"/>
        <w:snapToGrid w:val="0"/>
        <w:spacing w:before="0" w:beforeAutospacing="0" w:after="0" w:afterAutospacing="0" w:line="60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（四）评估对象以欺诈、伪造证明材料或其他手段获取评估结果的，依法追回政府补贴补助资金；涉嫌犯罪的，依法移送司法机关处理。</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附件：1. 洛阳市老年人能力评估机构申请表</w:t>
      </w:r>
    </w:p>
    <w:p>
      <w:pPr>
        <w:adjustRightInd w:val="0"/>
        <w:snapToGrid w:val="0"/>
        <w:spacing w:line="600"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2. 洛阳市老年人能力评估机构承诺书</w:t>
      </w:r>
    </w:p>
    <w:p>
      <w:pPr>
        <w:adjustRightInd w:val="0"/>
        <w:snapToGrid w:val="0"/>
        <w:spacing w:line="600"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3. 洛阳市老年人能力评估机构评估人员花名册</w:t>
      </w:r>
    </w:p>
    <w:p>
      <w:pPr>
        <w:jc w:val="left"/>
        <w:rPr>
          <w:rFonts w:ascii="黑体" w:hAnsi="黑体" w:eastAsia="黑体" w:cs="黑体"/>
          <w:kern w:val="0"/>
          <w:sz w:val="32"/>
          <w:szCs w:val="32"/>
        </w:rPr>
      </w:pPr>
      <w:r>
        <w:rPr>
          <w:rFonts w:hint="eastAsia" w:ascii="黑体" w:hAnsi="黑体" w:eastAsia="黑体" w:cs="黑体"/>
          <w:kern w:val="0"/>
          <w:sz w:val="32"/>
          <w:szCs w:val="32"/>
        </w:rPr>
        <w:t>附件1</w:t>
      </w:r>
    </w:p>
    <w:p>
      <w:pPr>
        <w:widowControl/>
        <w:spacing w:line="579"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洛阳市老年人能力评估机构申请表</w:t>
      </w:r>
    </w:p>
    <w:tbl>
      <w:tblPr>
        <w:tblStyle w:val="12"/>
        <w:tblpPr w:leftFromText="180" w:rightFromText="180" w:vertAnchor="text" w:horzAnchor="page" w:tblpX="1803" w:tblpY="255"/>
        <w:tblOverlap w:val="never"/>
        <w:tblW w:w="83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8"/>
        <w:gridCol w:w="2304"/>
        <w:gridCol w:w="1261"/>
        <w:gridCol w:w="2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机构名称</w:t>
            </w:r>
          </w:p>
        </w:tc>
        <w:tc>
          <w:tcPr>
            <w:tcW w:w="6179" w:type="dxa"/>
            <w:gridSpan w:val="3"/>
            <w:noWrap/>
            <w:vAlign w:val="center"/>
          </w:tcPr>
          <w:p>
            <w:pPr>
              <w:spacing w:line="440" w:lineRule="exact"/>
              <w:rPr>
                <w:rFonts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机构类型</w:t>
            </w:r>
          </w:p>
        </w:tc>
        <w:tc>
          <w:tcPr>
            <w:tcW w:w="6179" w:type="dxa"/>
            <w:gridSpan w:val="3"/>
            <w:noWrap/>
            <w:vAlign w:val="center"/>
          </w:tcPr>
          <w:p>
            <w:pPr>
              <w:pStyle w:val="11"/>
              <w:widowControl/>
              <w:spacing w:before="0" w:beforeAutospacing="0" w:after="0" w:afterAutospacing="0" w:line="440" w:lineRule="exact"/>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 xml:space="preserve">□企业         □事业单位       □社会组织  </w:t>
            </w:r>
          </w:p>
          <w:p>
            <w:pPr>
              <w:pStyle w:val="11"/>
              <w:widowControl/>
              <w:spacing w:before="0" w:beforeAutospacing="0" w:after="0" w:afterAutospacing="0" w:line="440" w:lineRule="exact"/>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□医疗机构     □长护险定点机构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统一社会信用代码</w:t>
            </w:r>
          </w:p>
        </w:tc>
        <w:tc>
          <w:tcPr>
            <w:tcW w:w="2304" w:type="dxa"/>
            <w:noWrap/>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p>
        </w:tc>
        <w:tc>
          <w:tcPr>
            <w:tcW w:w="1261" w:type="dxa"/>
            <w:noWrap/>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注册地址</w:t>
            </w:r>
          </w:p>
        </w:tc>
        <w:tc>
          <w:tcPr>
            <w:tcW w:w="2614" w:type="dxa"/>
            <w:noWrap/>
            <w:vAlign w:val="center"/>
          </w:tcPr>
          <w:p>
            <w:pPr>
              <w:pStyle w:val="11"/>
              <w:widowControl/>
              <w:spacing w:before="0" w:beforeAutospacing="0" w:after="0" w:afterAutospacing="0" w:line="440" w:lineRule="exact"/>
              <w:jc w:val="both"/>
              <w:outlineLvl w:val="0"/>
              <w:rPr>
                <w:rFonts w:ascii="仿宋_GB2312" w:hAnsi="仿宋_GB2312" w:eastAsia="仿宋_GB2312" w:cs="仿宋_GB2312"/>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法定代表人</w:t>
            </w:r>
          </w:p>
        </w:tc>
        <w:tc>
          <w:tcPr>
            <w:tcW w:w="2304" w:type="dxa"/>
            <w:noWrap/>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p>
        </w:tc>
        <w:tc>
          <w:tcPr>
            <w:tcW w:w="1261"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spacing w:val="-20"/>
                <w:kern w:val="2"/>
                <w:sz w:val="30"/>
                <w:szCs w:val="30"/>
              </w:rPr>
              <w:t>身份证号码</w:t>
            </w:r>
          </w:p>
        </w:tc>
        <w:tc>
          <w:tcPr>
            <w:tcW w:w="2614" w:type="dxa"/>
            <w:noWrap/>
            <w:vAlign w:val="center"/>
          </w:tcPr>
          <w:p>
            <w:pPr>
              <w:pStyle w:val="11"/>
              <w:widowControl/>
              <w:spacing w:before="0" w:beforeAutospacing="0" w:after="0" w:afterAutospacing="0" w:line="440" w:lineRule="exact"/>
              <w:jc w:val="both"/>
              <w:outlineLvl w:val="0"/>
              <w:rPr>
                <w:rFonts w:ascii="仿宋_GB2312" w:hAnsi="仿宋_GB2312" w:eastAsia="仿宋_GB2312" w:cs="仿宋_GB2312"/>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业务范围</w:t>
            </w:r>
            <w:r>
              <w:rPr>
                <w:rFonts w:hint="eastAsia" w:ascii="仿宋_GB2312" w:hAnsi="仿宋_GB2312" w:eastAsia="仿宋_GB2312" w:cs="仿宋_GB2312"/>
                <w:kern w:val="2"/>
                <w:sz w:val="30"/>
                <w:szCs w:val="30"/>
              </w:rPr>
              <w:br w:type="textWrapping"/>
            </w:r>
            <w:r>
              <w:rPr>
                <w:rFonts w:hint="eastAsia" w:ascii="仿宋_GB2312" w:hAnsi="仿宋_GB2312" w:eastAsia="仿宋_GB2312" w:cs="仿宋_GB2312"/>
                <w:kern w:val="2"/>
                <w:sz w:val="30"/>
                <w:szCs w:val="30"/>
              </w:rPr>
              <w:t>（要求包含“老年人能力评估”相关内容）</w:t>
            </w:r>
          </w:p>
        </w:tc>
        <w:tc>
          <w:tcPr>
            <w:tcW w:w="6179" w:type="dxa"/>
            <w:gridSpan w:val="3"/>
            <w:noWrap/>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评估人员</w:t>
            </w:r>
          </w:p>
        </w:tc>
        <w:tc>
          <w:tcPr>
            <w:tcW w:w="6179" w:type="dxa"/>
            <w:gridSpan w:val="3"/>
            <w:noWrap/>
            <w:vAlign w:val="center"/>
          </w:tcPr>
          <w:p>
            <w:pPr>
              <w:pStyle w:val="11"/>
              <w:widowControl/>
              <w:spacing w:before="0" w:beforeAutospacing="0" w:after="0" w:afterAutospacing="0" w:line="440" w:lineRule="exact"/>
              <w:jc w:val="both"/>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评估人员     人，其中具有医护背景    人，评估专家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sz w:val="30"/>
                <w:szCs w:val="30"/>
              </w:rPr>
              <w:t>评估场所</w:t>
            </w:r>
          </w:p>
        </w:tc>
        <w:tc>
          <w:tcPr>
            <w:tcW w:w="6179" w:type="dxa"/>
            <w:gridSpan w:val="3"/>
            <w:noWrap/>
            <w:vAlign w:val="center"/>
          </w:tcPr>
          <w:p>
            <w:pPr>
              <w:spacing w:line="44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地址： </w:t>
            </w:r>
          </w:p>
          <w:p>
            <w:pPr>
              <w:spacing w:line="44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面积：    平方米（独立评估室    ㎡）  </w:t>
            </w:r>
          </w:p>
          <w:p>
            <w:pPr>
              <w:spacing w:line="44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无障碍设施：□齐全  □部分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sz w:val="30"/>
                <w:szCs w:val="30"/>
              </w:rPr>
              <w:t>服务类型</w:t>
            </w:r>
          </w:p>
        </w:tc>
        <w:tc>
          <w:tcPr>
            <w:tcW w:w="6179" w:type="dxa"/>
            <w:gridSpan w:val="3"/>
            <w:noWrap/>
            <w:vAlign w:val="center"/>
          </w:tcPr>
          <w:p>
            <w:pPr>
              <w:pStyle w:val="11"/>
              <w:widowControl/>
              <w:spacing w:before="0" w:beforeAutospacing="0" w:after="0" w:afterAutospacing="0" w:line="440" w:lineRule="exact"/>
              <w:ind w:firstLine="300" w:firstLineChars="100"/>
              <w:outlineLvl w:val="0"/>
              <w:rPr>
                <w:rFonts w:ascii="仿宋_GB2312" w:hAnsi="仿宋_GB2312" w:eastAsia="仿宋_GB2312" w:cs="仿宋_GB2312"/>
                <w:kern w:val="2"/>
                <w:sz w:val="30"/>
                <w:szCs w:val="30"/>
              </w:rPr>
            </w:pPr>
            <w:r>
              <w:rPr>
                <w:rFonts w:hint="eastAsia" w:ascii="仿宋_GB2312" w:hAnsi="仿宋_GB2312" w:eastAsia="仿宋_GB2312" w:cs="仿宋_GB2312"/>
                <w:sz w:val="30"/>
                <w:szCs w:val="30"/>
              </w:rPr>
              <w:t>□上门评估  □定点评估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联系人</w:t>
            </w:r>
          </w:p>
        </w:tc>
        <w:tc>
          <w:tcPr>
            <w:tcW w:w="2304" w:type="dxa"/>
            <w:noWrap/>
            <w:vAlign w:val="center"/>
          </w:tcPr>
          <w:p>
            <w:pPr>
              <w:pStyle w:val="11"/>
              <w:widowControl/>
              <w:spacing w:before="0" w:beforeAutospacing="0" w:after="0" w:afterAutospacing="0" w:line="440" w:lineRule="exact"/>
              <w:ind w:firstLine="300" w:firstLineChars="100"/>
              <w:outlineLvl w:val="0"/>
              <w:rPr>
                <w:rFonts w:ascii="仿宋_GB2312" w:hAnsi="仿宋_GB2312" w:eastAsia="仿宋_GB2312" w:cs="仿宋_GB2312"/>
                <w:kern w:val="2"/>
                <w:sz w:val="30"/>
                <w:szCs w:val="30"/>
              </w:rPr>
            </w:pPr>
          </w:p>
        </w:tc>
        <w:tc>
          <w:tcPr>
            <w:tcW w:w="1261" w:type="dxa"/>
            <w:noWrap/>
            <w:vAlign w:val="center"/>
          </w:tcPr>
          <w:p>
            <w:pPr>
              <w:pStyle w:val="11"/>
              <w:widowControl/>
              <w:spacing w:before="0" w:beforeAutospacing="0" w:after="0" w:afterAutospacing="0" w:line="440" w:lineRule="exact"/>
              <w:outlineLvl w:val="0"/>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联系电话</w:t>
            </w:r>
          </w:p>
        </w:tc>
        <w:tc>
          <w:tcPr>
            <w:tcW w:w="2614" w:type="dxa"/>
            <w:noWrap/>
            <w:vAlign w:val="center"/>
          </w:tcPr>
          <w:p>
            <w:pPr>
              <w:pStyle w:val="11"/>
              <w:widowControl/>
              <w:spacing w:before="0" w:beforeAutospacing="0" w:after="0" w:afterAutospacing="0" w:line="440" w:lineRule="exact"/>
              <w:ind w:firstLine="300" w:firstLineChars="100"/>
              <w:outlineLvl w:val="0"/>
              <w:rPr>
                <w:rFonts w:ascii="仿宋_GB2312" w:hAnsi="仿宋_GB2312" w:eastAsia="仿宋_GB2312" w:cs="仿宋_GB2312"/>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2148" w:type="dxa"/>
            <w:noWrap/>
            <w:tcMar>
              <w:top w:w="0" w:type="dxa"/>
              <w:left w:w="28" w:type="dxa"/>
              <w:bottom w:w="0" w:type="dxa"/>
              <w:right w:w="28" w:type="dxa"/>
            </w:tcMar>
            <w:vAlign w:val="center"/>
          </w:tcPr>
          <w:p>
            <w:pPr>
              <w:pStyle w:val="11"/>
              <w:widowControl/>
              <w:spacing w:before="0" w:beforeAutospacing="0" w:after="0" w:afterAutospacing="0" w:line="440" w:lineRule="exact"/>
              <w:jc w:val="center"/>
              <w:outlineLvl w:val="0"/>
              <w:rPr>
                <w:rFonts w:ascii="仿宋_GB2312" w:hAnsi="仿宋_GB2312" w:eastAsia="仿宋_GB2312" w:cs="仿宋_GB2312"/>
                <w:sz w:val="30"/>
                <w:szCs w:val="30"/>
              </w:rPr>
            </w:pPr>
            <w:r>
              <w:rPr>
                <w:rFonts w:hint="eastAsia" w:ascii="仿宋_GB2312" w:hAnsi="仿宋_GB2312" w:eastAsia="仿宋_GB2312" w:cs="仿宋_GB2312"/>
                <w:sz w:val="30"/>
                <w:szCs w:val="30"/>
              </w:rPr>
              <w:t>其他说明</w:t>
            </w:r>
          </w:p>
        </w:tc>
        <w:tc>
          <w:tcPr>
            <w:tcW w:w="6179" w:type="dxa"/>
            <w:gridSpan w:val="3"/>
            <w:noWrap/>
            <w:vAlign w:val="center"/>
          </w:tcPr>
          <w:p>
            <w:pPr>
              <w:pStyle w:val="11"/>
              <w:widowControl/>
              <w:spacing w:before="0" w:beforeAutospacing="0" w:after="0" w:afterAutospacing="0" w:line="440" w:lineRule="exact"/>
              <w:ind w:firstLine="300" w:firstLineChars="100"/>
              <w:outlineLvl w:val="0"/>
              <w:rPr>
                <w:rFonts w:ascii="仿宋_GB2312" w:hAnsi="仿宋_GB2312" w:eastAsia="仿宋_GB2312" w:cs="仿宋_GB2312"/>
                <w:sz w:val="30"/>
                <w:szCs w:val="30"/>
              </w:rPr>
            </w:pPr>
          </w:p>
        </w:tc>
      </w:tr>
    </w:tbl>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本单位承诺以上所填内容及提交材料真实有效。</w:t>
      </w:r>
    </w:p>
    <w:p>
      <w:pPr>
        <w:wordWrap w:val="0"/>
        <w:spacing w:line="500" w:lineRule="exact"/>
        <w:ind w:firstLine="1280" w:firstLineChars="4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申请单位（盖章）    </w:t>
      </w:r>
    </w:p>
    <w:p>
      <w:pPr>
        <w:wordWrap w:val="0"/>
        <w:spacing w:line="500" w:lineRule="exact"/>
        <w:ind w:firstLine="1280" w:firstLineChars="400"/>
        <w:jc w:val="right"/>
        <w:rPr>
          <w:rFonts w:ascii="仿宋" w:hAnsi="仿宋" w:eastAsia="仿宋" w:cs="仿宋"/>
          <w:sz w:val="32"/>
          <w:szCs w:val="32"/>
        </w:rPr>
      </w:pPr>
      <w:r>
        <w:rPr>
          <w:rFonts w:hint="eastAsia" w:ascii="仿宋_GB2312" w:hAnsi="仿宋_GB2312" w:eastAsia="仿宋_GB2312" w:cs="仿宋_GB2312"/>
          <w:sz w:val="32"/>
          <w:szCs w:val="32"/>
        </w:rPr>
        <w:t xml:space="preserve">年  月  日 </w:t>
      </w:r>
    </w:p>
    <w:p>
      <w:pPr>
        <w:spacing w:line="600" w:lineRule="exact"/>
        <w:jc w:val="left"/>
        <w:rPr>
          <w:rFonts w:ascii="黑体" w:hAnsi="黑体" w:eastAsia="黑体" w:cs="黑体"/>
          <w:bCs/>
          <w:sz w:val="32"/>
          <w:szCs w:val="32"/>
        </w:rPr>
      </w:pPr>
      <w:r>
        <w:rPr>
          <w:rFonts w:hint="eastAsia" w:ascii="黑体" w:hAnsi="黑体" w:eastAsia="黑体" w:cs="黑体"/>
          <w:bCs/>
          <w:sz w:val="32"/>
          <w:szCs w:val="32"/>
        </w:rPr>
        <w:br w:type="page"/>
      </w:r>
      <w:r>
        <w:rPr>
          <w:rFonts w:hint="eastAsia" w:ascii="黑体" w:hAnsi="黑体" w:eastAsia="黑体" w:cs="黑体"/>
          <w:bCs/>
          <w:sz w:val="32"/>
          <w:szCs w:val="32"/>
        </w:rPr>
        <w:t xml:space="preserve">附件2 </w:t>
      </w:r>
    </w:p>
    <w:p>
      <w:pPr>
        <w:pStyle w:val="2"/>
        <w:spacing w:line="600" w:lineRule="exact"/>
      </w:pPr>
    </w:p>
    <w:p>
      <w:pPr>
        <w:spacing w:line="579"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洛阳市老年人能力评估机构承诺书</w:t>
      </w:r>
    </w:p>
    <w:p>
      <w:pPr>
        <w:overflowPunct w:val="0"/>
        <w:spacing w:line="594" w:lineRule="exact"/>
        <w:ind w:firstLine="640" w:firstLineChars="200"/>
        <w:rPr>
          <w:rFonts w:ascii="仿宋_GB2312" w:hAnsi="仿宋_GB2312" w:eastAsia="仿宋_GB2312" w:cs="仿宋_GB2312"/>
          <w:kern w:val="0"/>
          <w:sz w:val="32"/>
          <w:szCs w:val="32"/>
          <w:shd w:val="clear" w:color="auto" w:fill="FFFFFF"/>
        </w:rPr>
      </w:pPr>
    </w:p>
    <w:p>
      <w:pPr>
        <w:overflowPunct w:val="0"/>
        <w:spacing w:line="594"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一、承诺本机构具备《老年人能力评估规范》（GB/T42195-2022）等文件规定的资质要求、人员要求和场地要求。</w:t>
      </w:r>
    </w:p>
    <w:p>
      <w:pPr>
        <w:overflowPunct w:val="0"/>
        <w:spacing w:line="59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shd w:val="clear" w:color="auto" w:fill="FFFFFF"/>
        </w:rPr>
        <w:t>二、承诺严格按照“客观公正、科学规范”的原则开展老年人能力评估工作，</w:t>
      </w:r>
      <w:r>
        <w:rPr>
          <w:rFonts w:hint="eastAsia" w:ascii="仿宋_GB2312" w:hAnsi="仿宋_GB2312" w:eastAsia="仿宋_GB2312" w:cs="仿宋_GB2312"/>
          <w:sz w:val="32"/>
          <w:szCs w:val="32"/>
        </w:rPr>
        <w:t>不与老年人及其家属、养老服务机构串通、伪造评估过程或评估结果。不事先允诺老年人评估结果以鼓动老年人参与评估。杜绝虚假申请、虚假评估、评估结果不准确等情况。</w:t>
      </w:r>
    </w:p>
    <w:p>
      <w:pPr>
        <w:spacing w:line="579"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三、严格保护被评估人员的尊严、安全和个人隐私，不向任何机构或个人提供评估对象、评估过程、评估结果等评估信息。承诺不在评估过程中推销商品和服务，不依本机构评估结论开展养老服务工作。</w:t>
      </w:r>
    </w:p>
    <w:p>
      <w:pPr>
        <w:spacing w:line="579"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四、承诺主动接受并配合行政主管部门或受委托的第三方机构的指导、监督和管理，并按规定提供相关材料。</w:t>
      </w:r>
    </w:p>
    <w:p>
      <w:pPr>
        <w:spacing w:line="579" w:lineRule="exact"/>
        <w:rPr>
          <w:rFonts w:ascii="仿宋_GB2312" w:hAnsi="仿宋_GB2312" w:eastAsia="仿宋_GB2312" w:cs="仿宋_GB2312"/>
          <w:kern w:val="0"/>
          <w:sz w:val="32"/>
          <w:szCs w:val="32"/>
          <w:shd w:val="clear" w:color="auto" w:fill="FFFFFF"/>
        </w:rPr>
      </w:pPr>
    </w:p>
    <w:p>
      <w:pPr>
        <w:spacing w:line="579"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备案申请单位（盖章）　 　　　</w:t>
      </w:r>
    </w:p>
    <w:p>
      <w:pPr>
        <w:spacing w:line="579"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法定代表人（或主要负责人）签字：　</w:t>
      </w:r>
    </w:p>
    <w:p>
      <w:pPr>
        <w:wordWrap w:val="0"/>
        <w:spacing w:line="579"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年    月    日  </w:t>
      </w:r>
    </w:p>
    <w:p>
      <w:pPr>
        <w:spacing w:line="579" w:lineRule="exact"/>
        <w:jc w:val="left"/>
        <w:rPr>
          <w:rFonts w:ascii="仿宋" w:hAnsi="仿宋" w:eastAsia="仿宋" w:cs="仿宋"/>
          <w:bCs/>
          <w:sz w:val="32"/>
          <w:szCs w:val="32"/>
        </w:rPr>
      </w:pPr>
      <w:r>
        <w:rPr>
          <w:rFonts w:hint="eastAsia" w:ascii="仿宋" w:hAnsi="仿宋" w:eastAsia="仿宋" w:cs="仿宋"/>
          <w:sz w:val="32"/>
          <w:szCs w:val="32"/>
        </w:rPr>
        <w:br w:type="page"/>
      </w:r>
      <w:r>
        <w:rPr>
          <w:rFonts w:hint="eastAsia" w:ascii="黑体" w:hAnsi="黑体" w:eastAsia="黑体" w:cs="黑体"/>
          <w:bCs/>
          <w:sz w:val="32"/>
          <w:szCs w:val="32"/>
        </w:rPr>
        <w:t>附件3</w:t>
      </w:r>
    </w:p>
    <w:p>
      <w:pPr>
        <w:spacing w:line="579" w:lineRule="exact"/>
        <w:jc w:val="left"/>
        <w:rPr>
          <w:rFonts w:ascii="仿宋" w:hAnsi="仿宋" w:eastAsia="仿宋" w:cs="仿宋"/>
          <w:bCs/>
          <w:sz w:val="32"/>
          <w:szCs w:val="32"/>
        </w:rPr>
      </w:pPr>
    </w:p>
    <w:p>
      <w:pPr>
        <w:spacing w:line="579"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洛阳市老年人能力评估机构评估人员花名册</w:t>
      </w:r>
    </w:p>
    <w:tbl>
      <w:tblPr>
        <w:tblStyle w:val="12"/>
        <w:tblW w:w="9607" w:type="dxa"/>
        <w:jc w:val="center"/>
        <w:tblLayout w:type="fixed"/>
        <w:tblCellMar>
          <w:top w:w="0" w:type="dxa"/>
          <w:left w:w="108" w:type="dxa"/>
          <w:bottom w:w="0" w:type="dxa"/>
          <w:right w:w="108" w:type="dxa"/>
        </w:tblCellMar>
      </w:tblPr>
      <w:tblGrid>
        <w:gridCol w:w="748"/>
        <w:gridCol w:w="1211"/>
        <w:gridCol w:w="1912"/>
        <w:gridCol w:w="1912"/>
        <w:gridCol w:w="1912"/>
        <w:gridCol w:w="1912"/>
      </w:tblGrid>
      <w:tr>
        <w:tblPrEx>
          <w:tblCellMar>
            <w:top w:w="0" w:type="dxa"/>
            <w:left w:w="108" w:type="dxa"/>
            <w:bottom w:w="0" w:type="dxa"/>
            <w:right w:w="108" w:type="dxa"/>
          </w:tblCellMar>
        </w:tblPrEx>
        <w:trPr>
          <w:trHeight w:val="747"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楷体" w:hAnsi="楷体" w:eastAsia="楷体" w:cs="楷体"/>
                <w:sz w:val="32"/>
                <w:szCs w:val="32"/>
              </w:rPr>
            </w:pPr>
            <w:r>
              <w:rPr>
                <w:rFonts w:hint="eastAsia" w:ascii="楷体" w:hAnsi="楷体" w:eastAsia="楷体" w:cs="楷体"/>
                <w:kern w:val="0"/>
                <w:sz w:val="32"/>
                <w:szCs w:val="32"/>
              </w:rPr>
              <w:t>序号</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楷体" w:hAnsi="楷体" w:eastAsia="楷体" w:cs="楷体"/>
                <w:sz w:val="32"/>
                <w:szCs w:val="32"/>
              </w:rPr>
            </w:pPr>
            <w:r>
              <w:rPr>
                <w:rFonts w:hint="eastAsia" w:ascii="楷体" w:hAnsi="楷体" w:eastAsia="楷体" w:cs="楷体"/>
                <w:kern w:val="0"/>
                <w:sz w:val="32"/>
                <w:szCs w:val="32"/>
              </w:rPr>
              <w:t>姓名</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楷体" w:hAnsi="楷体" w:eastAsia="楷体" w:cs="楷体"/>
                <w:sz w:val="32"/>
                <w:szCs w:val="32"/>
              </w:rPr>
            </w:pPr>
            <w:r>
              <w:rPr>
                <w:rFonts w:hint="eastAsia" w:ascii="楷体" w:hAnsi="楷体" w:eastAsia="楷体" w:cs="楷体"/>
                <w:kern w:val="0"/>
                <w:sz w:val="32"/>
                <w:szCs w:val="32"/>
              </w:rPr>
              <w:t>身份证号码</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楷体" w:hAnsi="楷体" w:eastAsia="楷体" w:cs="楷体"/>
                <w:kern w:val="0"/>
                <w:sz w:val="32"/>
                <w:szCs w:val="32"/>
              </w:rPr>
            </w:pPr>
            <w:r>
              <w:rPr>
                <w:rFonts w:hint="eastAsia" w:ascii="楷体" w:hAnsi="楷体" w:eastAsia="楷体" w:cs="楷体"/>
                <w:sz w:val="32"/>
                <w:szCs w:val="32"/>
              </w:rPr>
              <w:t>老年人能力评估资格证书编号</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楷体" w:hAnsi="楷体" w:eastAsia="楷体" w:cs="楷体"/>
                <w:kern w:val="0"/>
                <w:sz w:val="32"/>
                <w:szCs w:val="32"/>
              </w:rPr>
            </w:pPr>
            <w:r>
              <w:rPr>
                <w:rFonts w:hint="eastAsia" w:ascii="楷体" w:hAnsi="楷体" w:eastAsia="楷体" w:cs="楷体"/>
                <w:kern w:val="0"/>
                <w:sz w:val="32"/>
                <w:szCs w:val="32"/>
              </w:rPr>
              <w:t>医护专业毕业证书或职业资格证书编号</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楷体" w:hAnsi="楷体" w:eastAsia="楷体" w:cs="楷体"/>
                <w:sz w:val="32"/>
                <w:szCs w:val="32"/>
              </w:rPr>
            </w:pPr>
            <w:r>
              <w:rPr>
                <w:rFonts w:hint="eastAsia" w:ascii="楷体" w:hAnsi="楷体" w:eastAsia="楷体" w:cs="楷体"/>
                <w:kern w:val="0"/>
                <w:sz w:val="32"/>
                <w:szCs w:val="32"/>
              </w:rPr>
              <w:t>手机号码</w:t>
            </w: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1</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2</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3</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4</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5</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6</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7</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8</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9</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10</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11</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r>
      <w:tr>
        <w:tblPrEx>
          <w:tblCellMar>
            <w:top w:w="0" w:type="dxa"/>
            <w:left w:w="108" w:type="dxa"/>
            <w:bottom w:w="0" w:type="dxa"/>
            <w:right w:w="108" w:type="dxa"/>
          </w:tblCellMar>
        </w:tblPrEx>
        <w:trPr>
          <w:trHeight w:val="720" w:hRule="atLeast"/>
          <w:jc w:val="center"/>
        </w:trPr>
        <w:tc>
          <w:tcPr>
            <w:tcW w:w="748"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textAlignment w:val="center"/>
              <w:rPr>
                <w:rFonts w:ascii="仿宋" w:hAnsi="仿宋" w:eastAsia="仿宋" w:cs="仿宋"/>
                <w:sz w:val="32"/>
                <w:szCs w:val="32"/>
              </w:rPr>
            </w:pPr>
            <w:r>
              <w:rPr>
                <w:rFonts w:hint="eastAsia" w:ascii="仿宋" w:hAnsi="仿宋" w:eastAsia="仿宋" w:cs="仿宋"/>
                <w:sz w:val="32"/>
                <w:szCs w:val="32"/>
              </w:rPr>
              <w:t>12</w:t>
            </w:r>
          </w:p>
        </w:tc>
        <w:tc>
          <w:tcPr>
            <w:tcW w:w="1211"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c>
          <w:tcPr>
            <w:tcW w:w="1912" w:type="dxa"/>
            <w:tcBorders>
              <w:top w:val="single" w:color="000000" w:sz="4" w:space="0"/>
              <w:left w:val="single" w:color="000000" w:sz="4" w:space="0"/>
              <w:bottom w:val="single" w:color="000000" w:sz="4" w:space="0"/>
              <w:right w:val="single" w:color="000000" w:sz="4" w:space="0"/>
            </w:tcBorders>
            <w:noWrap/>
            <w:vAlign w:val="center"/>
          </w:tcPr>
          <w:p>
            <w:pPr>
              <w:widowControl/>
              <w:spacing w:line="500" w:lineRule="exact"/>
              <w:jc w:val="center"/>
              <w:rPr>
                <w:rFonts w:ascii="仿宋" w:hAnsi="仿宋" w:eastAsia="仿宋" w:cs="仿宋"/>
                <w:sz w:val="32"/>
                <w:szCs w:val="32"/>
              </w:rPr>
            </w:pPr>
          </w:p>
        </w:tc>
      </w:tr>
    </w:tbl>
    <w:p>
      <w:pPr>
        <w:pStyle w:val="2"/>
      </w:pPr>
    </w:p>
    <w:sectPr>
      <w:footerReference r:id="rId3" w:type="default"/>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Arial Unicode MS">
    <w:altName w:val="Nimbus Roman No9 L"/>
    <w:panose1 w:val="020B0604020202020204"/>
    <w:charset w:val="86"/>
    <w:family w:val="swiss"/>
    <w:pitch w:val="default"/>
    <w:sig w:usb0="00000000" w:usb1="00000000" w:usb2="0000003F" w:usb3="00000000" w:csb0="003F01FF"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PwNHOAIAAG8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O1tX7qnuAKbQsbPTW8pgmSuXt8hAgbVI8CtSpgk7FA+Yw9eyyM3HQ&#10;/zynqKf/ic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7791F"/>
    <w:rsid w:val="00400AF5"/>
    <w:rsid w:val="00661930"/>
    <w:rsid w:val="008739C8"/>
    <w:rsid w:val="00A73980"/>
    <w:rsid w:val="2777E422"/>
    <w:rsid w:val="57FF9F2A"/>
    <w:rsid w:val="6EEFB7D8"/>
    <w:rsid w:val="788F4BCE"/>
    <w:rsid w:val="7BBE2962"/>
    <w:rsid w:val="7F56E21A"/>
    <w:rsid w:val="9DFF2CD7"/>
    <w:rsid w:val="DB4FB6B7"/>
    <w:rsid w:val="F61F3899"/>
    <w:rsid w:val="F6FFD3A9"/>
    <w:rsid w:val="FE3F77AC"/>
    <w:rsid w:val="FF77791F"/>
    <w:rsid w:val="FF7F3E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Times New Roman"/>
      <w:b/>
      <w:bCs/>
      <w:kern w:val="0"/>
      <w:sz w:val="36"/>
      <w:szCs w:val="36"/>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0"/>
    <w:pPr>
      <w:ind w:firstLine="420" w:firstLineChars="200"/>
    </w:pPr>
  </w:style>
  <w:style w:type="paragraph" w:styleId="5">
    <w:name w:val="Body Text"/>
    <w:basedOn w:val="1"/>
    <w:next w:val="6"/>
    <w:unhideWhenUsed/>
    <w:qFormat/>
    <w:uiPriority w:val="99"/>
    <w:pPr>
      <w:ind w:left="200" w:leftChars="200"/>
    </w:pPr>
    <w:rPr>
      <w:sz w:val="28"/>
      <w:szCs w:val="22"/>
    </w:rPr>
  </w:style>
  <w:style w:type="paragraph" w:customStyle="1" w:styleId="6">
    <w:name w:val="目录 11"/>
    <w:next w:val="1"/>
    <w:qFormat/>
    <w:uiPriority w:val="0"/>
    <w:pPr>
      <w:widowControl w:val="0"/>
      <w:jc w:val="both"/>
    </w:pPr>
    <w:rPr>
      <w:rFonts w:ascii="Times New Roman" w:hAnsi="Times New Roman" w:eastAsia="Arial Unicode MS" w:cs="Arial Unicode MS"/>
      <w:color w:val="000000"/>
      <w:sz w:val="21"/>
      <w:szCs w:val="21"/>
      <w:shd w:val="clear" w:color="050000" w:fill="auto"/>
      <w:lang w:val="en-US" w:eastAsia="zh-CN" w:bidi="ar-SA"/>
    </w:rPr>
  </w:style>
  <w:style w:type="paragraph" w:styleId="7">
    <w:name w:val="Body Text Indent"/>
    <w:basedOn w:val="1"/>
    <w:qFormat/>
    <w:uiPriority w:val="0"/>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Normal (Web)"/>
    <w:basedOn w:val="1"/>
    <w:qFormat/>
    <w:uiPriority w:val="0"/>
    <w:pPr>
      <w:spacing w:before="100" w:beforeAutospacing="1" w:after="100" w:afterAutospacing="1"/>
      <w:jc w:val="left"/>
    </w:pPr>
    <w:rPr>
      <w:rFonts w:cs="Times New Roman"/>
      <w:kern w:val="0"/>
      <w:sz w:val="24"/>
    </w:rPr>
  </w:style>
  <w:style w:type="character" w:styleId="14">
    <w:name w:val="Hyperlink"/>
    <w:basedOn w:val="13"/>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661</Words>
  <Characters>3768</Characters>
  <Lines>31</Lines>
  <Paragraphs>8</Paragraphs>
  <TotalTime>51</TotalTime>
  <ScaleCrop>false</ScaleCrop>
  <LinksUpToDate>false</LinksUpToDate>
  <CharactersWithSpaces>4421</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2024-10-25T18:09:00Z</dcterms:created>
  <dc:creator>REGINA__M</dc:creator>
  <cp:lastModifiedBy>greatwall</cp:lastModifiedBy>
  <dcterms:modified xsi:type="dcterms:W3CDTF">2026-01-28T17:46:36Z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ies>
</file>