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b w:val="0"/>
          <w:bCs/>
          <w:color w:val="000000"/>
          <w:sz w:val="44"/>
          <w:szCs w:val="44"/>
          <w:lang w:val="en-US" w:eastAsia="zh-CN"/>
        </w:rPr>
        <w:t>洛宁县拟推荐洛阳市制造业高质量发展工作先进企业名单及相关情况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按照《洛阳市制造业高质量发展工作先进企业评选表彰工作方案》要求，为评选表彰一批为洛阳市制造业高质量发展做出突出贡献、具有示范带动效应的优秀企业，洛宁县高度重视，重点围绕优势产业链群建设、“三化”改造及工业项目建设、数字化转型等中心工作，综合考虑企业营收、利润等年度指标及相关荣誉等情况，严格根据评选条件和分配名额</w:t>
      </w:r>
      <w:r>
        <w:rPr>
          <w:rFonts w:hint="eastAsia" w:eastAsia="仿宋_GB2312" w:cs="Times New Roman"/>
          <w:sz w:val="32"/>
          <w:szCs w:val="32"/>
          <w:lang w:val="en-US" w:eastAsia="zh-CN"/>
        </w:rPr>
        <w:t>（我县名额为1个）</w:t>
      </w:r>
      <w:r>
        <w:rPr>
          <w:rFonts w:hint="eastAsia" w:ascii="Times New Roman" w:hAnsi="Times New Roman" w:eastAsia="仿宋_GB2312" w:cs="Times New Roman"/>
          <w:sz w:val="32"/>
          <w:szCs w:val="32"/>
          <w:lang w:val="en-US" w:eastAsia="zh-CN"/>
        </w:rPr>
        <w:t>做好先进企业的评选、审核和公示工作。经研究，</w:t>
      </w:r>
      <w:r>
        <w:rPr>
          <w:rFonts w:hint="eastAsia" w:eastAsia="仿宋_GB2312" w:cs="Times New Roman"/>
          <w:sz w:val="32"/>
          <w:szCs w:val="32"/>
          <w:lang w:val="en-US" w:eastAsia="zh-CN"/>
        </w:rPr>
        <w:t>拟</w:t>
      </w:r>
      <w:r>
        <w:rPr>
          <w:rFonts w:hint="eastAsia" w:ascii="Times New Roman" w:hAnsi="Times New Roman" w:eastAsia="仿宋_GB2312" w:cs="Times New Roman"/>
          <w:sz w:val="32"/>
          <w:szCs w:val="32"/>
          <w:lang w:val="en-US" w:eastAsia="zh-CN"/>
        </w:rPr>
        <w:t>推荐洛宁紫金黄金冶炼有限公司为洛阳市制造业高质量发展工作先进企业</w:t>
      </w:r>
      <w:r>
        <w:rPr>
          <w:rFonts w:hint="eastAsia" w:eastAsia="仿宋_GB2312" w:cs="Times New Roman"/>
          <w:sz w:val="32"/>
          <w:szCs w:val="32"/>
          <w:lang w:val="en-US" w:eastAsia="zh-CN"/>
        </w:rPr>
        <w:t>，具体情况如下：</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ascii="黑体" w:hAnsi="黑体" w:eastAsia="黑体" w:cs="黑体"/>
          <w:sz w:val="32"/>
          <w:szCs w:val="32"/>
          <w:lang w:val="en-US" w:eastAsia="zh-CN"/>
        </w:rPr>
        <w:t>一、企业2025年取得的经济效益、社会效益</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jc w:val="both"/>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2025年以来，</w:t>
      </w:r>
      <w:r>
        <w:rPr>
          <w:rFonts w:hint="eastAsia" w:ascii="Times New Roman" w:hAnsi="Times New Roman" w:eastAsia="仿宋_GB2312" w:cs="Times New Roman"/>
          <w:sz w:val="32"/>
          <w:szCs w:val="32"/>
          <w:lang w:val="en-US" w:eastAsia="zh-CN"/>
        </w:rPr>
        <w:t>洛宁紫金黄金冶炼有限公司</w:t>
      </w:r>
      <w:r>
        <w:rPr>
          <w:rFonts w:hint="eastAsia" w:eastAsia="仿宋_GB2312" w:cs="Times New Roman"/>
          <w:sz w:val="32"/>
          <w:szCs w:val="32"/>
          <w:lang w:val="en-US" w:eastAsia="zh-CN"/>
        </w:rPr>
        <w:t>积极发扬“企业、员工、社会协调发展”经营理念，践行“提质、上产、控本、增效”高质量发展方针，企业经营效益有了很大提升。2025年，实现营业收入56.6亿元，实现利润总额3844万元，上缴税费2034万元，较上年同比大幅增长。公司提供了400余个工作岗位，为解决劳动力就业难题发挥了积极作用。</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ascii="黑体" w:hAnsi="黑体" w:eastAsia="黑体" w:cs="黑体"/>
          <w:sz w:val="32"/>
          <w:szCs w:val="32"/>
          <w:lang w:val="en-US" w:eastAsia="zh-CN"/>
        </w:rPr>
        <w:t>二、高质量发展主要工作开展情况</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（一）深化改革提效能</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公司持续深化内部改革，厘清管理层级权责，构建权责清晰、决策科学、执行有力、监督到位的现代法人治理结构。打破传统层级壁垒，推行矩阵式、网格式管理，压缩决策链条，实现组织架构扁平化、敏捷化，提升市场响应速度。</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（二）创新驱动强内核</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聚焦生产全流程优化，工艺升级推动国标银锭、电解铜品质大幅提升、精准辅料添加尾渣品位空前降低；动力波改造消除人员清理风险，高铁重砂处置技术破解行业难题；电石渣调浆改为可计量式干粉作业，减少污染与安全隐患；尾气脱硝超低排放改造稳定工艺、降低成本；抓住金价历史高位时机利用金融手段创收。实现提质、增效、安全、环保协同推进。</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（三）推进重点项目建设</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投资5000万元的金精矿冶炼厂提升改造项目建成投用，新增产能190吨/日，年可增加金精矿产品产量3455公斤，惠及就业人数50人。</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（四）安全生产守红线，绿色低碳守底线</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全年实现“零轻伤、零环保事故”目标任务，清洁生产二级达标企业。深耕 ESG 建设，全年光伏发电128.16万度，节约碳排0.0691万吨；全年累计碳排18746.1吨，同比下降776.38吨，降幅3.97%，工业用水重复利用率达 96.5%，超计划目标；环保设施运转、废水处理回用等多项指标均达 100%，实现安全促生产、生态出效益的良好局面。</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（五）践行社会责任促共赢</w:t>
      </w:r>
    </w:p>
    <w:p>
      <w:pPr>
        <w:keepNext w:val="0"/>
        <w:keepLines w:val="0"/>
        <w:pageBreakBefore w:val="0"/>
        <w:widowControl w:val="0"/>
        <w:kinsoku/>
        <w:wordWrap/>
        <w:overflowPunct/>
        <w:topLinePunct w:val="0"/>
        <w:autoSpaceDE/>
        <w:autoSpaceDN/>
        <w:bidi w:val="0"/>
        <w:adjustRightInd/>
        <w:snapToGrid/>
        <w:spacing w:line="600" w:lineRule="exact"/>
        <w:ind w:left="0" w:firstLine="640" w:firstLineChars="200"/>
        <w:textAlignment w:val="auto"/>
        <w:rPr>
          <w:rFonts w:hint="eastAsia" w:eastAsia="仿宋_GB2312" w:cs="Times New Roman"/>
          <w:sz w:val="32"/>
          <w:szCs w:val="32"/>
          <w:lang w:val="en-US" w:eastAsia="zh-CN"/>
        </w:rPr>
      </w:pPr>
      <w:r>
        <w:rPr>
          <w:rFonts w:hint="eastAsia" w:eastAsia="仿宋_GB2312" w:cs="Times New Roman"/>
          <w:sz w:val="32"/>
          <w:szCs w:val="32"/>
          <w:lang w:val="en-US" w:eastAsia="zh-CN"/>
        </w:rPr>
        <w:t>公司坚持“义利兼顾、以义为先”的平衡发展价值理念，积极投身于洛宁县各项社会事业建设。2025年，通过金秋助学、资助亲子运动会、支持乡村振兴和民生改善、康养中心捐赠、见义勇为、助农支农、助教、慰问失地农户、奖学金发放、困难职工申请等方式支出费用30.8万元。在面对自然灾害或突发事件时，总是积极响应政府号召，迅速组织人员、车辆和物资参与救援工作，与驻地政府干部群众并肩作战，为保护人民群众生命财产安全发挥了关键作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b/>
          <w:bCs w:val="0"/>
          <w:color w:val="00000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E7FBE"/>
    <w:rsid w:val="14977DAE"/>
    <w:rsid w:val="2629602A"/>
    <w:rsid w:val="500F589B"/>
    <w:rsid w:val="5F092DEB"/>
    <w:rsid w:val="6A3E7FBE"/>
    <w:rsid w:val="B533FF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1329</Words>
  <Characters>1413</Characters>
  <Lines>0</Lines>
  <Paragraphs>0</Paragraphs>
  <TotalTime>18</TotalTime>
  <ScaleCrop>false</ScaleCrop>
  <LinksUpToDate>false</LinksUpToDate>
  <CharactersWithSpaces>1424</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2026-01-19T11:01:00Z</dcterms:created>
  <dc:creator>ALAMO</dc:creator>
  <cp:lastModifiedBy>zfb-110</cp:lastModifiedBy>
  <dcterms:modified xsi:type="dcterms:W3CDTF">2026-01-19T16:10:21Z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2E04A8D461BA4E359F50B4D6C0A832F0_11</vt:lpwstr>
  </property>
  <property fmtid="{D5CDD505-2E9C-101B-9397-08002B2CF9AE}" pid="4" name="KSOTemplateDocerSaveRecord">
    <vt:lpwstr>eyJoZGlkIjoiYTA3MTMzMmNiMzllOTNhMzg1MDIwNmY3ZjdhNmVmN2YiLCJ1c2VySWQiOiIzODM4NjAyNTUifQ==</vt:lpwstr>
  </property>
</Properties>
</file>