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overflowPunct w:val="0"/>
        <w:adjustRightInd w:val="0"/>
        <w:snapToGrid w:val="0"/>
        <w:spacing w:line="680" w:lineRule="exact"/>
        <w:jc w:val="center"/>
        <w:rPr>
          <w:rFonts w:hint="eastAsia" w:ascii="方正小标宋_GBK" w:eastAsia="方正小标宋_GBK"/>
          <w:color w:val="000000"/>
          <w:kern w:val="0"/>
          <w:sz w:val="44"/>
          <w:szCs w:val="44"/>
        </w:rPr>
      </w:pPr>
      <w:r>
        <w:rPr>
          <w:rFonts w:hint="eastAsia" w:ascii="方正小标宋_GBK" w:eastAsia="方正小标宋_GBK"/>
          <w:color w:val="000000"/>
          <w:kern w:val="0"/>
          <w:sz w:val="44"/>
          <w:szCs w:val="44"/>
        </w:rPr>
        <w:t>洛阳市科学技术局  洛阳市财政局</w:t>
      </w:r>
    </w:p>
    <w:p>
      <w:pPr>
        <w:overflowPunct w:val="0"/>
        <w:adjustRightInd w:val="0"/>
        <w:snapToGrid w:val="0"/>
        <w:spacing w:line="680" w:lineRule="exact"/>
        <w:jc w:val="center"/>
        <w:rPr>
          <w:rFonts w:hint="eastAsia" w:ascii="方正小标宋_GBK" w:eastAsia="方正小标宋_GBK"/>
          <w:color w:val="000000"/>
          <w:kern w:val="0"/>
          <w:sz w:val="44"/>
          <w:szCs w:val="44"/>
        </w:rPr>
      </w:pPr>
      <w:r>
        <w:rPr>
          <w:rFonts w:hint="eastAsia" w:ascii="方正小标宋_GBK" w:eastAsia="方正小标宋_GBK"/>
          <w:color w:val="000000"/>
          <w:kern w:val="0"/>
          <w:sz w:val="44"/>
          <w:szCs w:val="44"/>
        </w:rPr>
        <w:t>关于印发《洛阳市中试基地备案管理和绩效</w:t>
      </w:r>
    </w:p>
    <w:p>
      <w:pPr>
        <w:overflowPunct w:val="0"/>
        <w:adjustRightInd w:val="0"/>
        <w:snapToGrid w:val="0"/>
        <w:spacing w:line="680" w:lineRule="exact"/>
        <w:jc w:val="center"/>
        <w:rPr>
          <w:rFonts w:hint="eastAsia" w:ascii="方正小标宋_GBK" w:eastAsia="方正小标宋_GBK"/>
          <w:color w:val="000000"/>
          <w:kern w:val="0"/>
          <w:sz w:val="44"/>
          <w:szCs w:val="44"/>
        </w:rPr>
      </w:pPr>
      <w:r>
        <w:rPr>
          <w:rFonts w:hint="eastAsia" w:ascii="方正小标宋_GBK" w:eastAsia="方正小标宋_GBK"/>
          <w:color w:val="000000"/>
          <w:kern w:val="0"/>
          <w:sz w:val="44"/>
          <w:szCs w:val="44"/>
        </w:rPr>
        <w:t>考核评价办法》的通知</w:t>
      </w:r>
    </w:p>
    <w:p>
      <w:pPr>
        <w:pStyle w:val="6"/>
        <w:snapToGrid w:val="0"/>
        <w:spacing w:after="93" w:afterLines="30" w:line="620" w:lineRule="exact"/>
        <w:ind w:left="0" w:leftChars="0"/>
        <w:jc w:val="center"/>
        <w:rPr>
          <w:rFonts w:ascii="仿宋_GB2312" w:eastAsia="仿宋_GB2312"/>
          <w:color w:val="000000"/>
          <w:sz w:val="32"/>
          <w:szCs w:val="32"/>
        </w:rPr>
      </w:pPr>
      <w:r>
        <w:rPr>
          <w:rFonts w:hint="eastAsia" w:ascii="仿宋_GB2312" w:eastAsia="仿宋_GB2312"/>
          <w:color w:val="000000"/>
          <w:sz w:val="32"/>
          <w:szCs w:val="32"/>
        </w:rPr>
        <w:t>洛市科〔2025〕39号</w:t>
      </w:r>
      <w:r>
        <w:rPr>
          <w:rFonts w:ascii="仿宋_GB2312" w:eastAsia="仿宋_GB2312"/>
          <w:color w:val="000000"/>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410210</wp:posOffset>
                </wp:positionV>
                <wp:extent cx="5558155" cy="0"/>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5558155" cy="0"/>
                        </a:xfrm>
                        <a:prstGeom prst="line">
                          <a:avLst/>
                        </a:prstGeom>
                        <a:noFill/>
                        <a:ln>
                          <a:noFill/>
                        </a:ln>
                        <a:effectLst/>
                      </wps:spPr>
                      <wps:bodyPr/>
                    </wps:wsp>
                  </a:graphicData>
                </a:graphic>
              </wp:anchor>
            </w:drawing>
          </mc:Choice>
          <mc:Fallback>
            <w:pict>
              <v:line id="_x0000_s1026" o:spid="_x0000_s1026" o:spt="20" style="position:absolute;left:0pt;margin-left:2.25pt;margin-top:32.3pt;height:0pt;width:437.65pt;z-index:251659264;mso-width-relative:page;mso-height-relative:page;" filled="f" stroked="f" coordsize="21600,21600" o:gfxdata="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">
                <v:fill on="f" focussize="0,0"/>
                <v:stroke on="f"/>
                <v:imagedata o:title=""/>
                <o:lock v:ext="edit" aspectratio="f"/>
              </v:line>
            </w:pict>
          </mc:Fallback>
        </mc:AlternateConten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pStyle w:val="9"/>
        <w:overflowPunct w:val="0"/>
        <w:adjustRightInd w:val="0"/>
        <w:snapToGrid w:val="0"/>
        <w:spacing w:before="0" w:beforeAutospacing="0" w:after="0" w:afterAutospacing="0" w:line="640" w:lineRule="exact"/>
        <w:jc w:val="both"/>
        <w:textAlignment w:val="baseline"/>
        <w:rPr>
          <w:rFonts w:hint="eastAsia" w:ascii="仿宋_GB2312" w:hAnsi="Times New Roman" w:eastAsia="仿宋_GB2312" w:cs="仿宋_GB2312"/>
          <w:color w:val="000000"/>
          <w:sz w:val="32"/>
          <w:szCs w:val="32"/>
        </w:rPr>
      </w:pPr>
      <w:r>
        <w:rPr>
          <w:rFonts w:hint="eastAsia" w:ascii="仿宋_GB2312" w:hAnsi="Times New Roman" w:eastAsia="仿宋_GB2312" w:cs="仿宋_GB2312"/>
          <w:color w:val="000000"/>
          <w:sz w:val="32"/>
          <w:szCs w:val="32"/>
        </w:rPr>
        <w:t>各县区科技局、财政局，各有关单位：</w:t>
      </w:r>
    </w:p>
    <w:p>
      <w:pPr>
        <w:pStyle w:val="9"/>
        <w:overflowPunct w:val="0"/>
        <w:adjustRightInd w:val="0"/>
        <w:snapToGrid w:val="0"/>
        <w:spacing w:before="0" w:beforeAutospacing="0" w:after="0" w:afterAutospacing="0" w:line="640" w:lineRule="exact"/>
        <w:ind w:firstLine="640" w:firstLineChars="200"/>
        <w:jc w:val="both"/>
        <w:textAlignment w:val="baseline"/>
        <w:rPr>
          <w:rFonts w:hint="eastAsia" w:ascii="仿宋_GB2312" w:hAnsi="Times New Roman" w:eastAsia="仿宋_GB2312" w:cs="仿宋_GB2312"/>
          <w:color w:val="000000"/>
          <w:sz w:val="32"/>
          <w:szCs w:val="32"/>
        </w:rPr>
      </w:pPr>
      <w:r>
        <w:rPr>
          <w:rFonts w:hint="eastAsia" w:ascii="仿宋_GB2312" w:hAnsi="Times New Roman" w:eastAsia="仿宋_GB2312" w:cs="仿宋_GB2312"/>
          <w:color w:val="000000"/>
          <w:sz w:val="32"/>
          <w:szCs w:val="32"/>
        </w:rPr>
        <w:t>为进一步规范我市中试基地备案和绩效考核评价工作，提升中试基地运行质效和服务水平，市科技局、市财政局研究制定了《洛阳市中试基地备案管理和绩效考核评价办法》。现印发给你们，请遵照执行。</w:t>
      </w:r>
    </w:p>
    <w:p>
      <w:pPr>
        <w:pStyle w:val="5"/>
        <w:keepNext w:val="0"/>
        <w:keepLines w:val="0"/>
        <w:pageBreakBefore w:val="0"/>
        <w:widowControl w:val="0"/>
        <w:kinsoku/>
        <w:wordWrap/>
        <w:overflowPunct/>
        <w:topLinePunct w:val="0"/>
        <w:autoSpaceDE/>
        <w:autoSpaceDN/>
        <w:bidi w:val="0"/>
        <w:spacing w:line="600" w:lineRule="exact"/>
        <w:textAlignment w:val="auto"/>
        <w:rPr>
          <w:rFonts w:hint="eastAsia" w:ascii="仿宋" w:hAnsi="仿宋" w:eastAsia="仿宋"/>
          <w:sz w:val="32"/>
          <w:szCs w:val="32"/>
          <w:lang w:val="en-US" w:eastAsia="zh-CN"/>
        </w:rPr>
      </w:pPr>
    </w:p>
    <w:p>
      <w:pPr>
        <w:pStyle w:val="5"/>
        <w:keepNext w:val="0"/>
        <w:keepLines w:val="0"/>
        <w:pageBreakBefore w:val="0"/>
        <w:widowControl w:val="0"/>
        <w:kinsoku/>
        <w:wordWrap/>
        <w:overflowPunct/>
        <w:topLinePunct w:val="0"/>
        <w:autoSpaceDE/>
        <w:autoSpaceDN/>
        <w:bidi w:val="0"/>
        <w:spacing w:line="600" w:lineRule="exact"/>
        <w:textAlignment w:val="auto"/>
        <w:rPr>
          <w:rFonts w:hint="eastAsia" w:ascii="仿宋" w:hAnsi="仿宋" w:eastAsia="仿宋"/>
          <w:sz w:val="32"/>
          <w:szCs w:val="32"/>
          <w:lang w:val="en-US" w:eastAsia="zh-CN"/>
        </w:rPr>
      </w:pPr>
    </w:p>
    <w:p>
      <w:pPr>
        <w:pStyle w:val="5"/>
        <w:keepNext w:val="0"/>
        <w:keepLines w:val="0"/>
        <w:pageBreakBefore w:val="0"/>
        <w:widowControl w:val="0"/>
        <w:kinsoku/>
        <w:wordWrap/>
        <w:overflowPunct/>
        <w:topLinePunct w:val="0"/>
        <w:autoSpaceDE/>
        <w:autoSpaceDN/>
        <w:bidi w:val="0"/>
        <w:spacing w:line="600" w:lineRule="exact"/>
        <w:ind w:firstLine="3200" w:firstLineChars="10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洛阳市科学技术局  洛阳市财政局</w:t>
      </w:r>
    </w:p>
    <w:p>
      <w:pPr>
        <w:pStyle w:val="5"/>
        <w:keepNext w:val="0"/>
        <w:keepLines w:val="0"/>
        <w:pageBreakBefore w:val="0"/>
        <w:widowControl w:val="0"/>
        <w:kinsoku/>
        <w:wordWrap/>
        <w:overflowPunct/>
        <w:topLinePunct w:val="0"/>
        <w:autoSpaceDE/>
        <w:autoSpaceDN/>
        <w:bidi w:val="0"/>
        <w:spacing w:line="600" w:lineRule="exact"/>
        <w:ind w:firstLine="4800" w:firstLineChars="15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2025年7月9日</w:t>
      </w:r>
    </w:p>
    <w:p>
      <w:pPr>
        <w:pStyle w:val="5"/>
        <w:keepNext w:val="0"/>
        <w:keepLines w:val="0"/>
        <w:pageBreakBefore w:val="0"/>
        <w:widowControl w:val="0"/>
        <w:kinsoku/>
        <w:wordWrap/>
        <w:overflowPunct/>
        <w:topLinePunct w:val="0"/>
        <w:autoSpaceDE/>
        <w:autoSpaceDN/>
        <w:bidi w:val="0"/>
        <w:spacing w:line="600" w:lineRule="exact"/>
        <w:ind w:firstLine="4800" w:firstLineChars="1500"/>
        <w:textAlignment w:val="auto"/>
        <w:rPr>
          <w:rFonts w:hint="eastAsia" w:ascii="仿宋" w:hAnsi="仿宋" w:eastAsia="仿宋"/>
          <w:sz w:val="32"/>
          <w:szCs w:val="32"/>
          <w:lang w:val="en-US" w:eastAsia="zh-CN"/>
        </w:rPr>
      </w:pPr>
    </w:p>
    <w:p>
      <w:pPr>
        <w:pStyle w:val="5"/>
        <w:keepNext w:val="0"/>
        <w:keepLines w:val="0"/>
        <w:pageBreakBefore w:val="0"/>
        <w:widowControl w:val="0"/>
        <w:kinsoku/>
        <w:wordWrap/>
        <w:overflowPunct/>
        <w:topLinePunct w:val="0"/>
        <w:autoSpaceDE/>
        <w:autoSpaceDN/>
        <w:bidi w:val="0"/>
        <w:spacing w:line="600" w:lineRule="exact"/>
        <w:ind w:firstLine="4800" w:firstLineChars="1500"/>
        <w:textAlignment w:val="auto"/>
        <w:rPr>
          <w:rFonts w:hint="eastAsia" w:ascii="仿宋" w:hAnsi="仿宋" w:eastAsia="仿宋"/>
          <w:sz w:val="32"/>
          <w:szCs w:val="32"/>
          <w:lang w:val="en-US" w:eastAsia="zh-CN"/>
        </w:rPr>
      </w:pPr>
    </w:p>
    <w:p>
      <w:pPr>
        <w:pStyle w:val="5"/>
        <w:keepNext w:val="0"/>
        <w:keepLines w:val="0"/>
        <w:pageBreakBefore w:val="0"/>
        <w:widowControl w:val="0"/>
        <w:kinsoku/>
        <w:wordWrap/>
        <w:overflowPunct/>
        <w:topLinePunct w:val="0"/>
        <w:autoSpaceDE/>
        <w:autoSpaceDN/>
        <w:bidi w:val="0"/>
        <w:spacing w:line="600" w:lineRule="exact"/>
        <w:ind w:firstLine="4800" w:firstLineChars="1500"/>
        <w:textAlignment w:val="auto"/>
        <w:rPr>
          <w:rFonts w:hint="eastAsia" w:ascii="仿宋" w:hAnsi="仿宋" w:eastAsia="仿宋"/>
          <w:sz w:val="32"/>
          <w:szCs w:val="32"/>
          <w:lang w:val="en-US" w:eastAsia="zh-CN"/>
        </w:rPr>
      </w:pPr>
    </w:p>
    <w:p>
      <w:pPr>
        <w:adjustRightInd w:val="0"/>
        <w:snapToGrid w:val="0"/>
        <w:spacing w:line="592" w:lineRule="exact"/>
        <w:jc w:val="center"/>
        <w:rPr>
          <w:rFonts w:hint="eastAsia" w:ascii="方正小标宋_GBK" w:hAnsi="Times New Roman" w:eastAsia="方正小标宋_GBK"/>
          <w:bCs/>
          <w:color w:val="000000"/>
          <w:sz w:val="44"/>
          <w:szCs w:val="44"/>
        </w:rPr>
      </w:pPr>
    </w:p>
    <w:p>
      <w:pPr>
        <w:adjustRightInd w:val="0"/>
        <w:snapToGrid w:val="0"/>
        <w:spacing w:line="592" w:lineRule="exact"/>
        <w:jc w:val="center"/>
        <w:rPr>
          <w:rFonts w:hint="eastAsia" w:ascii="方正小标宋_GBK" w:hAnsi="Times New Roman" w:eastAsia="方正小标宋_GBK"/>
          <w:bCs/>
          <w:color w:val="000000"/>
          <w:sz w:val="44"/>
          <w:szCs w:val="44"/>
        </w:rPr>
      </w:pPr>
      <w:r>
        <w:rPr>
          <w:rFonts w:hint="eastAsia" w:ascii="方正小标宋_GBK" w:hAnsi="Times New Roman" w:eastAsia="方正小标宋_GBK"/>
          <w:bCs/>
          <w:color w:val="000000"/>
          <w:sz w:val="44"/>
          <w:szCs w:val="44"/>
        </w:rPr>
        <w:t>洛阳市中试基地备案管理与绩效</w:t>
      </w:r>
    </w:p>
    <w:p>
      <w:pPr>
        <w:adjustRightInd w:val="0"/>
        <w:snapToGrid w:val="0"/>
        <w:spacing w:line="592" w:lineRule="exact"/>
        <w:jc w:val="center"/>
        <w:rPr>
          <w:rFonts w:hint="eastAsia" w:ascii="方正小标宋_GBK" w:hAnsi="Times New Roman" w:eastAsia="方正小标宋_GBK"/>
          <w:bCs/>
          <w:color w:val="000000"/>
          <w:sz w:val="44"/>
          <w:szCs w:val="44"/>
        </w:rPr>
      </w:pPr>
      <w:r>
        <w:rPr>
          <w:rFonts w:hint="eastAsia" w:ascii="方正小标宋_GBK" w:hAnsi="Times New Roman" w:eastAsia="方正小标宋_GBK"/>
          <w:bCs/>
          <w:color w:val="000000"/>
          <w:sz w:val="44"/>
          <w:szCs w:val="44"/>
        </w:rPr>
        <w:t>考核评价办法</w:t>
      </w:r>
    </w:p>
    <w:p>
      <w:pPr>
        <w:pStyle w:val="9"/>
        <w:spacing w:before="0" w:beforeAutospacing="0" w:after="0" w:afterAutospacing="0" w:line="592" w:lineRule="exact"/>
        <w:jc w:val="center"/>
        <w:rPr>
          <w:rFonts w:hint="eastAsia" w:ascii="仿宋_GB2312" w:hAnsi="Times New Roman" w:eastAsia="仿宋_GB2312"/>
          <w:color w:val="000000"/>
          <w:sz w:val="32"/>
          <w:szCs w:val="32"/>
        </w:rPr>
      </w:pPr>
    </w:p>
    <w:p>
      <w:pPr>
        <w:pStyle w:val="9"/>
        <w:spacing w:before="0" w:beforeAutospacing="0" w:after="0" w:afterAutospacing="0" w:line="592" w:lineRule="exact"/>
        <w:jc w:val="center"/>
        <w:rPr>
          <w:rFonts w:hint="eastAsia" w:ascii="黑体" w:hAnsi="Times New Roman" w:eastAsia="黑体"/>
          <w:color w:val="000000"/>
          <w:sz w:val="32"/>
          <w:szCs w:val="32"/>
        </w:rPr>
      </w:pPr>
      <w:r>
        <w:rPr>
          <w:rFonts w:hint="eastAsia" w:ascii="黑体" w:hAnsi="Times New Roman" w:eastAsia="黑体"/>
          <w:color w:val="000000"/>
          <w:sz w:val="32"/>
          <w:szCs w:val="32"/>
        </w:rPr>
        <w:t>第一章  总  则</w:t>
      </w:r>
    </w:p>
    <w:p>
      <w:pPr>
        <w:pStyle w:val="9"/>
        <w:spacing w:before="0" w:beforeAutospacing="0" w:after="0" w:afterAutospacing="0" w:line="592" w:lineRule="exact"/>
        <w:jc w:val="center"/>
        <w:rPr>
          <w:rFonts w:hint="eastAsia" w:ascii="黑体" w:hAnsi="Times New Roman" w:eastAsia="黑体"/>
          <w:color w:val="000000"/>
          <w:sz w:val="32"/>
          <w:szCs w:val="32"/>
        </w:rPr>
      </w:pPr>
    </w:p>
    <w:p>
      <w:pPr>
        <w:spacing w:line="592"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第一条</w:t>
      </w:r>
      <w:r>
        <w:rPr>
          <w:rFonts w:hint="eastAsia" w:ascii="仿宋_GB2312" w:hAnsi="Times New Roman" w:eastAsia="仿宋_GB2312"/>
          <w:b/>
          <w:bCs/>
          <w:color w:val="000000"/>
          <w:sz w:val="32"/>
          <w:szCs w:val="32"/>
        </w:rPr>
        <w:t xml:space="preserve">  </w:t>
      </w:r>
      <w:r>
        <w:rPr>
          <w:rFonts w:hint="eastAsia" w:ascii="仿宋_GB2312" w:hAnsi="Times New Roman" w:eastAsia="仿宋_GB2312"/>
          <w:color w:val="000000"/>
          <w:sz w:val="32"/>
          <w:szCs w:val="32"/>
        </w:rPr>
        <w:t>为规范洛阳市中试基地的建设和管理工作，推动中试基地高效运行与持续发展，根据河南省科技厅相关工作要求，特制定本办法。</w:t>
      </w:r>
    </w:p>
    <w:p>
      <w:pPr>
        <w:spacing w:line="592"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第二条</w:t>
      </w:r>
      <w:r>
        <w:rPr>
          <w:rFonts w:hint="eastAsia" w:ascii="仿宋_GB2312" w:hAnsi="Times New Roman" w:eastAsia="仿宋_GB2312"/>
          <w:b/>
          <w:bCs/>
          <w:color w:val="000000"/>
          <w:sz w:val="32"/>
          <w:szCs w:val="32"/>
        </w:rPr>
        <w:t xml:space="preserve">  </w:t>
      </w:r>
      <w:r>
        <w:rPr>
          <w:rFonts w:hint="eastAsia" w:ascii="仿宋_GB2312" w:hAnsi="Times New Roman" w:eastAsia="仿宋_GB2312"/>
          <w:color w:val="000000"/>
          <w:sz w:val="32"/>
          <w:szCs w:val="32"/>
        </w:rPr>
        <w:t>中试基地是指以高校、科研机构、龙头企业、产业研究院、专业运营机构等为依托，专门针对科技成果开展中试熟化及二次开发试验，建立完善技术规范、质量管理体系以及相应的行业准入资质，旨在为企业规模生产提供成熟、适用且成套技术的开放共享平台。</w:t>
      </w:r>
    </w:p>
    <w:p>
      <w:pPr>
        <w:spacing w:line="592"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第三条</w:t>
      </w:r>
      <w:r>
        <w:rPr>
          <w:rFonts w:hint="eastAsia" w:ascii="仿宋_GB2312" w:hAnsi="Times New Roman" w:eastAsia="仿宋_GB2312"/>
          <w:color w:val="000000"/>
          <w:sz w:val="32"/>
          <w:szCs w:val="32"/>
        </w:rPr>
        <w:t xml:space="preserve">  中试基地定位于创新链的关键中间环节，致力于促进“基础研究—技术攻关—技术应用—成果产业化”全流程的有效衔接，是从研到产的“中间站”，是连接创新链上下游的重要桥梁。</w:t>
      </w:r>
    </w:p>
    <w:p>
      <w:pPr>
        <w:keepNext w:val="0"/>
        <w:keepLines w:val="0"/>
        <w:pageBreakBefore w:val="0"/>
        <w:widowControl/>
        <w:kinsoku/>
        <w:wordWrap/>
        <w:overflowPunct/>
        <w:topLinePunct w:val="0"/>
        <w:autoSpaceDE/>
        <w:autoSpaceDN/>
        <w:bidi w:val="0"/>
        <w:adjustRightInd w:val="0"/>
        <w:snapToGrid w:val="0"/>
        <w:spacing w:line="592" w:lineRule="exact"/>
        <w:ind w:firstLine="640" w:firstLineChars="200"/>
        <w:jc w:val="both"/>
        <w:textAlignment w:val="auto"/>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第四条</w:t>
      </w:r>
      <w:r>
        <w:rPr>
          <w:rFonts w:hint="eastAsia" w:ascii="仿宋_GB2312" w:hAnsi="Times New Roman" w:eastAsia="仿宋_GB2312"/>
          <w:color w:val="000000"/>
          <w:sz w:val="32"/>
          <w:szCs w:val="32"/>
        </w:rPr>
        <w:t xml:space="preserve">  洛阳市中试基地的备案与绩效考核评价工作遵循“政府引导、科学布局、动态管理、注重实效”的原则，坚持公平、公正、公开。</w:t>
      </w:r>
    </w:p>
    <w:p>
      <w:pPr>
        <w:pStyle w:val="9"/>
        <w:spacing w:before="0" w:beforeAutospacing="0" w:after="0" w:afterAutospacing="0" w:line="592" w:lineRule="exact"/>
        <w:jc w:val="center"/>
        <w:rPr>
          <w:rFonts w:hint="eastAsia" w:ascii="黑体" w:hAnsi="Times New Roman" w:eastAsia="黑体"/>
          <w:color w:val="000000"/>
          <w:sz w:val="32"/>
          <w:szCs w:val="32"/>
        </w:rPr>
      </w:pPr>
    </w:p>
    <w:p>
      <w:pPr>
        <w:pStyle w:val="9"/>
        <w:spacing w:before="0" w:beforeAutospacing="0" w:after="0" w:afterAutospacing="0" w:line="592" w:lineRule="exact"/>
        <w:jc w:val="center"/>
        <w:rPr>
          <w:rFonts w:hint="eastAsia" w:ascii="黑体" w:hAnsi="Times New Roman" w:eastAsia="黑体"/>
          <w:color w:val="000000"/>
          <w:sz w:val="32"/>
          <w:szCs w:val="32"/>
        </w:rPr>
      </w:pPr>
      <w:r>
        <w:rPr>
          <w:rFonts w:hint="eastAsia" w:ascii="黑体" w:hAnsi="Times New Roman" w:eastAsia="黑体"/>
          <w:color w:val="000000"/>
          <w:sz w:val="32"/>
          <w:szCs w:val="32"/>
        </w:rPr>
        <w:t>第二章  职责分工</w:t>
      </w:r>
    </w:p>
    <w:p>
      <w:pPr>
        <w:pStyle w:val="9"/>
        <w:spacing w:before="0" w:beforeAutospacing="0" w:after="0" w:afterAutospacing="0" w:line="580" w:lineRule="exact"/>
        <w:jc w:val="center"/>
        <w:rPr>
          <w:rFonts w:hint="eastAsia" w:ascii="仿宋_GB2312" w:hAnsi="Times New Roman" w:eastAsia="仿宋_GB2312"/>
          <w:color w:val="000000"/>
          <w:sz w:val="32"/>
          <w:szCs w:val="32"/>
        </w:rPr>
      </w:pP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第五条</w:t>
      </w:r>
      <w:r>
        <w:rPr>
          <w:rFonts w:hint="eastAsia" w:ascii="仿宋_GB2312" w:hAnsi="Times New Roman" w:eastAsia="仿宋_GB2312"/>
          <w:color w:val="000000"/>
          <w:sz w:val="32"/>
          <w:szCs w:val="32"/>
        </w:rPr>
        <w:t xml:space="preserve">  市科技局负责全市中试基地的建设工作，市财政局协同做好政策措施落实以及申请备案、绩效考核评价等工作，主要职责包括：</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（一）制定中试基地备案管理与绩效考核评价办法；</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（二）会同有关部门研究制定支持中试基地建设发展的政策措施，并协调推动相关政策措施的有效落实；</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（三）组织对已命名的中试基地进行绩效考核评价；</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（四）面向社会发布中试服务清单。</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第六条</w:t>
      </w:r>
      <w:r>
        <w:rPr>
          <w:rFonts w:hint="eastAsia" w:ascii="仿宋_GB2312" w:hAnsi="Times New Roman" w:eastAsia="仿宋_GB2312"/>
          <w:color w:val="000000"/>
          <w:sz w:val="32"/>
          <w:szCs w:val="32"/>
        </w:rPr>
        <w:t xml:space="preserve">  各县区科技、财政部门负责本行政区域中试基地的建设管理工作，主要职责包括：</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（一）开展中试基地的培育、申报初审等工作；</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（二）制定相关扶持政策，并推进政策措施落实；</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（三）对中试基地实施过程管理，统筹政策资源支持中试基地建设发展；</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（四）协助做好中试基地年度报告、绩效考核评价等工作。</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第七条</w:t>
      </w:r>
      <w:r>
        <w:rPr>
          <w:rFonts w:hint="eastAsia" w:ascii="仿宋_GB2312" w:hAnsi="Times New Roman" w:eastAsia="仿宋_GB2312"/>
          <w:color w:val="000000"/>
          <w:sz w:val="32"/>
          <w:szCs w:val="32"/>
        </w:rPr>
        <w:t xml:space="preserve">  各中试基地依托单位负责中试基地的建设与运行，主要职责包括：</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（一）为中试基地所服务领域的科研成果提供中间试验服务；</w:t>
      </w:r>
    </w:p>
    <w:p>
      <w:pPr>
        <w:pStyle w:val="2"/>
        <w:ind w:firstLine="620" w:firstLineChars="200"/>
        <w:rPr>
          <w:rFonts w:hint="eastAsia"/>
        </w:rPr>
      </w:pPr>
      <w:r>
        <w:rPr>
          <w:rFonts w:hint="eastAsia"/>
        </w:rPr>
        <w:t>（二）组建专职从事中试验证总体方案设计、工艺设计、生产运营的高素质专业人才队伍，并配备安全生产、环境保护管理人员；</w:t>
      </w:r>
    </w:p>
    <w:p>
      <w:pPr>
        <w:pStyle w:val="2"/>
        <w:ind w:firstLine="620" w:firstLineChars="200"/>
        <w:rPr>
          <w:rFonts w:hint="eastAsia"/>
        </w:rPr>
      </w:pPr>
      <w:r>
        <w:rPr>
          <w:rFonts w:hint="eastAsia"/>
        </w:rPr>
        <w:t>（三）建立灵活高效的管理运营机制，制定合理的场地、设备等租赁收费标准，明确清晰的对外服务程序，构建完善的收益分配制度；</w:t>
      </w:r>
    </w:p>
    <w:p>
      <w:pPr>
        <w:pStyle w:val="2"/>
        <w:ind w:firstLine="620" w:firstLineChars="200"/>
        <w:rPr>
          <w:rFonts w:hint="eastAsia"/>
        </w:rPr>
      </w:pPr>
      <w:r>
        <w:rPr>
          <w:rFonts w:hint="eastAsia"/>
        </w:rPr>
        <w:t>（四）多元化筹措建设运行经费，并严格按照规定管理和使用经费；</w:t>
      </w:r>
    </w:p>
    <w:p>
      <w:pPr>
        <w:pStyle w:val="2"/>
        <w:ind w:firstLine="620" w:firstLineChars="200"/>
        <w:rPr>
          <w:rFonts w:hint="eastAsia"/>
        </w:rPr>
      </w:pPr>
      <w:r>
        <w:rPr>
          <w:rFonts w:hint="eastAsia"/>
        </w:rPr>
        <w:t>（五）及时妥善解决中试基地建设运行中遇到的重大问题；</w:t>
      </w:r>
    </w:p>
    <w:p>
      <w:pPr>
        <w:pStyle w:val="2"/>
        <w:ind w:firstLine="620" w:firstLineChars="200"/>
        <w:rPr>
          <w:rFonts w:hint="eastAsia"/>
        </w:rPr>
      </w:pPr>
      <w:r>
        <w:rPr>
          <w:rFonts w:hint="eastAsia"/>
        </w:rPr>
        <w:t>（六）负责组织中试基地备案申报和绩效考核自评工作，对拟提交的材料内容及其证明材料的真实性、数据的准确性负责，承担材料和数据失实的责任。</w:t>
      </w:r>
    </w:p>
    <w:p>
      <w:pPr>
        <w:pStyle w:val="2"/>
        <w:ind w:firstLine="640" w:firstLineChars="200"/>
        <w:jc w:val="center"/>
        <w:rPr>
          <w:rFonts w:hint="eastAsia" w:ascii="黑体" w:hAnsi="Times New Roman" w:eastAsia="黑体" w:cs="宋体"/>
          <w:color w:val="000000"/>
          <w:kern w:val="0"/>
          <w:sz w:val="32"/>
          <w:szCs w:val="32"/>
          <w:lang w:val="en-US" w:eastAsia="zh-CN" w:bidi="ar-SA"/>
        </w:rPr>
      </w:pPr>
    </w:p>
    <w:p>
      <w:pPr>
        <w:pStyle w:val="2"/>
        <w:ind w:firstLine="640" w:firstLineChars="200"/>
        <w:jc w:val="center"/>
        <w:rPr>
          <w:rFonts w:hint="eastAsia"/>
        </w:rPr>
      </w:pPr>
      <w:r>
        <w:rPr>
          <w:rFonts w:hint="eastAsia" w:ascii="黑体" w:hAnsi="Times New Roman" w:eastAsia="黑体" w:cs="宋体"/>
          <w:color w:val="000000"/>
          <w:kern w:val="0"/>
          <w:sz w:val="32"/>
          <w:szCs w:val="32"/>
          <w:lang w:val="en-US" w:eastAsia="zh-CN" w:bidi="ar-SA"/>
        </w:rPr>
        <w:t>第三章  备案管理</w:t>
      </w:r>
    </w:p>
    <w:p>
      <w:pPr>
        <w:pStyle w:val="2"/>
        <w:ind w:firstLine="620" w:firstLineChars="200"/>
        <w:rPr>
          <w:rFonts w:hint="eastAsia"/>
        </w:rPr>
      </w:pPr>
      <w:r>
        <w:rPr>
          <w:rFonts w:hint="eastAsia"/>
        </w:rPr>
        <w:t>第八条  中试基地备案工作原则上每年开展一次，采取自下而上的方式进行。</w:t>
      </w:r>
    </w:p>
    <w:p>
      <w:pPr>
        <w:pStyle w:val="2"/>
        <w:ind w:firstLine="620" w:firstLineChars="200"/>
        <w:rPr>
          <w:rFonts w:hint="eastAsia"/>
        </w:rPr>
      </w:pPr>
      <w:r>
        <w:rPr>
          <w:rFonts w:hint="eastAsia"/>
        </w:rPr>
        <w:t>第九条  申请备案的中试基地应当具备以下条件：</w:t>
      </w:r>
    </w:p>
    <w:p>
      <w:pPr>
        <w:pStyle w:val="2"/>
        <w:ind w:firstLine="620" w:firstLineChars="200"/>
        <w:rPr>
          <w:rFonts w:hint="eastAsia"/>
        </w:rPr>
      </w:pPr>
      <w:r>
        <w:rPr>
          <w:rFonts w:hint="eastAsia"/>
        </w:rPr>
        <w:t>（一）符合我市发展规划确定的产业方向，能够形成显著的区位优势和技术优势，有力支撑服务产业发展升级；</w:t>
      </w:r>
    </w:p>
    <w:p>
      <w:pPr>
        <w:pStyle w:val="2"/>
        <w:ind w:firstLine="620" w:firstLineChars="200"/>
        <w:rPr>
          <w:rFonts w:hint="eastAsia"/>
        </w:rPr>
      </w:pPr>
      <w:r>
        <w:rPr>
          <w:rFonts w:hint="eastAsia"/>
        </w:rPr>
        <w:t>（二）具备独立的场地，中试场地及配套设施面积不低于2000平方米；拥有承担中试任务必需的专用设备、检验检测设备，设备原值在1000万元以上；至少拥有3条以上能够提供数据模拟、应用场景、工艺改进、样品试制、临床应用、产品示范等的中试线，或至少已开展中试项目15项，其中至少成功实现10项成果的样品化、产品化；</w:t>
      </w:r>
    </w:p>
    <w:p>
      <w:pPr>
        <w:pStyle w:val="2"/>
        <w:ind w:firstLine="620" w:firstLineChars="200"/>
        <w:rPr>
          <w:rFonts w:hint="eastAsia"/>
        </w:rPr>
      </w:pPr>
      <w:r>
        <w:rPr>
          <w:rFonts w:hint="eastAsia"/>
        </w:rPr>
        <w:t>（三）中试基地研究、开发、经营管理队伍结构合理，拥有水平较高的学术和技术带头人，具备承担工程试验任务的熟练技术工人，能够组织制定科学合理的中试熟化方案和规程，能够完成中试验证的总体方案设计、工艺设计、中试熟化等工作；</w:t>
      </w:r>
    </w:p>
    <w:p>
      <w:pPr>
        <w:pStyle w:val="2"/>
        <w:ind w:firstLine="620" w:firstLineChars="200"/>
        <w:rPr>
          <w:rFonts w:hint="eastAsia"/>
        </w:rPr>
      </w:pPr>
      <w:r>
        <w:rPr>
          <w:rFonts w:hint="eastAsia"/>
        </w:rPr>
        <w:t>（四）具备自主中试熟化能力，并愿意发挥中试基地的作用，为高校、科研机构、行业内企业等提供开放共享中试服务；衍生孵化、中试服务成效显著。应符合以下条件之一：</w:t>
      </w:r>
    </w:p>
    <w:p>
      <w:pPr>
        <w:pStyle w:val="2"/>
        <w:ind w:firstLine="620" w:firstLineChars="200"/>
        <w:rPr>
          <w:rFonts w:hint="eastAsia"/>
        </w:rPr>
      </w:pPr>
      <w:r>
        <w:rPr>
          <w:rFonts w:hint="eastAsia"/>
        </w:rPr>
        <w:t>1. 已成功创办或孵化2家企业，企业累计估值达3000万元以上，或累计营业收入达1000万元以上。</w:t>
      </w:r>
    </w:p>
    <w:p>
      <w:pPr>
        <w:pStyle w:val="2"/>
        <w:ind w:firstLine="620" w:firstLineChars="200"/>
        <w:rPr>
          <w:rFonts w:hint="eastAsia"/>
        </w:rPr>
      </w:pPr>
      <w:r>
        <w:rPr>
          <w:rFonts w:hint="eastAsia"/>
        </w:rPr>
        <w:t>2. 技术成果转化合同额在1000万元以上或收入到账额在500万元以上；</w:t>
      </w:r>
    </w:p>
    <w:p>
      <w:pPr>
        <w:pStyle w:val="2"/>
        <w:ind w:firstLine="620" w:firstLineChars="200"/>
        <w:rPr>
          <w:rFonts w:hint="eastAsia"/>
        </w:rPr>
      </w:pPr>
      <w:r>
        <w:rPr>
          <w:rFonts w:hint="eastAsia"/>
        </w:rPr>
        <w:t>3. 近三年为3家以上企业、高校、科研院所、研发机构提供中试服务累计收入1000万元以上。</w:t>
      </w:r>
    </w:p>
    <w:p>
      <w:pPr>
        <w:pStyle w:val="2"/>
        <w:ind w:firstLine="620" w:firstLineChars="200"/>
        <w:rPr>
          <w:rFonts w:hint="eastAsia"/>
        </w:rPr>
      </w:pPr>
      <w:r>
        <w:rPr>
          <w:rFonts w:hint="eastAsia"/>
        </w:rPr>
        <w:t>（五）内部管理制度健全，运营状况良好，具有较强的经济实力，有稳定的研发经费来源；具有筹措资金的能力和信誉；具有健全、高效的管理和运营体系；具备必需的安全、环保设施设备及制度条件；拥有合理的场地、设备等租赁收费标准、明晰的对外服务程序、完善的收益分配制度等；</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（六）拥有清晰的发展规划和目标，具备可持续发展的潜力；</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（七）近三年内，未发生司法、行政机关认定的违法失信行为。</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第十条</w:t>
      </w:r>
      <w:r>
        <w:rPr>
          <w:rFonts w:hint="eastAsia" w:ascii="仿宋_GB2312" w:hAnsi="Times New Roman" w:eastAsia="仿宋_GB2312"/>
          <w:b/>
          <w:bCs/>
          <w:color w:val="000000"/>
          <w:sz w:val="32"/>
          <w:szCs w:val="32"/>
        </w:rPr>
        <w:t xml:space="preserve">  </w:t>
      </w:r>
      <w:r>
        <w:rPr>
          <w:rFonts w:hint="eastAsia" w:ascii="仿宋_GB2312" w:hAnsi="Times New Roman" w:eastAsia="仿宋_GB2312"/>
          <w:color w:val="000000"/>
          <w:sz w:val="32"/>
          <w:szCs w:val="32"/>
        </w:rPr>
        <w:t>备案程序</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（一）发布通知。市科技局发布征集申报中试基地备案的工作通知，明确申报单位应具备的条件、申报工作流程，需提交的文件材料以及其他相关要求，启动中试基地备案工作。</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（二）材料申报。符合条件的申请单位，在规定时间内按照通知要求向所在县区科技管理部门提交盖章的纸质申请材料和电子文档。</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（三）汇总推荐。各县区科技管理部门负责接收申请单位的申请材料，对材料的真实性与规范性进行严格审核，必要时进行实地考察，对符合申报条件的出具推荐意见文件，报送市科技局。</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（四）评审考察。市科技局牵头组织对申报材料进行形式审查，会同市财政局组织专家实地考察，形成综合论证意见。</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（五）研究审定。市科技局根据综合论证意见，提出拟备案名单，提交局党组会研究，并报分管市领导审定。</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（六）结果公示。市科技局将研究审定结果在局门户网站进行公示，公示期为5个工作日。</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（七）予以备案。市科技局对公示无异议的申请机构，予以公告并备案入库，并由市科技局、市财政局联合下发命名文件。</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第十一条</w:t>
      </w:r>
      <w:r>
        <w:rPr>
          <w:rFonts w:hint="eastAsia" w:ascii="仿宋_GB2312" w:hAnsi="Times New Roman" w:eastAsia="仿宋_GB2312"/>
          <w:color w:val="000000"/>
          <w:sz w:val="32"/>
          <w:szCs w:val="32"/>
        </w:rPr>
        <w:t xml:space="preserve">  申请备案的中试基地应提供以下材料：</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（一）洛阳市中试基地备案申报书；</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（二）洛阳市中试基地建设方案；</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（三）营业执照或者事业单位法人证书或者民办非企业单位登记证书等有效证件复印件；</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（四）合作单位间或单位与各级政府签订的共建协议书（非共建无需提供）；</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（五）机构章程和管理制度（包括运营管理、人才引培、成果转化、科研项目管理、研发经费核算等）；</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（六）研发人员（包括姓名、年龄、学历、专业、职称、工作岗位等信息）和全体职工人员清单；</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（七）上一年度审计报告；</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（八）近三年（注册运营不足三年的提交从成立以来）孵化的企业、承担的中试项目清单及签订的中试合同等；</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（九）研发平台证明文件；</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（十）单价万元以上科研仪器设备清单（含名称、型号、原价、数量）；</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（十一）上年度工作报告。</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第十二条</w:t>
      </w:r>
      <w:r>
        <w:rPr>
          <w:rFonts w:hint="eastAsia" w:ascii="仿宋_GB2312" w:hAnsi="Times New Roman" w:eastAsia="仿宋_GB2312"/>
          <w:color w:val="000000"/>
          <w:sz w:val="32"/>
          <w:szCs w:val="32"/>
        </w:rPr>
        <w:t xml:space="preserve">  中试基地申报主体原则上须为中试基地建设依托单位或运营单位。</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第十三条</w:t>
      </w:r>
      <w:r>
        <w:rPr>
          <w:rFonts w:hint="eastAsia" w:ascii="仿宋_GB2312" w:hAnsi="Times New Roman" w:eastAsia="仿宋_GB2312"/>
          <w:color w:val="000000"/>
          <w:sz w:val="32"/>
          <w:szCs w:val="32"/>
        </w:rPr>
        <w:t xml:space="preserve">  对综合性、高水平、有望突破我市产业发展“卡脖子”的中试基地，可按照“成熟一个，备案一个”的原则，单独申请备案。</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第十四条</w:t>
      </w:r>
      <w:r>
        <w:rPr>
          <w:rFonts w:hint="eastAsia" w:ascii="仿宋_GB2312" w:hAnsi="Times New Roman" w:eastAsia="仿宋_GB2312"/>
          <w:color w:val="000000"/>
          <w:sz w:val="32"/>
          <w:szCs w:val="32"/>
        </w:rPr>
        <w:t xml:space="preserve">  中试基地获批命名后，应及时梳理《中试服务清单》，主要包括：中试基地名称、依托单位、所属领域、现有基础、服务清单、联系人及联系方式等，通过市科技局门户网站统一向社会发布。</w:t>
      </w:r>
    </w:p>
    <w:p>
      <w:pPr>
        <w:pStyle w:val="9"/>
        <w:spacing w:before="0" w:beforeAutospacing="0" w:after="0" w:afterAutospacing="0" w:line="580" w:lineRule="exact"/>
        <w:jc w:val="center"/>
        <w:rPr>
          <w:rFonts w:hint="eastAsia" w:ascii="仿宋_GB2312" w:hAnsi="Times New Roman" w:eastAsia="仿宋_GB2312"/>
          <w:color w:val="000000"/>
          <w:sz w:val="32"/>
          <w:szCs w:val="32"/>
        </w:rPr>
      </w:pPr>
    </w:p>
    <w:p>
      <w:pPr>
        <w:pStyle w:val="9"/>
        <w:spacing w:before="0" w:beforeAutospacing="0" w:after="0" w:afterAutospacing="0" w:line="580" w:lineRule="exact"/>
        <w:jc w:val="center"/>
        <w:rPr>
          <w:rFonts w:hint="eastAsia" w:ascii="黑体" w:hAnsi="Times New Roman" w:eastAsia="黑体"/>
          <w:color w:val="000000"/>
          <w:sz w:val="32"/>
          <w:szCs w:val="32"/>
        </w:rPr>
      </w:pPr>
      <w:r>
        <w:rPr>
          <w:rFonts w:hint="eastAsia" w:ascii="黑体" w:hAnsi="Times New Roman" w:eastAsia="黑体"/>
          <w:color w:val="000000"/>
          <w:sz w:val="32"/>
          <w:szCs w:val="32"/>
        </w:rPr>
        <w:t>第四章  绩效考核评价</w:t>
      </w:r>
    </w:p>
    <w:p>
      <w:pPr>
        <w:pStyle w:val="9"/>
        <w:spacing w:before="0" w:beforeAutospacing="0" w:after="0" w:afterAutospacing="0" w:line="580" w:lineRule="exact"/>
        <w:jc w:val="center"/>
        <w:rPr>
          <w:rFonts w:hint="eastAsia" w:ascii="仿宋_GB2312" w:hAnsi="Times New Roman" w:eastAsia="仿宋_GB2312"/>
          <w:color w:val="000000"/>
          <w:sz w:val="32"/>
          <w:szCs w:val="32"/>
        </w:rPr>
      </w:pP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第十五条</w:t>
      </w:r>
      <w:r>
        <w:rPr>
          <w:rFonts w:hint="eastAsia" w:ascii="仿宋_GB2312" w:hAnsi="Times New Roman" w:eastAsia="仿宋_GB2312"/>
          <w:color w:val="000000"/>
          <w:sz w:val="32"/>
          <w:szCs w:val="32"/>
        </w:rPr>
        <w:t xml:space="preserve">  中试基地应按要求在每年3月份前报送上年度运行情况报告。对中试基地实行定期绩效考核评价，原则上每三年组织一次。</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第十六条</w:t>
      </w:r>
      <w:r>
        <w:rPr>
          <w:rFonts w:hint="eastAsia" w:ascii="仿宋_GB2312" w:hAnsi="Times New Roman" w:eastAsia="仿宋_GB2312"/>
          <w:color w:val="000000"/>
          <w:sz w:val="32"/>
          <w:szCs w:val="32"/>
        </w:rPr>
        <w:t xml:space="preserve">  绩效考核评价工作在中试基地依托单位自评基础上，由市科技局会同市财政局组织专家或委托相关专业机构实施。</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第十七条</w:t>
      </w:r>
      <w:r>
        <w:rPr>
          <w:rFonts w:hint="eastAsia" w:ascii="仿宋_GB2312" w:hAnsi="Times New Roman" w:eastAsia="仿宋_GB2312"/>
          <w:b/>
          <w:bCs/>
          <w:color w:val="000000"/>
          <w:sz w:val="32"/>
          <w:szCs w:val="32"/>
        </w:rPr>
        <w:t xml:space="preserve">  </w:t>
      </w:r>
      <w:r>
        <w:rPr>
          <w:rFonts w:hint="eastAsia" w:ascii="仿宋_GB2312" w:hAnsi="Times New Roman" w:eastAsia="仿宋_GB2312"/>
          <w:color w:val="000000"/>
          <w:sz w:val="32"/>
          <w:szCs w:val="32"/>
        </w:rPr>
        <w:t>绩效考核评价程序</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（一）发布通知。市科技局发布绩效考核评价工作通知，明确参加绩效考核评价的单位、需提交的材料和其他相关要求。</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（二）材料申报。参加绩效考核评价的单位，按照通知要求向所在县（区）科技局提交盖章的纸质材料和电子文档。</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（三）汇总报送。各县区科技局对考核评价材料进行初审，必要时进行实地考察，签署意见后报送至市科技局。</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（四）现场考察。市科技局会同市财政局组织专家对中试基地建设运行情况进行实地考察，内容包括：</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1. 中试基地基础条件建设、中试服务、经济社会效益情况；</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2. 中试基地发展规划、目标；</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3. 考核评价指标相关证明材料原件。</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五）综合论证。考核评价专家组根据现场考察情况，分析中试基地建设成效、中试服务绩效及发展前景，实事求是指出存在的问题和不足，提出建设发展建议或改进方向，并对参加考核评价的中试基地评价打分，形成综合论证意见。</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（六）研究审定。市科技局根据专家组意见，形成绩效考核评价结果档次，提交局党组会研究审定。</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（七）结果公示。研究审定结果在市科技局门户网站进行公示，公示期为5个工作日。</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（八）发文公布。对绩效考核评价结果档次公示无异议的，由市科技局、财政局联合下发绩效考核评价结果文件。</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第十八条</w:t>
      </w:r>
      <w:r>
        <w:rPr>
          <w:rFonts w:hint="eastAsia" w:ascii="仿宋_GB2312" w:hAnsi="Times New Roman" w:eastAsia="仿宋_GB2312"/>
          <w:color w:val="000000"/>
          <w:sz w:val="32"/>
          <w:szCs w:val="32"/>
        </w:rPr>
        <w:t xml:space="preserve">  绩效考核评价结果分为优秀、合格、不合格三个档次，得分85分（含）以上的为“优秀”，60（含）—84分的为“合格”，59分以下的为“不合格”。其中“优秀”的比例控制在参加考核评价总数的30%以内。绩效考核“优秀”的，市财政给予30万元一次性奖励；“不合格”的，限期一年进行整改。</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第十九条</w:t>
      </w:r>
      <w:r>
        <w:rPr>
          <w:rFonts w:hint="eastAsia" w:ascii="仿宋_GB2312" w:hAnsi="Times New Roman" w:eastAsia="仿宋_GB2312"/>
          <w:color w:val="000000"/>
          <w:sz w:val="32"/>
          <w:szCs w:val="32"/>
        </w:rPr>
        <w:t xml:space="preserve">  已批准命名的洛阳市中试基地有下列情形之一的，取消其资格：</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（一）整改后再次考核评价为“不合格”等次的；</w:t>
      </w:r>
    </w:p>
    <w:p>
      <w:pPr>
        <w:pStyle w:val="2"/>
        <w:ind w:firstLine="640" w:firstLineChars="200"/>
        <w:rPr>
          <w:rFonts w:hint="eastAsia"/>
        </w:rPr>
      </w:pPr>
      <w:r>
        <w:rPr>
          <w:rFonts w:hint="eastAsia" w:ascii="仿宋_GB2312" w:hAnsi="Times New Roman" w:eastAsia="仿宋_GB2312"/>
          <w:color w:val="000000"/>
          <w:sz w:val="32"/>
          <w:szCs w:val="32"/>
        </w:rPr>
        <w:t>（二）无正当理由不参加考核或中途退出绩效考核评价，或</w:t>
      </w:r>
    </w:p>
    <w:p>
      <w:pPr>
        <w:spacing w:line="580" w:lineRule="exact"/>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不按规定时间和要求提供绩效考核评价资料的；</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（三）在申报或绩效考核评价过程中提供虚假资料的；</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（四）有重大违法、违规行为，受到有关部门处罚的；</w:t>
      </w:r>
    </w:p>
    <w:p>
      <w:pPr>
        <w:spacing w:line="58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（五）因管理不善导致严重服务质量事故、安全事故或环保事故的。</w:t>
      </w:r>
    </w:p>
    <w:p>
      <w:pPr>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对因本条第（二）至第（五）款原因取消市中试基地资格的，纳入科研诚信管理，两年内不再受理其备案申请。</w:t>
      </w:r>
    </w:p>
    <w:p>
      <w:pPr>
        <w:pStyle w:val="9"/>
        <w:spacing w:before="0" w:beforeAutospacing="0" w:after="0" w:afterAutospacing="0" w:line="580" w:lineRule="exact"/>
        <w:jc w:val="center"/>
        <w:rPr>
          <w:rFonts w:hint="eastAsia" w:ascii="黑体" w:hAnsi="Times New Roman" w:eastAsia="黑体"/>
          <w:color w:val="000000"/>
          <w:sz w:val="32"/>
          <w:szCs w:val="32"/>
        </w:rPr>
      </w:pPr>
    </w:p>
    <w:p>
      <w:pPr>
        <w:pStyle w:val="9"/>
        <w:spacing w:before="0" w:beforeAutospacing="0" w:after="0" w:afterAutospacing="0" w:line="580" w:lineRule="exact"/>
        <w:jc w:val="center"/>
        <w:rPr>
          <w:rFonts w:hint="eastAsia" w:ascii="黑体" w:hAnsi="Times New Roman" w:eastAsia="黑体"/>
          <w:color w:val="000000"/>
          <w:sz w:val="32"/>
          <w:szCs w:val="32"/>
        </w:rPr>
      </w:pPr>
      <w:r>
        <w:rPr>
          <w:rFonts w:hint="eastAsia" w:ascii="黑体" w:hAnsi="Times New Roman" w:eastAsia="黑体"/>
          <w:color w:val="000000"/>
          <w:sz w:val="32"/>
          <w:szCs w:val="32"/>
        </w:rPr>
        <w:t>第五章  附  则</w:t>
      </w:r>
    </w:p>
    <w:p>
      <w:pPr>
        <w:pStyle w:val="9"/>
        <w:spacing w:before="0" w:beforeAutospacing="0" w:after="0" w:afterAutospacing="0" w:line="580" w:lineRule="exact"/>
        <w:jc w:val="center"/>
        <w:rPr>
          <w:rFonts w:hint="eastAsia" w:ascii="仿宋_GB2312" w:hAnsi="Times New Roman" w:eastAsia="仿宋_GB2312"/>
          <w:color w:val="000000"/>
          <w:sz w:val="32"/>
          <w:szCs w:val="32"/>
        </w:rPr>
      </w:pP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第二十条</w:t>
      </w:r>
      <w:r>
        <w:rPr>
          <w:rFonts w:hint="eastAsia" w:ascii="仿宋_GB2312" w:hAnsi="Times New Roman" w:eastAsia="仿宋_GB2312"/>
          <w:color w:val="000000"/>
          <w:sz w:val="32"/>
          <w:szCs w:val="32"/>
        </w:rPr>
        <w:t xml:space="preserve">    本办法由市科技局、市财政局负责解释。</w:t>
      </w:r>
    </w:p>
    <w:p>
      <w:pPr>
        <w:spacing w:line="580" w:lineRule="exact"/>
        <w:ind w:firstLine="640" w:firstLineChars="200"/>
        <w:rPr>
          <w:rFonts w:hint="eastAsia" w:ascii="仿宋_GB2312" w:hAnsi="Times New Roman" w:eastAsia="仿宋_GB2312"/>
          <w:color w:val="000000"/>
          <w:sz w:val="32"/>
          <w:szCs w:val="32"/>
        </w:rPr>
      </w:pPr>
      <w:r>
        <w:rPr>
          <w:rFonts w:hint="eastAsia" w:ascii="黑体" w:hAnsi="Times New Roman" w:eastAsia="黑体"/>
          <w:bCs/>
          <w:color w:val="000000"/>
          <w:sz w:val="32"/>
          <w:szCs w:val="32"/>
        </w:rPr>
        <w:t>第二十一条</w:t>
      </w:r>
      <w:r>
        <w:rPr>
          <w:rFonts w:hint="eastAsia" w:ascii="仿宋_GB2312" w:hAnsi="Times New Roman" w:eastAsia="仿宋_GB2312"/>
          <w:bCs/>
          <w:color w:val="000000"/>
          <w:sz w:val="32"/>
          <w:szCs w:val="32"/>
        </w:rPr>
        <w:t xml:space="preserve"> </w:t>
      </w:r>
      <w:r>
        <w:rPr>
          <w:rFonts w:hint="eastAsia" w:ascii="仿宋_GB2312" w:hAnsi="Times New Roman" w:eastAsia="仿宋_GB2312"/>
          <w:color w:val="000000"/>
          <w:sz w:val="32"/>
          <w:szCs w:val="32"/>
        </w:rPr>
        <w:t xml:space="preserve"> 本办法自发布之日起施行。原《洛阳市中试基地备案管理办法（试行）》（洛政办〔2022〕52号）、《洛阳市中试基地绩效考核评价办法（试行）》（洛市科〔2023〕9号）废止。</w:t>
      </w:r>
    </w:p>
    <w:p>
      <w:pPr>
        <w:pStyle w:val="2"/>
        <w:rPr>
          <w:rFonts w:hint="eastAsia" w:ascii="仿宋_GB2312" w:hAnsi="Times New Roman" w:eastAsia="仿宋_GB2312"/>
          <w:color w:val="000000"/>
          <w:sz w:val="32"/>
          <w:szCs w:val="32"/>
        </w:rPr>
      </w:pPr>
    </w:p>
    <w:p>
      <w:pPr>
        <w:pStyle w:val="2"/>
        <w:ind w:firstLine="640" w:firstLineChars="200"/>
        <w:rPr>
          <w:rFonts w:hint="eastAsia"/>
        </w:rPr>
      </w:pPr>
      <w:r>
        <w:rPr>
          <w:rFonts w:hint="eastAsia" w:ascii="仿宋_GB2312" w:hAnsi="Times New Roman" w:eastAsia="仿宋_GB2312"/>
          <w:color w:val="000000"/>
          <w:sz w:val="32"/>
          <w:szCs w:val="32"/>
        </w:rPr>
        <w:t>附件：洛阳市中试基地绩效考核评价指标</w:t>
      </w: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pStyle w:val="9"/>
        <w:spacing w:before="0" w:beforeAutospacing="0" w:after="0" w:afterAutospacing="0" w:line="592" w:lineRule="exact"/>
        <w:jc w:val="center"/>
        <w:rPr>
          <w:rStyle w:val="21"/>
          <w:rFonts w:hint="eastAsia" w:eastAsia="方正小标宋_GBK"/>
          <w:b w:val="0"/>
          <w:color w:val="000000"/>
          <w:sz w:val="44"/>
          <w:szCs w:val="44"/>
        </w:rPr>
      </w:pPr>
      <w:r>
        <w:rPr>
          <w:rStyle w:val="21"/>
          <w:rFonts w:eastAsia="方正小标宋_GBK"/>
          <w:b w:val="0"/>
          <w:color w:val="000000"/>
          <w:sz w:val="44"/>
          <w:szCs w:val="44"/>
        </w:rPr>
        <w:t>洛阳市中试基地绩效考核评价指标</w:t>
      </w:r>
    </w:p>
    <w:p>
      <w:pPr>
        <w:pStyle w:val="9"/>
        <w:spacing w:before="0" w:beforeAutospacing="0" w:after="0" w:afterAutospacing="0" w:line="592" w:lineRule="exact"/>
        <w:jc w:val="center"/>
        <w:rPr>
          <w:rStyle w:val="21"/>
          <w:color w:val="000000"/>
          <w:sz w:val="44"/>
          <w:szCs w:val="44"/>
        </w:rPr>
      </w:pPr>
    </w:p>
    <w:tbl>
      <w:tblPr>
        <w:tblStyle w:val="12"/>
        <w:tblW w:w="52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7" w:type="dxa"/>
          <w:bottom w:w="0" w:type="dxa"/>
          <w:right w:w="17" w:type="dxa"/>
        </w:tblCellMar>
      </w:tblPr>
      <w:tblGrid>
        <w:gridCol w:w="1081"/>
        <w:gridCol w:w="1737"/>
        <w:gridCol w:w="705"/>
        <w:gridCol w:w="666"/>
        <w:gridCol w:w="2234"/>
        <w:gridCol w:w="599"/>
        <w:gridCol w:w="22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567" w:hRule="atLeast"/>
          <w:jc w:val="center"/>
        </w:trPr>
        <w:tc>
          <w:tcPr>
            <w:tcW w:w="581" w:type="pct"/>
            <w:noWrap w:val="0"/>
            <w:vAlign w:val="center"/>
          </w:tcPr>
          <w:p>
            <w:pPr>
              <w:pStyle w:val="22"/>
              <w:spacing w:line="360" w:lineRule="exact"/>
              <w:jc w:val="center"/>
              <w:rPr>
                <w:rFonts w:hint="eastAsia" w:ascii="黑体" w:hAnsi="Times New Roman" w:eastAsia="黑体" w:cs="Times New Roman"/>
                <w:color w:val="000000"/>
                <w:sz w:val="26"/>
                <w:szCs w:val="26"/>
              </w:rPr>
            </w:pPr>
            <w:r>
              <w:rPr>
                <w:rFonts w:hint="eastAsia" w:ascii="黑体" w:hAnsi="Times New Roman" w:eastAsia="黑体" w:cs="Times New Roman"/>
                <w:color w:val="000000"/>
                <w:spacing w:val="-6"/>
                <w:sz w:val="26"/>
                <w:szCs w:val="26"/>
              </w:rPr>
              <w:t>一级指标</w:t>
            </w:r>
          </w:p>
        </w:tc>
        <w:tc>
          <w:tcPr>
            <w:tcW w:w="933" w:type="pct"/>
            <w:noWrap w:val="0"/>
            <w:vAlign w:val="center"/>
          </w:tcPr>
          <w:p>
            <w:pPr>
              <w:pStyle w:val="22"/>
              <w:spacing w:line="360" w:lineRule="exact"/>
              <w:jc w:val="center"/>
              <w:rPr>
                <w:rFonts w:hint="eastAsia" w:ascii="黑体" w:hAnsi="Times New Roman" w:eastAsia="黑体" w:cs="Times New Roman"/>
                <w:color w:val="000000"/>
                <w:sz w:val="26"/>
                <w:szCs w:val="26"/>
              </w:rPr>
            </w:pPr>
            <w:r>
              <w:rPr>
                <w:rFonts w:hint="eastAsia" w:ascii="黑体" w:hAnsi="Times New Roman" w:eastAsia="黑体" w:cs="Times New Roman"/>
                <w:color w:val="000000"/>
                <w:spacing w:val="-5"/>
                <w:sz w:val="26"/>
                <w:szCs w:val="26"/>
              </w:rPr>
              <w:t>二级指标</w:t>
            </w:r>
          </w:p>
        </w:tc>
        <w:tc>
          <w:tcPr>
            <w:tcW w:w="379" w:type="pct"/>
            <w:noWrap w:val="0"/>
            <w:vAlign w:val="center"/>
          </w:tcPr>
          <w:p>
            <w:pPr>
              <w:pStyle w:val="22"/>
              <w:spacing w:line="360" w:lineRule="exact"/>
              <w:jc w:val="center"/>
              <w:rPr>
                <w:rFonts w:hint="eastAsia" w:ascii="黑体" w:hAnsi="Times New Roman" w:eastAsia="黑体" w:cs="Times New Roman"/>
                <w:color w:val="000000"/>
                <w:sz w:val="26"/>
                <w:szCs w:val="26"/>
              </w:rPr>
            </w:pPr>
            <w:r>
              <w:rPr>
                <w:rFonts w:hint="eastAsia" w:ascii="黑体" w:hAnsi="Times New Roman" w:eastAsia="黑体" w:cs="Times New Roman"/>
                <w:color w:val="000000"/>
                <w:spacing w:val="-5"/>
                <w:sz w:val="26"/>
                <w:szCs w:val="26"/>
              </w:rPr>
              <w:t>单位</w:t>
            </w:r>
          </w:p>
        </w:tc>
        <w:tc>
          <w:tcPr>
            <w:tcW w:w="358" w:type="pct"/>
            <w:noWrap w:val="0"/>
            <w:vAlign w:val="center"/>
          </w:tcPr>
          <w:p>
            <w:pPr>
              <w:pStyle w:val="22"/>
              <w:spacing w:line="360" w:lineRule="exact"/>
              <w:jc w:val="center"/>
              <w:rPr>
                <w:rFonts w:hint="eastAsia" w:ascii="黑体" w:hAnsi="Times New Roman" w:eastAsia="黑体" w:cs="Times New Roman"/>
                <w:color w:val="000000"/>
                <w:sz w:val="26"/>
                <w:szCs w:val="26"/>
              </w:rPr>
            </w:pPr>
            <w:r>
              <w:rPr>
                <w:rFonts w:hint="eastAsia" w:ascii="黑体" w:hAnsi="Times New Roman" w:eastAsia="黑体" w:cs="Times New Roman"/>
                <w:color w:val="000000"/>
                <w:spacing w:val="-6"/>
                <w:sz w:val="26"/>
                <w:szCs w:val="26"/>
              </w:rPr>
              <w:t>分值</w:t>
            </w:r>
          </w:p>
        </w:tc>
        <w:tc>
          <w:tcPr>
            <w:tcW w:w="1200" w:type="pct"/>
            <w:noWrap w:val="0"/>
            <w:vAlign w:val="center"/>
          </w:tcPr>
          <w:p>
            <w:pPr>
              <w:pStyle w:val="22"/>
              <w:spacing w:line="360" w:lineRule="exact"/>
              <w:jc w:val="center"/>
              <w:rPr>
                <w:rFonts w:hint="eastAsia" w:ascii="黑体" w:hAnsi="Times New Roman" w:eastAsia="黑体" w:cs="Times New Roman"/>
                <w:color w:val="000000"/>
                <w:sz w:val="26"/>
                <w:szCs w:val="26"/>
              </w:rPr>
            </w:pPr>
            <w:r>
              <w:rPr>
                <w:rFonts w:hint="eastAsia" w:ascii="黑体" w:hAnsi="Times New Roman" w:eastAsia="黑体" w:cs="Times New Roman"/>
                <w:color w:val="000000"/>
                <w:spacing w:val="-4"/>
                <w:sz w:val="26"/>
                <w:szCs w:val="26"/>
              </w:rPr>
              <w:t>佐证材料</w:t>
            </w:r>
          </w:p>
        </w:tc>
        <w:tc>
          <w:tcPr>
            <w:tcW w:w="1549" w:type="pct"/>
            <w:gridSpan w:val="2"/>
            <w:noWrap w:val="0"/>
            <w:vAlign w:val="center"/>
          </w:tcPr>
          <w:p>
            <w:pPr>
              <w:pStyle w:val="22"/>
              <w:spacing w:line="360" w:lineRule="exact"/>
              <w:jc w:val="center"/>
              <w:rPr>
                <w:rFonts w:hint="eastAsia" w:ascii="黑体" w:hAnsi="Times New Roman" w:eastAsia="黑体" w:cs="Times New Roman"/>
                <w:color w:val="000000"/>
                <w:spacing w:val="-4"/>
                <w:sz w:val="26"/>
                <w:szCs w:val="26"/>
                <w:lang w:eastAsia="zh-CN"/>
              </w:rPr>
            </w:pPr>
            <w:r>
              <w:rPr>
                <w:rFonts w:hint="eastAsia" w:ascii="黑体" w:hAnsi="Times New Roman" w:eastAsia="黑体" w:cs="Times New Roman"/>
                <w:color w:val="000000"/>
                <w:spacing w:val="-4"/>
                <w:sz w:val="26"/>
                <w:szCs w:val="26"/>
                <w:lang w:eastAsia="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3"/>
                <w:sz w:val="26"/>
                <w:szCs w:val="26"/>
                <w:lang w:eastAsia="zh-CN"/>
              </w:rPr>
            </w:pPr>
            <w:r>
              <w:rPr>
                <w:rFonts w:hint="eastAsia" w:ascii="仿宋_GB2312" w:hAnsi="Times New Roman" w:eastAsia="仿宋_GB2312" w:cs="Times New Roman"/>
                <w:color w:val="000000"/>
                <w:spacing w:val="3"/>
                <w:sz w:val="26"/>
                <w:szCs w:val="26"/>
                <w:lang w:eastAsia="zh-CN"/>
              </w:rPr>
              <w:t>总体</w:t>
            </w:r>
          </w:p>
          <w:p>
            <w:pPr>
              <w:pStyle w:val="22"/>
              <w:spacing w:line="360" w:lineRule="exact"/>
              <w:jc w:val="center"/>
              <w:rPr>
                <w:rFonts w:hint="eastAsia" w:ascii="仿宋_GB2312" w:hAnsi="Times New Roman" w:eastAsia="仿宋_GB2312" w:cs="Times New Roman"/>
                <w:color w:val="000000"/>
                <w:spacing w:val="3"/>
                <w:sz w:val="26"/>
                <w:szCs w:val="26"/>
                <w:lang w:eastAsia="zh-CN"/>
              </w:rPr>
            </w:pPr>
            <w:r>
              <w:rPr>
                <w:rFonts w:hint="eastAsia" w:ascii="仿宋_GB2312" w:hAnsi="Times New Roman" w:eastAsia="仿宋_GB2312" w:cs="Times New Roman"/>
                <w:color w:val="000000"/>
                <w:spacing w:val="3"/>
                <w:sz w:val="26"/>
                <w:szCs w:val="26"/>
                <w:lang w:eastAsia="zh-CN"/>
              </w:rPr>
              <w:t>情况</w:t>
            </w:r>
          </w:p>
          <w:p>
            <w:pPr>
              <w:pStyle w:val="22"/>
              <w:spacing w:line="360" w:lineRule="exact"/>
              <w:jc w:val="center"/>
              <w:rPr>
                <w:rFonts w:hint="eastAsia" w:ascii="仿宋_GB2312" w:hAnsi="Times New Roman" w:eastAsia="仿宋_GB2312" w:cs="Times New Roman"/>
                <w:color w:val="000000"/>
                <w:spacing w:val="3"/>
                <w:sz w:val="26"/>
                <w:szCs w:val="26"/>
                <w:lang w:eastAsia="zh-CN"/>
              </w:rPr>
            </w:pPr>
            <w:r>
              <w:rPr>
                <w:rFonts w:hint="eastAsia" w:ascii="仿宋_GB2312" w:hAnsi="Times New Roman" w:eastAsia="仿宋_GB2312" w:cs="Times New Roman"/>
                <w:color w:val="000000"/>
                <w:spacing w:val="3"/>
                <w:sz w:val="26"/>
                <w:szCs w:val="26"/>
                <w:lang w:eastAsia="zh-CN"/>
              </w:rPr>
              <w:t>（5分）</w:t>
            </w: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年度建设目标、建设计划</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4"/>
                <w:sz w:val="26"/>
                <w:szCs w:val="26"/>
                <w:lang w:eastAsia="zh-CN"/>
              </w:rPr>
            </w:pPr>
            <w:r>
              <w:rPr>
                <w:rFonts w:hint="eastAsia" w:ascii="仿宋_GB2312" w:hAnsi="Times New Roman" w:eastAsia="仿宋_GB2312" w:cs="Times New Roman"/>
                <w:color w:val="000000"/>
                <w:spacing w:val="1"/>
                <w:sz w:val="26"/>
                <w:szCs w:val="26"/>
              </w:rPr>
              <w:t>/</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z w:val="26"/>
                <w:szCs w:val="26"/>
                <w:lang w:eastAsia="zh-CN"/>
              </w:rPr>
              <w:t>2</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三年发展规划和目标</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清晰合理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基本合理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不合理，或缺失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实际建设进展</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3"/>
                <w:sz w:val="26"/>
                <w:szCs w:val="26"/>
              </w:rPr>
            </w:pPr>
            <w:r>
              <w:rPr>
                <w:rFonts w:hint="eastAsia" w:ascii="仿宋_GB2312" w:hAnsi="Times New Roman" w:eastAsia="仿宋_GB2312" w:cs="Times New Roman"/>
                <w:color w:val="000000"/>
                <w:spacing w:val="1"/>
                <w:sz w:val="26"/>
                <w:szCs w:val="26"/>
              </w:rPr>
              <w:t>/</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z w:val="26"/>
                <w:szCs w:val="26"/>
                <w:lang w:eastAsia="zh-CN"/>
              </w:rPr>
              <w:t>3</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中试基地工作总结报告等</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3</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全面完成各项目标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1-2</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基本完成目标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未完成目标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3"/>
                <w:sz w:val="26"/>
                <w:szCs w:val="26"/>
              </w:rPr>
            </w:pPr>
            <w:r>
              <w:rPr>
                <w:rFonts w:hint="eastAsia" w:ascii="仿宋_GB2312" w:hAnsi="Times New Roman" w:eastAsia="仿宋_GB2312" w:cs="Times New Roman"/>
                <w:color w:val="000000"/>
                <w:spacing w:val="3"/>
                <w:sz w:val="26"/>
                <w:szCs w:val="26"/>
              </w:rPr>
              <w:t>中</w:t>
            </w:r>
          </w:p>
          <w:p>
            <w:pPr>
              <w:pStyle w:val="22"/>
              <w:spacing w:line="360" w:lineRule="exact"/>
              <w:jc w:val="center"/>
              <w:rPr>
                <w:rFonts w:hint="eastAsia" w:ascii="仿宋_GB2312" w:hAnsi="Times New Roman" w:eastAsia="仿宋_GB2312" w:cs="Times New Roman"/>
                <w:color w:val="000000"/>
                <w:spacing w:val="3"/>
                <w:sz w:val="26"/>
                <w:szCs w:val="26"/>
              </w:rPr>
            </w:pPr>
            <w:r>
              <w:rPr>
                <w:rFonts w:hint="eastAsia" w:ascii="仿宋_GB2312" w:hAnsi="Times New Roman" w:eastAsia="仿宋_GB2312" w:cs="Times New Roman"/>
                <w:color w:val="000000"/>
                <w:spacing w:val="3"/>
                <w:sz w:val="26"/>
                <w:szCs w:val="26"/>
              </w:rPr>
              <w:t>试</w:t>
            </w:r>
          </w:p>
          <w:p>
            <w:pPr>
              <w:pStyle w:val="22"/>
              <w:spacing w:line="360" w:lineRule="exact"/>
              <w:jc w:val="center"/>
              <w:rPr>
                <w:rFonts w:hint="eastAsia" w:ascii="仿宋_GB2312" w:hAnsi="Times New Roman" w:eastAsia="仿宋_GB2312" w:cs="Times New Roman"/>
                <w:color w:val="000000"/>
                <w:spacing w:val="3"/>
                <w:sz w:val="26"/>
                <w:szCs w:val="26"/>
              </w:rPr>
            </w:pPr>
            <w:r>
              <w:rPr>
                <w:rFonts w:hint="eastAsia" w:ascii="仿宋_GB2312" w:hAnsi="Times New Roman" w:eastAsia="仿宋_GB2312" w:cs="Times New Roman"/>
                <w:color w:val="000000"/>
                <w:spacing w:val="3"/>
                <w:sz w:val="26"/>
                <w:szCs w:val="26"/>
              </w:rPr>
              <w:t>基</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3"/>
                <w:sz w:val="26"/>
                <w:szCs w:val="26"/>
              </w:rPr>
              <w:t>础</w:t>
            </w:r>
          </w:p>
          <w:p>
            <w:pPr>
              <w:pStyle w:val="22"/>
              <w:spacing w:line="360" w:lineRule="exact"/>
              <w:jc w:val="center"/>
              <w:rPr>
                <w:rFonts w:hint="eastAsia" w:ascii="仿宋_GB2312" w:hAnsi="Times New Roman" w:eastAsia="仿宋_GB2312" w:cs="Times New Roman"/>
                <w:color w:val="000000"/>
                <w:spacing w:val="-3"/>
                <w:sz w:val="26"/>
                <w:szCs w:val="26"/>
              </w:rPr>
            </w:pPr>
            <w:r>
              <w:rPr>
                <w:rFonts w:hint="eastAsia" w:ascii="仿宋_GB2312" w:hAnsi="Times New Roman" w:eastAsia="仿宋_GB2312" w:cs="Times New Roman"/>
                <w:color w:val="000000"/>
                <w:spacing w:val="-3"/>
                <w:sz w:val="26"/>
                <w:szCs w:val="26"/>
              </w:rPr>
              <w:t>条</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3"/>
                <w:sz w:val="26"/>
                <w:szCs w:val="26"/>
              </w:rPr>
              <w:t>件</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9"/>
                <w:sz w:val="26"/>
                <w:szCs w:val="26"/>
              </w:rPr>
              <w:t>（3</w:t>
            </w:r>
            <w:r>
              <w:rPr>
                <w:rFonts w:hint="eastAsia" w:ascii="仿宋_GB2312" w:hAnsi="Times New Roman" w:eastAsia="仿宋_GB2312" w:cs="Times New Roman"/>
                <w:color w:val="000000"/>
                <w:spacing w:val="9"/>
                <w:sz w:val="26"/>
                <w:szCs w:val="26"/>
                <w:lang w:eastAsia="zh-CN"/>
              </w:rPr>
              <w:t>5</w:t>
            </w:r>
            <w:r>
              <w:rPr>
                <w:rFonts w:hint="eastAsia" w:ascii="仿宋_GB2312" w:hAnsi="Times New Roman" w:eastAsia="仿宋_GB2312" w:cs="Times New Roman"/>
                <w:color w:val="000000"/>
                <w:spacing w:val="9"/>
                <w:sz w:val="26"/>
                <w:szCs w:val="26"/>
              </w:rPr>
              <w:t>分）</w:t>
            </w: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1"/>
                <w:sz w:val="26"/>
                <w:szCs w:val="26"/>
              </w:rPr>
              <w:t>中试场地面积</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2"/>
                <w:sz w:val="26"/>
                <w:szCs w:val="26"/>
              </w:rPr>
              <w:t>平方米</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z w:val="26"/>
                <w:szCs w:val="26"/>
                <w:lang w:eastAsia="zh-CN"/>
              </w:rPr>
              <w:t>8</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pacing w:val="-1"/>
                <w:sz w:val="26"/>
                <w:szCs w:val="26"/>
                <w:lang w:eastAsia="zh-CN"/>
              </w:rPr>
              <w:t>产权证明或租赁协议书复印件</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5-8</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5000平（含）以上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1-4</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2000（含）-5000平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2000平以下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rPr>
              <w:t>中试仪器设备原值</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rPr>
              <w:t>万元</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8</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设备清单、仪器设备发票或共享协议书复印件</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5-8</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5000万（含）以上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1-4</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1000（含）-5000万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1000万以下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中试线</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条</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7</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现场察看中试线及中试线名称列表</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4-7</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5条（含）以上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1-3</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3（含）-5条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3条以下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专职中试人</w:t>
            </w:r>
            <w:r>
              <w:rPr>
                <w:rFonts w:hint="eastAsia" w:ascii="仿宋_GB2312" w:hAnsi="Times New Roman" w:eastAsia="仿宋_GB2312" w:cs="Times New Roman"/>
                <w:color w:val="000000"/>
                <w:spacing w:val="1"/>
                <w:sz w:val="26"/>
                <w:szCs w:val="26"/>
                <w:lang w:eastAsia="zh-CN"/>
              </w:rPr>
              <w:t>员</w:t>
            </w:r>
            <w:r>
              <w:rPr>
                <w:rFonts w:hint="eastAsia" w:ascii="仿宋_GB2312" w:hAnsi="Times New Roman" w:eastAsia="仿宋_GB2312" w:cs="Times New Roman"/>
                <w:color w:val="000000"/>
                <w:spacing w:val="1"/>
                <w:sz w:val="26"/>
                <w:szCs w:val="26"/>
              </w:rPr>
              <w:t>情况</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人</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人员清单、社保证明或聘用合同复印件</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相关管理服务制度情况（机构管理、成果转化、服务共享等制度）</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对外中试服务管理制度（包括内部管理及客户服务管理制度）复印件</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5</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有完整文件制度且健全合理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2-4</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有文件制度，有待完善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0-1</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无制度或文件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69" w:hRule="atLeast"/>
          <w:jc w:val="center"/>
        </w:trPr>
        <w:tc>
          <w:tcPr>
            <w:tcW w:w="581" w:type="pct"/>
            <w:vMerge w:val="continue"/>
            <w:tcBorders>
              <w:top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相关资质情况（安全、环保、行业公共能力认证等资质）</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相关证书复印件</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4-5</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具备完善健全的行业资质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40"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0-3</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具备基本行业资质</w:t>
            </w:r>
          </w:p>
        </w:tc>
      </w:tr>
    </w:tbl>
    <w:p>
      <w:pPr>
        <w:rPr>
          <w:rFonts w:hint="eastAsia"/>
        </w:rPr>
      </w:pPr>
    </w:p>
    <w:tbl>
      <w:tblPr>
        <w:tblStyle w:val="12"/>
        <w:tblW w:w="52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7" w:type="dxa"/>
          <w:bottom w:w="0" w:type="dxa"/>
          <w:right w:w="17" w:type="dxa"/>
        </w:tblCellMar>
      </w:tblPr>
      <w:tblGrid>
        <w:gridCol w:w="1081"/>
        <w:gridCol w:w="1737"/>
        <w:gridCol w:w="705"/>
        <w:gridCol w:w="666"/>
        <w:gridCol w:w="2234"/>
        <w:gridCol w:w="599"/>
        <w:gridCol w:w="22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2"/>
                <w:sz w:val="26"/>
                <w:szCs w:val="26"/>
              </w:rPr>
            </w:pPr>
            <w:r>
              <w:rPr>
                <w:rFonts w:hint="eastAsia" w:ascii="仿宋_GB2312" w:hAnsi="Times New Roman" w:eastAsia="仿宋_GB2312" w:cs="Times New Roman"/>
                <w:color w:val="000000"/>
                <w:spacing w:val="2"/>
                <w:sz w:val="26"/>
                <w:szCs w:val="26"/>
              </w:rPr>
              <w:t>中</w:t>
            </w:r>
          </w:p>
          <w:p>
            <w:pPr>
              <w:pStyle w:val="22"/>
              <w:spacing w:line="360" w:lineRule="exact"/>
              <w:jc w:val="center"/>
              <w:rPr>
                <w:rFonts w:hint="eastAsia" w:ascii="仿宋_GB2312" w:hAnsi="Times New Roman" w:eastAsia="仿宋_GB2312" w:cs="Times New Roman"/>
                <w:color w:val="000000"/>
                <w:spacing w:val="2"/>
                <w:sz w:val="26"/>
                <w:szCs w:val="26"/>
              </w:rPr>
            </w:pPr>
            <w:r>
              <w:rPr>
                <w:rFonts w:hint="eastAsia" w:ascii="仿宋_GB2312" w:hAnsi="Times New Roman" w:eastAsia="仿宋_GB2312" w:cs="Times New Roman"/>
                <w:color w:val="000000"/>
                <w:spacing w:val="2"/>
                <w:sz w:val="26"/>
                <w:szCs w:val="26"/>
              </w:rPr>
              <w:t>试</w:t>
            </w:r>
          </w:p>
          <w:p>
            <w:pPr>
              <w:pStyle w:val="22"/>
              <w:spacing w:line="360" w:lineRule="exact"/>
              <w:jc w:val="center"/>
              <w:rPr>
                <w:rFonts w:hint="eastAsia" w:ascii="仿宋_GB2312" w:hAnsi="Times New Roman" w:eastAsia="仿宋_GB2312" w:cs="Times New Roman"/>
                <w:color w:val="000000"/>
                <w:spacing w:val="2"/>
                <w:sz w:val="26"/>
                <w:szCs w:val="26"/>
              </w:rPr>
            </w:pPr>
            <w:r>
              <w:rPr>
                <w:rFonts w:hint="eastAsia" w:ascii="仿宋_GB2312" w:hAnsi="Times New Roman" w:eastAsia="仿宋_GB2312" w:cs="Times New Roman"/>
                <w:color w:val="000000"/>
                <w:spacing w:val="2"/>
                <w:sz w:val="26"/>
                <w:szCs w:val="26"/>
              </w:rPr>
              <w:t>服</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2"/>
                <w:sz w:val="26"/>
                <w:szCs w:val="26"/>
              </w:rPr>
              <w:t>务</w:t>
            </w:r>
          </w:p>
          <w:p>
            <w:pPr>
              <w:pStyle w:val="22"/>
              <w:spacing w:line="360" w:lineRule="exact"/>
              <w:jc w:val="center"/>
              <w:rPr>
                <w:rFonts w:hint="eastAsia" w:ascii="仿宋_GB2312" w:hAnsi="Times New Roman" w:eastAsia="仿宋_GB2312" w:cs="Times New Roman"/>
                <w:color w:val="000000"/>
                <w:spacing w:val="-3"/>
                <w:sz w:val="26"/>
                <w:szCs w:val="26"/>
              </w:rPr>
            </w:pPr>
            <w:r>
              <w:rPr>
                <w:rFonts w:hint="eastAsia" w:ascii="仿宋_GB2312" w:hAnsi="Times New Roman" w:eastAsia="仿宋_GB2312" w:cs="Times New Roman"/>
                <w:color w:val="000000"/>
                <w:spacing w:val="-3"/>
                <w:sz w:val="26"/>
                <w:szCs w:val="26"/>
              </w:rPr>
              <w:t>成</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3"/>
                <w:sz w:val="26"/>
                <w:szCs w:val="26"/>
              </w:rPr>
              <w:t>效</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9"/>
                <w:sz w:val="26"/>
                <w:szCs w:val="26"/>
              </w:rPr>
              <w:t>（</w:t>
            </w:r>
            <w:r>
              <w:rPr>
                <w:rFonts w:hint="eastAsia" w:ascii="仿宋_GB2312" w:hAnsi="Times New Roman" w:eastAsia="仿宋_GB2312" w:cs="Times New Roman"/>
                <w:color w:val="000000"/>
                <w:spacing w:val="9"/>
                <w:sz w:val="26"/>
                <w:szCs w:val="26"/>
                <w:lang w:eastAsia="zh-CN"/>
              </w:rPr>
              <w:t>4</w:t>
            </w:r>
            <w:r>
              <w:rPr>
                <w:rFonts w:hint="eastAsia" w:ascii="仿宋_GB2312" w:hAnsi="Times New Roman" w:eastAsia="仿宋_GB2312" w:cs="Times New Roman"/>
                <w:color w:val="000000"/>
                <w:spacing w:val="9"/>
                <w:sz w:val="26"/>
                <w:szCs w:val="26"/>
              </w:rPr>
              <w:t>0分）</w:t>
            </w: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服务企业（团队）数量</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家/次</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1</w:t>
            </w:r>
            <w:r>
              <w:rPr>
                <w:rFonts w:hint="eastAsia" w:ascii="仿宋_GB2312" w:hAnsi="Times New Roman" w:eastAsia="仿宋_GB2312" w:cs="Times New Roman"/>
                <w:color w:val="000000"/>
                <w:spacing w:val="1"/>
                <w:sz w:val="26"/>
                <w:szCs w:val="26"/>
              </w:rPr>
              <w:t>0</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服务企业（团队）明细及签订的服务协议复印件</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8-10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20家（含）以上</w:t>
            </w:r>
            <w:bookmarkStart w:id="0" w:name="_GoBack"/>
            <w:bookmarkEnd w:id="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4-7</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5（含）-20家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continue"/>
            <w:tcBorders>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0-3</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5家以下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中试服务收入</w:t>
            </w:r>
          </w:p>
        </w:tc>
        <w:tc>
          <w:tcPr>
            <w:tcW w:w="379"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万元</w:t>
            </w:r>
          </w:p>
        </w:tc>
        <w:tc>
          <w:tcPr>
            <w:tcW w:w="358"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lang w:eastAsia="zh-CN"/>
              </w:rPr>
              <w:t>1</w:t>
            </w:r>
            <w:r>
              <w:rPr>
                <w:rFonts w:hint="eastAsia" w:ascii="仿宋_GB2312" w:hAnsi="Times New Roman" w:eastAsia="仿宋_GB2312" w:cs="Times New Roman"/>
                <w:color w:val="000000"/>
                <w:spacing w:val="1"/>
                <w:sz w:val="26"/>
                <w:szCs w:val="26"/>
              </w:rPr>
              <w:t>0</w:t>
            </w:r>
          </w:p>
        </w:tc>
        <w:tc>
          <w:tcPr>
            <w:tcW w:w="1200" w:type="pct"/>
            <w:vMerge w:val="restar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中试服务协议、银行回单、财务报表等复印件</w:t>
            </w: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8-10</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1000万（含）以上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continue"/>
            <w:tcBorders>
              <w:top w:val="nil"/>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4-7</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200（含）-1000万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continue"/>
            <w:tcBorders>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933"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79"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58"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1200" w:type="pct"/>
            <w:vMerge w:val="continue"/>
            <w:noWrap w:val="0"/>
            <w:vAlign w:val="center"/>
          </w:tcPr>
          <w:p>
            <w:pPr>
              <w:pStyle w:val="22"/>
              <w:spacing w:line="360" w:lineRule="exact"/>
              <w:jc w:val="center"/>
              <w:rPr>
                <w:rFonts w:hint="eastAsia" w:ascii="仿宋_GB2312" w:hAnsi="Times New Roman" w:eastAsia="仿宋_GB2312" w:cs="Times New Roman"/>
                <w:color w:val="000000"/>
                <w:sz w:val="26"/>
                <w:szCs w:val="26"/>
              </w:rPr>
            </w:pPr>
          </w:p>
        </w:tc>
        <w:tc>
          <w:tcPr>
            <w:tcW w:w="322"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0-3</w:t>
            </w:r>
          </w:p>
        </w:tc>
        <w:tc>
          <w:tcPr>
            <w:tcW w:w="1227"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200万以下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continue"/>
            <w:tcBorders>
              <w:top w:val="nil"/>
              <w:bottom w:val="nil"/>
            </w:tcBorders>
            <w:noWrap w:val="0"/>
            <w:vAlign w:val="center"/>
          </w:tcPr>
          <w:p>
            <w:pPr>
              <w:spacing w:line="360" w:lineRule="exact"/>
              <w:jc w:val="center"/>
              <w:rPr>
                <w:rFonts w:hint="eastAsia" w:ascii="仿宋_GB2312" w:hAnsi="Times New Roman" w:eastAsia="仿宋_GB2312"/>
                <w:color w:val="000000"/>
                <w:sz w:val="26"/>
                <w:szCs w:val="26"/>
              </w:rPr>
            </w:pPr>
          </w:p>
        </w:tc>
        <w:tc>
          <w:tcPr>
            <w:tcW w:w="933"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开展中试项目数量（对外开展中试服务数量，或引进创新团队开展项目数量）</w:t>
            </w:r>
          </w:p>
        </w:tc>
        <w:tc>
          <w:tcPr>
            <w:tcW w:w="379"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项</w:t>
            </w:r>
          </w:p>
        </w:tc>
        <w:tc>
          <w:tcPr>
            <w:tcW w:w="358"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rPr>
            </w:pPr>
            <w:r>
              <w:rPr>
                <w:rFonts w:hint="eastAsia" w:ascii="仿宋_GB2312" w:hAnsi="Times New Roman" w:eastAsia="仿宋_GB2312" w:cs="Times New Roman"/>
                <w:color w:val="000000"/>
                <w:spacing w:val="1"/>
                <w:sz w:val="26"/>
                <w:szCs w:val="26"/>
              </w:rPr>
              <w:t>20</w:t>
            </w:r>
          </w:p>
        </w:tc>
        <w:tc>
          <w:tcPr>
            <w:tcW w:w="1200"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服务协议、合同复印件</w:t>
            </w:r>
          </w:p>
        </w:tc>
        <w:tc>
          <w:tcPr>
            <w:tcW w:w="1549" w:type="pct"/>
            <w:gridSpan w:val="2"/>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每开展1项得1分，20分封顶。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restart"/>
            <w:tcBorders>
              <w:bottom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z w:val="26"/>
                <w:szCs w:val="26"/>
                <w:lang w:eastAsia="zh-CN"/>
              </w:rPr>
              <w:t>其</w:t>
            </w:r>
          </w:p>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z w:val="26"/>
                <w:szCs w:val="26"/>
                <w:lang w:eastAsia="zh-CN"/>
              </w:rPr>
              <w:t>他</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z w:val="26"/>
                <w:szCs w:val="26"/>
              </w:rPr>
              <w:t>项</w:t>
            </w:r>
          </w:p>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z w:val="26"/>
                <w:szCs w:val="26"/>
              </w:rPr>
              <w:t>（20分）</w:t>
            </w:r>
          </w:p>
        </w:tc>
        <w:tc>
          <w:tcPr>
            <w:tcW w:w="933"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中试成果在省内转化情况</w:t>
            </w:r>
          </w:p>
        </w:tc>
        <w:tc>
          <w:tcPr>
            <w:tcW w:w="379"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项</w:t>
            </w:r>
          </w:p>
        </w:tc>
        <w:tc>
          <w:tcPr>
            <w:tcW w:w="358"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10</w:t>
            </w:r>
          </w:p>
        </w:tc>
        <w:tc>
          <w:tcPr>
            <w:tcW w:w="1200" w:type="pct"/>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转化协议、银行回单等复印件</w:t>
            </w:r>
          </w:p>
        </w:tc>
        <w:tc>
          <w:tcPr>
            <w:tcW w:w="1549" w:type="pct"/>
            <w:gridSpan w:val="2"/>
            <w:noWrap w:val="0"/>
            <w:vAlign w:val="center"/>
          </w:tcPr>
          <w:p>
            <w:pPr>
              <w:pStyle w:val="22"/>
              <w:spacing w:line="360" w:lineRule="exact"/>
              <w:jc w:val="center"/>
              <w:rPr>
                <w:rFonts w:hint="eastAsia" w:ascii="仿宋_GB2312" w:hAnsi="Times New Roman" w:eastAsia="仿宋_GB2312" w:cs="Times New Roman"/>
                <w:color w:val="000000"/>
                <w:spacing w:val="1"/>
                <w:sz w:val="26"/>
                <w:szCs w:val="26"/>
                <w:lang w:eastAsia="zh-CN"/>
              </w:rPr>
            </w:pPr>
            <w:r>
              <w:rPr>
                <w:rFonts w:hint="eastAsia" w:ascii="仿宋_GB2312" w:hAnsi="Times New Roman" w:eastAsia="仿宋_GB2312" w:cs="Times New Roman"/>
                <w:color w:val="000000"/>
                <w:spacing w:val="1"/>
                <w:sz w:val="26"/>
                <w:szCs w:val="26"/>
                <w:lang w:eastAsia="zh-CN"/>
              </w:rPr>
              <w:t>每在省内落地转化1项成果得1分，10分封顶。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7" w:type="dxa"/>
            <w:bottom w:w="0" w:type="dxa"/>
            <w:right w:w="17" w:type="dxa"/>
          </w:tblCellMar>
        </w:tblPrEx>
        <w:trPr>
          <w:trHeight w:val="397" w:hRule="atLeast"/>
          <w:jc w:val="center"/>
        </w:trPr>
        <w:tc>
          <w:tcPr>
            <w:tcW w:w="581" w:type="pct"/>
            <w:vMerge w:val="continue"/>
            <w:tcBorders>
              <w:top w:val="nil"/>
            </w:tcBorders>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p>
        </w:tc>
        <w:tc>
          <w:tcPr>
            <w:tcW w:w="933" w:type="pct"/>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pacing w:val="1"/>
                <w:sz w:val="26"/>
                <w:szCs w:val="26"/>
                <w:lang w:eastAsia="zh-CN"/>
              </w:rPr>
              <w:t>中试成果在省内孵化成企业情况</w:t>
            </w:r>
          </w:p>
        </w:tc>
        <w:tc>
          <w:tcPr>
            <w:tcW w:w="379" w:type="pct"/>
            <w:noWrap w:val="0"/>
            <w:vAlign w:val="center"/>
          </w:tcPr>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1"/>
                <w:sz w:val="26"/>
                <w:szCs w:val="26"/>
                <w:lang w:eastAsia="zh-CN"/>
              </w:rPr>
              <w:t>家</w:t>
            </w:r>
          </w:p>
        </w:tc>
        <w:tc>
          <w:tcPr>
            <w:tcW w:w="358" w:type="pct"/>
            <w:noWrap w:val="0"/>
            <w:vAlign w:val="center"/>
          </w:tcPr>
          <w:p>
            <w:pPr>
              <w:pStyle w:val="22"/>
              <w:spacing w:line="360" w:lineRule="exact"/>
              <w:jc w:val="center"/>
              <w:rPr>
                <w:rFonts w:hint="eastAsia" w:ascii="仿宋_GB2312" w:hAnsi="Times New Roman" w:eastAsia="仿宋_GB2312" w:cs="Times New Roman"/>
                <w:color w:val="000000"/>
                <w:sz w:val="26"/>
                <w:szCs w:val="26"/>
              </w:rPr>
            </w:pPr>
            <w:r>
              <w:rPr>
                <w:rFonts w:hint="eastAsia" w:ascii="仿宋_GB2312" w:hAnsi="Times New Roman" w:eastAsia="仿宋_GB2312" w:cs="Times New Roman"/>
                <w:color w:val="000000"/>
                <w:spacing w:val="1"/>
                <w:sz w:val="26"/>
                <w:szCs w:val="26"/>
                <w:lang w:eastAsia="zh-CN"/>
              </w:rPr>
              <w:t>10</w:t>
            </w:r>
          </w:p>
        </w:tc>
        <w:tc>
          <w:tcPr>
            <w:tcW w:w="1200" w:type="pct"/>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pacing w:val="1"/>
                <w:sz w:val="26"/>
                <w:szCs w:val="26"/>
                <w:lang w:eastAsia="zh-CN"/>
              </w:rPr>
              <w:t>孵化企业的营业执照、章程等复印件</w:t>
            </w:r>
          </w:p>
        </w:tc>
        <w:tc>
          <w:tcPr>
            <w:tcW w:w="1549" w:type="pct"/>
            <w:gridSpan w:val="2"/>
            <w:noWrap w:val="0"/>
            <w:vAlign w:val="center"/>
          </w:tcPr>
          <w:p>
            <w:pPr>
              <w:pStyle w:val="22"/>
              <w:spacing w:line="360" w:lineRule="exact"/>
              <w:jc w:val="center"/>
              <w:rPr>
                <w:rFonts w:hint="eastAsia" w:ascii="仿宋_GB2312" w:hAnsi="Times New Roman" w:eastAsia="仿宋_GB2312" w:cs="Times New Roman"/>
                <w:color w:val="000000"/>
                <w:sz w:val="26"/>
                <w:szCs w:val="26"/>
                <w:lang w:eastAsia="zh-CN"/>
              </w:rPr>
            </w:pPr>
            <w:r>
              <w:rPr>
                <w:rFonts w:hint="eastAsia" w:ascii="仿宋_GB2312" w:hAnsi="Times New Roman" w:eastAsia="仿宋_GB2312" w:cs="Times New Roman"/>
                <w:color w:val="000000"/>
                <w:spacing w:val="1"/>
                <w:sz w:val="26"/>
                <w:szCs w:val="26"/>
                <w:lang w:eastAsia="zh-CN"/>
              </w:rPr>
              <w:t>每孵化成立1家企业得2分，10分封顶。</w:t>
            </w:r>
          </w:p>
        </w:tc>
      </w:tr>
    </w:tbl>
    <w:p>
      <w:pPr>
        <w:pStyle w:val="2"/>
        <w:rPr>
          <w:rFonts w:hint="eastAsia"/>
        </w:rPr>
      </w:pPr>
      <w:r>
        <w:rPr>
          <w:rFonts w:ascii="Times New Roman" w:hAnsi="Times New Roman" w:eastAsia="仿宋_GB2312" w:cs="Times New Roman"/>
          <w:color w:val="000000"/>
          <w:spacing w:val="3"/>
          <w:sz w:val="28"/>
          <w:szCs w:val="28"/>
          <w:lang w:eastAsia="zh-CN"/>
        </w:rPr>
        <w:t>注：考核评价指标根据国家、省有关政策及实施情况可适当进行调整（以考核通</w:t>
      </w:r>
      <w:r>
        <w:rPr>
          <w:rFonts w:ascii="Times New Roman" w:hAnsi="Times New Roman" w:eastAsia="仿宋_GB2312" w:cs="Times New Roman"/>
          <w:color w:val="000000"/>
          <w:spacing w:val="2"/>
          <w:sz w:val="28"/>
          <w:szCs w:val="28"/>
          <w:lang w:eastAsia="zh-CN"/>
        </w:rPr>
        <w:t>知为准）。</w:t>
      </w:r>
    </w:p>
    <w:p>
      <w:pPr>
        <w:adjustRightInd w:val="0"/>
        <w:snapToGrid w:val="0"/>
        <w:spacing w:line="592" w:lineRule="exact"/>
        <w:jc w:val="center"/>
        <w:rPr>
          <w:rFonts w:hint="eastAsia" w:ascii="方正小标宋_GBK" w:hAnsi="Times New Roman" w:eastAsia="方正小标宋_GBK"/>
          <w:bCs/>
          <w:color w:val="000000"/>
          <w:sz w:val="44"/>
          <w:szCs w:val="44"/>
        </w:rPr>
      </w:pPr>
    </w:p>
    <w:p>
      <w:pPr>
        <w:pStyle w:val="5"/>
        <w:keepNext w:val="0"/>
        <w:keepLines w:val="0"/>
        <w:pageBreakBefore w:val="0"/>
        <w:widowControl w:val="0"/>
        <w:kinsoku/>
        <w:wordWrap/>
        <w:overflowPunct/>
        <w:topLinePunct w:val="0"/>
        <w:autoSpaceDE/>
        <w:autoSpaceDN/>
        <w:bidi w:val="0"/>
        <w:spacing w:line="600" w:lineRule="exact"/>
        <w:ind w:firstLine="4800" w:firstLineChars="1500"/>
        <w:textAlignment w:val="auto"/>
        <w:rPr>
          <w:rFonts w:hint="eastAsia" w:ascii="仿宋" w:hAnsi="仿宋" w:eastAsia="仿宋"/>
          <w:sz w:val="32"/>
          <w:szCs w:val="32"/>
          <w:lang w:val="en-US" w:eastAsia="zh-CN"/>
        </w:rPr>
      </w:pPr>
    </w:p>
    <w:p>
      <w:pPr>
        <w:pStyle w:val="5"/>
        <w:keepNext w:val="0"/>
        <w:keepLines w:val="0"/>
        <w:pageBreakBefore w:val="0"/>
        <w:widowControl w:val="0"/>
        <w:kinsoku/>
        <w:wordWrap/>
        <w:overflowPunct/>
        <w:topLinePunct w:val="0"/>
        <w:autoSpaceDE/>
        <w:autoSpaceDN/>
        <w:bidi w:val="0"/>
        <w:spacing w:line="600" w:lineRule="exact"/>
        <w:textAlignment w:val="auto"/>
        <w:rPr>
          <w:rFonts w:hint="eastAsia" w:ascii="仿宋" w:hAnsi="仿宋" w:eastAsia="仿宋"/>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8"/>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洛洛阳市科学技术局</w:t>
    </w:r>
    <w:r>
      <w:rPr>
        <w:rFonts w:hint="eastAsia" w:ascii="宋体" w:hAnsi="宋体" w:eastAsia="宋体" w:cs="宋体"/>
        <w:b/>
        <w:bCs/>
        <w:color w:val="005192"/>
        <w:sz w:val="28"/>
        <w:szCs w:val="44"/>
        <w:lang w:val="en-US" w:eastAsia="zh-CN"/>
      </w:rPr>
      <w:t xml:space="preserve">发布    </w:t>
    </w:r>
  </w:p>
  <w:p>
    <w:pPr>
      <w:pStyle w:val="8"/>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szCs w:val="32"/>
        <w:lang w:val="en-US" w:eastAsia="zh-CN"/>
      </w:rPr>
      <w:t>洛阳市科学技术局行政规范性文件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DFF5493"/>
    <w:rsid w:val="2FCE575A"/>
    <w:rsid w:val="2FFC7EDE"/>
    <w:rsid w:val="31A15F24"/>
    <w:rsid w:val="33FF5459"/>
    <w:rsid w:val="39A232A0"/>
    <w:rsid w:val="3A1C636B"/>
    <w:rsid w:val="3B5A6BBB"/>
    <w:rsid w:val="3BE16DE7"/>
    <w:rsid w:val="3BFBDA19"/>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9BFB9F7"/>
    <w:rsid w:val="5A4F3EF9"/>
    <w:rsid w:val="5D0D7ECB"/>
    <w:rsid w:val="5DDBE72F"/>
    <w:rsid w:val="608816D1"/>
    <w:rsid w:val="69D03F98"/>
    <w:rsid w:val="6A7F4576"/>
    <w:rsid w:val="6BF75DB0"/>
    <w:rsid w:val="6D0E3F22"/>
    <w:rsid w:val="6E6E50A6"/>
    <w:rsid w:val="70AF1C83"/>
    <w:rsid w:val="714A2531"/>
    <w:rsid w:val="71C61E01"/>
    <w:rsid w:val="71E9213F"/>
    <w:rsid w:val="75AA717D"/>
    <w:rsid w:val="7BE6880D"/>
    <w:rsid w:val="7C9011D9"/>
    <w:rsid w:val="7CFB3184"/>
    <w:rsid w:val="7DC651C5"/>
    <w:rsid w:val="7DFBC28B"/>
    <w:rsid w:val="7EEE1576"/>
    <w:rsid w:val="7FBB785B"/>
    <w:rsid w:val="7FD59546"/>
    <w:rsid w:val="7FED60B9"/>
    <w:rsid w:val="7FFAE41F"/>
    <w:rsid w:val="8B4FF009"/>
    <w:rsid w:val="A3F94CFE"/>
    <w:rsid w:val="A79B62DD"/>
    <w:rsid w:val="AF7F4B14"/>
    <w:rsid w:val="B5FD8569"/>
    <w:rsid w:val="B9DC0C6E"/>
    <w:rsid w:val="BAF36EE9"/>
    <w:rsid w:val="BFD7C50C"/>
    <w:rsid w:val="D5F6BFC8"/>
    <w:rsid w:val="D6DD9B99"/>
    <w:rsid w:val="DACF7BFF"/>
    <w:rsid w:val="DBF4C527"/>
    <w:rsid w:val="DEFF1FC4"/>
    <w:rsid w:val="DFBA25A8"/>
    <w:rsid w:val="EFF601AD"/>
    <w:rsid w:val="F0FDC811"/>
    <w:rsid w:val="F147AA2F"/>
    <w:rsid w:val="F7CE0210"/>
    <w:rsid w:val="FDB75BAD"/>
    <w:rsid w:val="FDBEE673"/>
    <w:rsid w:val="FEFFBEB3"/>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1"/>
      <w:szCs w:val="31"/>
      <w:lang w:val="en-US" w:eastAsia="en-US" w:bidi="ar-SA"/>
    </w:rPr>
  </w:style>
  <w:style w:type="paragraph" w:styleId="4">
    <w:name w:val="Body Text Indent"/>
    <w:basedOn w:val="1"/>
    <w:unhideWhenUsed/>
    <w:qFormat/>
    <w:uiPriority w:val="99"/>
    <w:pPr>
      <w:spacing w:after="120"/>
      <w:ind w:left="420" w:leftChars="200"/>
    </w:pPr>
  </w:style>
  <w:style w:type="paragraph" w:styleId="5">
    <w:name w:val="Plain Text"/>
    <w:basedOn w:val="1"/>
    <w:qFormat/>
    <w:uiPriority w:val="99"/>
    <w:rPr>
      <w:rFonts w:ascii="宋体" w:hAnsi="宋体" w:eastAsia="宋体" w:cs="宋体"/>
      <w:sz w:val="21"/>
      <w:szCs w:val="21"/>
    </w:rPr>
  </w:style>
  <w:style w:type="paragraph" w:styleId="6">
    <w:name w:val="Body Text Indent 2"/>
    <w:basedOn w:val="1"/>
    <w:qFormat/>
    <w:uiPriority w:val="0"/>
    <w:pPr>
      <w:spacing w:after="120" w:line="480" w:lineRule="auto"/>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Body Text First Indent"/>
    <w:basedOn w:val="2"/>
    <w:next w:val="11"/>
    <w:qFormat/>
    <w:uiPriority w:val="0"/>
    <w:pPr>
      <w:ind w:firstLine="420" w:firstLineChars="100"/>
    </w:pPr>
    <w:rPr>
      <w:rFonts w:ascii="Times New Roman" w:hAnsi="Times New Roman" w:eastAsia="宋体" w:cs="Times New Roman"/>
    </w:rPr>
  </w:style>
  <w:style w:type="paragraph" w:styleId="11">
    <w:name w:val="Body Text First Indent 2"/>
    <w:basedOn w:val="4"/>
    <w:next w:val="10"/>
    <w:unhideWhenUsed/>
    <w:qFormat/>
    <w:uiPriority w:val="99"/>
    <w:pPr>
      <w:ind w:firstLine="420" w:firstLineChars="200"/>
    </w:pPr>
    <w:rPr>
      <w:rFonts w:ascii="Calibri" w:hAnsi="Calibri" w:eastAsia="宋体" w:cs="Times New Roman"/>
    </w:rPr>
  </w:style>
  <w:style w:type="character" w:styleId="14">
    <w:name w:val="page number"/>
    <w:basedOn w:val="13"/>
    <w:qFormat/>
    <w:uiPriority w:val="0"/>
  </w:style>
  <w:style w:type="paragraph" w:customStyle="1" w:styleId="15">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6">
    <w:name w:val="一级标题（二号小标宋）"/>
    <w:basedOn w:val="1"/>
    <w:link w:val="19"/>
    <w:qFormat/>
    <w:uiPriority w:val="0"/>
    <w:pPr>
      <w:jc w:val="center"/>
    </w:pPr>
    <w:rPr>
      <w:rFonts w:ascii="方正书宋简体" w:hAnsi="方正书宋简体" w:eastAsia="方正小标宋_GBK"/>
      <w:color w:val="000000"/>
      <w:sz w:val="42"/>
      <w:szCs w:val="42"/>
    </w:rPr>
  </w:style>
  <w:style w:type="paragraph" w:customStyle="1" w:styleId="17">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8">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9">
    <w:name w:val="一级标题（二号小标宋） Char"/>
    <w:basedOn w:val="13"/>
    <w:link w:val="16"/>
    <w:qFormat/>
    <w:uiPriority w:val="0"/>
    <w:rPr>
      <w:rFonts w:ascii="方正书宋简体" w:hAnsi="方正书宋简体" w:eastAsia="方正小标宋_GBK"/>
      <w:color w:val="000000"/>
      <w:sz w:val="42"/>
      <w:szCs w:val="42"/>
    </w:rPr>
  </w:style>
  <w:style w:type="paragraph" w:customStyle="1" w:styleId="20">
    <w:name w:val="无间隔1"/>
    <w:qFormat/>
    <w:uiPriority w:val="1"/>
    <w:pPr>
      <w:widowControl w:val="0"/>
      <w:jc w:val="both"/>
    </w:pPr>
    <w:rPr>
      <w:rFonts w:ascii="Calibri" w:hAnsi="Calibri" w:eastAsia="宋体" w:cs="Times New Roman"/>
      <w:kern w:val="2"/>
      <w:sz w:val="21"/>
      <w:szCs w:val="22"/>
      <w:lang w:val="en-US" w:eastAsia="zh-CN" w:bidi="ar-SA"/>
    </w:rPr>
  </w:style>
  <w:style w:type="character" w:customStyle="1" w:styleId="21">
    <w:name w:val="16"/>
    <w:qFormat/>
    <w:uiPriority w:val="0"/>
    <w:rPr>
      <w:rFonts w:hint="default" w:ascii="Times New Roman" w:hAnsi="Times New Roman" w:cs="Times New Roman"/>
      <w:b/>
      <w:bCs/>
    </w:rPr>
  </w:style>
  <w:style w:type="paragraph" w:customStyle="1" w:styleId="22">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1</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2021-09-12T18:41:00Z</dcterms:created>
  <dc:creator>t</dc:creator>
  <cp:lastModifiedBy>kylin</cp:lastModifiedBy>
  <cp:lastPrinted>2024-03-20T03:33:00Z</cp:lastPrinted>
  <dcterms:modified xsi:type="dcterms:W3CDTF">2026-01-16T18:57:05Z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