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770A5">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Times New Roman" w:hAnsi="Times New Roman" w:eastAsia="方正小标宋简体" w:cs="Times New Roman"/>
          <w:color w:val="auto"/>
          <w:sz w:val="44"/>
          <w:szCs w:val="24"/>
          <w:shd w:val="clear" w:color="auto" w:fill="auto"/>
        </w:rPr>
      </w:pPr>
    </w:p>
    <w:p w14:paraId="21D58F43">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Times New Roman" w:hAnsi="Times New Roman" w:eastAsia="方正小标宋简体" w:cs="Times New Roman"/>
          <w:color w:val="auto"/>
          <w:sz w:val="44"/>
          <w:szCs w:val="24"/>
          <w:shd w:val="clear" w:color="auto" w:fill="auto"/>
        </w:rPr>
      </w:pPr>
    </w:p>
    <w:p w14:paraId="5DF4AA12">
      <w:pPr>
        <w:spacing w:line="590" w:lineRule="exact"/>
        <w:jc w:val="center"/>
        <w:rPr>
          <w:rFonts w:hint="default" w:ascii="方正小标宋_GBK" w:hAnsi="方正小标宋_GBK" w:eastAsia="方正小标宋_GBK" w:cs="方正小标宋_GBK"/>
          <w:color w:val="000000"/>
          <w:sz w:val="44"/>
          <w:szCs w:val="44"/>
          <w:shd w:val="clear" w:color="auto" w:fill="FFFFFF"/>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伊川县人民政府办公室</w:t>
      </w:r>
    </w:p>
    <w:p w14:paraId="397B5DD4">
      <w:pPr>
        <w:spacing w:line="590" w:lineRule="exact"/>
        <w:jc w:val="center"/>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关于印发伊川县深化集体林权制度改革</w:t>
      </w:r>
    </w:p>
    <w:p w14:paraId="4E4E02BD">
      <w:pPr>
        <w:spacing w:line="590" w:lineRule="exact"/>
        <w:jc w:val="center"/>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工作要点的通知</w:t>
      </w:r>
    </w:p>
    <w:p w14:paraId="4149CE58">
      <w:pPr>
        <w:pStyle w:val="1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700" w:lineRule="exact"/>
        <w:jc w:val="center"/>
        <w:textAlignment w:val="auto"/>
        <w:rPr>
          <w:rFonts w:hint="default" w:ascii="仿宋_GB2312" w:hAnsi="仿宋_GB2312" w:eastAsia="仿宋_GB2312" w:cs="仿宋_GB2312"/>
          <w:color w:val="000000"/>
          <w:kern w:val="0"/>
          <w:sz w:val="32"/>
          <w:szCs w:val="32"/>
          <w:shd w:val="clear" w:color="auto" w:fill="FFFFFF"/>
          <w:lang w:val="en-US" w:eastAsia="zh-CN" w:bidi="ar-SA"/>
        </w:rPr>
      </w:pPr>
      <w:r>
        <w:rPr>
          <w:rFonts w:hint="default" w:ascii="仿宋_GB2312" w:hAnsi="仿宋_GB2312" w:eastAsia="仿宋_GB2312" w:cs="仿宋_GB2312"/>
          <w:color w:val="000000"/>
          <w:kern w:val="0"/>
          <w:sz w:val="32"/>
          <w:szCs w:val="32"/>
          <w:shd w:val="clear" w:color="auto" w:fill="FFFFFF"/>
          <w:lang w:val="en-US" w:eastAsia="zh-CN" w:bidi="ar-SA"/>
        </w:rPr>
        <w:t>伊政办</w:t>
      </w:r>
      <w:r>
        <w:rPr>
          <w:rFonts w:hint="eastAsia" w:ascii="仿宋_GB2312" w:hAnsi="仿宋_GB2312" w:eastAsia="仿宋_GB2312" w:cs="仿宋_GB2312"/>
          <w:color w:val="000000"/>
          <w:kern w:val="0"/>
          <w:sz w:val="32"/>
          <w:szCs w:val="32"/>
          <w:shd w:val="clear" w:color="auto" w:fill="FFFFFF"/>
          <w:lang w:val="en-US" w:eastAsia="zh-CN" w:bidi="ar-SA"/>
        </w:rPr>
        <w:t>〔</w:t>
      </w:r>
      <w:r>
        <w:rPr>
          <w:rFonts w:hint="default" w:ascii="仿宋_GB2312" w:hAnsi="仿宋_GB2312" w:eastAsia="仿宋_GB2312" w:cs="仿宋_GB2312"/>
          <w:color w:val="000000"/>
          <w:kern w:val="0"/>
          <w:sz w:val="32"/>
          <w:szCs w:val="32"/>
          <w:shd w:val="clear" w:color="auto" w:fill="FFFFFF"/>
          <w:lang w:val="en-US" w:eastAsia="zh-CN" w:bidi="ar-SA"/>
        </w:rPr>
        <w:t>202</w:t>
      </w:r>
      <w:r>
        <w:rPr>
          <w:rFonts w:hint="eastAsia" w:ascii="仿宋_GB2312" w:hAnsi="仿宋_GB2312" w:eastAsia="仿宋_GB2312" w:cs="仿宋_GB2312"/>
          <w:color w:val="000000"/>
          <w:kern w:val="0"/>
          <w:sz w:val="32"/>
          <w:szCs w:val="32"/>
          <w:shd w:val="clear" w:color="auto" w:fill="FFFFFF"/>
          <w:lang w:val="en-US" w:eastAsia="zh-CN" w:bidi="ar-SA"/>
        </w:rPr>
        <w:t>5〕13</w:t>
      </w:r>
      <w:r>
        <w:rPr>
          <w:rFonts w:hint="default" w:ascii="仿宋_GB2312" w:hAnsi="仿宋_GB2312" w:eastAsia="仿宋_GB2312" w:cs="仿宋_GB2312"/>
          <w:color w:val="000000"/>
          <w:kern w:val="0"/>
          <w:sz w:val="32"/>
          <w:szCs w:val="32"/>
          <w:shd w:val="clear" w:color="auto" w:fill="FFFFFF"/>
          <w:lang w:val="en-US" w:eastAsia="zh-CN" w:bidi="ar-SA"/>
        </w:rPr>
        <w:t>号</w:t>
      </w:r>
    </w:p>
    <w:p w14:paraId="7FCDC2C6">
      <w:pPr>
        <w:pStyle w:val="1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700" w:lineRule="exact"/>
        <w:jc w:val="center"/>
        <w:textAlignment w:val="auto"/>
        <w:rPr>
          <w:rFonts w:hint="default" w:ascii="仿宋_GB2312" w:hAnsi="仿宋_GB2312" w:eastAsia="仿宋_GB2312" w:cs="仿宋_GB2312"/>
          <w:color w:val="000000"/>
          <w:kern w:val="0"/>
          <w:sz w:val="32"/>
          <w:szCs w:val="32"/>
          <w:shd w:val="clear" w:color="auto" w:fill="FFFFFF"/>
          <w:lang w:val="en-US" w:eastAsia="zh-CN" w:bidi="ar-SA"/>
        </w:rPr>
      </w:pPr>
      <w:bookmarkStart w:id="1" w:name="_GoBack"/>
      <w:bookmarkEnd w:id="1"/>
    </w:p>
    <w:p w14:paraId="3D7E6557">
      <w:pPr>
        <w:pStyle w:val="2"/>
        <w:keepNext w:val="0"/>
        <w:keepLines w:val="0"/>
        <w:pageBreakBefore w:val="0"/>
        <w:widowControl w:val="0"/>
        <w:tabs>
          <w:tab w:val="left" w:pos="7350"/>
        </w:tabs>
        <w:kinsoku/>
        <w:wordWrap/>
        <w:overflowPunct w:val="0"/>
        <w:topLinePunct w:val="0"/>
        <w:autoSpaceDE/>
        <w:autoSpaceDN/>
        <w:bidi w:val="0"/>
        <w:adjustRightInd/>
        <w:snapToGrid/>
        <w:spacing w:after="0" w:line="530" w:lineRule="exact"/>
        <w:ind w:left="0" w:leftChars="0" w:firstLine="0" w:firstLineChars="0"/>
        <w:textAlignment w:val="auto"/>
        <w:rPr>
          <w:rFonts w:hint="default" w:ascii="Times New Roman" w:hAnsi="Times New Roman" w:eastAsia="仿宋_GB2312" w:cs="Times New Roman"/>
          <w:color w:val="000000"/>
          <w:spacing w:val="6"/>
          <w:sz w:val="32"/>
          <w:szCs w:val="32"/>
        </w:rPr>
      </w:pPr>
      <w:r>
        <w:rPr>
          <w:rFonts w:hint="default" w:ascii="Times New Roman" w:hAnsi="Times New Roman" w:eastAsia="仿宋_GB2312" w:cs="Times New Roman"/>
          <w:color w:val="000000"/>
          <w:spacing w:val="6"/>
          <w:sz w:val="32"/>
          <w:szCs w:val="32"/>
          <w:lang w:eastAsia="zh-CN"/>
        </w:rPr>
        <w:t>各乡镇人民政府</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lang w:eastAsia="zh-CN"/>
        </w:rPr>
        <w:t>街道办事处</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lang w:eastAsia="zh-CN"/>
        </w:rPr>
        <w:t>县人民政府各部门</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lang w:eastAsia="zh-CN"/>
        </w:rPr>
        <w:t>各有关单位</w:t>
      </w:r>
      <w:r>
        <w:rPr>
          <w:rFonts w:hint="eastAsia" w:ascii="Times New Roman" w:hAnsi="Times New Roman" w:eastAsia="仿宋_GB2312" w:cs="Times New Roman"/>
          <w:color w:val="000000"/>
          <w:spacing w:val="6"/>
          <w:sz w:val="32"/>
          <w:szCs w:val="32"/>
        </w:rPr>
        <w:t>：</w:t>
      </w:r>
    </w:p>
    <w:p w14:paraId="3A6B3E61">
      <w:pPr>
        <w:keepNext w:val="0"/>
        <w:keepLines w:val="0"/>
        <w:pageBreakBefore w:val="0"/>
        <w:widowControl w:val="0"/>
        <w:kinsoku/>
        <w:wordWrap/>
        <w:overflowPunct/>
        <w:topLinePunct w:val="0"/>
        <w:autoSpaceDE/>
        <w:autoSpaceDN/>
        <w:bidi w:val="0"/>
        <w:adjustRightInd/>
        <w:snapToGrid/>
        <w:spacing w:line="600" w:lineRule="exact"/>
        <w:ind w:left="0" w:leftChars="0" w:firstLine="664"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伊川县深化集体林权制度改革工作要点</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lang w:eastAsia="zh-CN"/>
        </w:rPr>
        <w:t>已经县政府同意</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lang w:eastAsia="zh-CN"/>
        </w:rPr>
        <w:t>现</w:t>
      </w:r>
      <w:r>
        <w:rPr>
          <w:rFonts w:hint="default" w:ascii="Times New Roman" w:hAnsi="Times New Roman" w:eastAsia="仿宋_GB2312" w:cs="Times New Roman"/>
          <w:color w:val="000000"/>
          <w:spacing w:val="6"/>
          <w:sz w:val="32"/>
          <w:szCs w:val="32"/>
        </w:rPr>
        <w:t>印发给你们</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请结合工作实际</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按要求贯彻执行</w:t>
      </w:r>
      <w:r>
        <w:rPr>
          <w:rFonts w:hint="eastAsia" w:ascii="Times New Roman" w:hAnsi="Times New Roman" w:eastAsia="仿宋_GB2312" w:cs="Times New Roman"/>
          <w:color w:val="000000"/>
          <w:spacing w:val="6"/>
          <w:sz w:val="32"/>
          <w:szCs w:val="32"/>
        </w:rPr>
        <w:t>。</w:t>
      </w:r>
    </w:p>
    <w:p w14:paraId="46AC839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sz w:val="32"/>
          <w:szCs w:val="32"/>
          <w:lang w:val="en-US" w:eastAsia="zh-CN"/>
        </w:rPr>
      </w:pPr>
    </w:p>
    <w:p w14:paraId="07C2850D">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sz w:val="32"/>
          <w:szCs w:val="32"/>
          <w:lang w:val="en-US" w:eastAsia="zh-CN"/>
        </w:rPr>
      </w:pPr>
    </w:p>
    <w:p w14:paraId="1C54EFB4">
      <w:pPr>
        <w:keepNext w:val="0"/>
        <w:keepLines w:val="0"/>
        <w:pageBreakBefore w:val="0"/>
        <w:widowControl w:val="0"/>
        <w:kinsoku/>
        <w:wordWrap/>
        <w:overflowPunct w:val="0"/>
        <w:topLinePunct w:val="0"/>
        <w:autoSpaceDE/>
        <w:autoSpaceDN/>
        <w:bidi w:val="0"/>
        <w:adjustRightInd/>
        <w:snapToGrid/>
        <w:spacing w:line="530" w:lineRule="exact"/>
        <w:ind w:firstLine="440" w:firstLineChars="200"/>
        <w:textAlignment w:val="auto"/>
        <w:rPr>
          <w:rFonts w:hint="eastAsia"/>
          <w:lang w:val="en-US" w:eastAsia="zh-CN"/>
        </w:rPr>
      </w:pPr>
    </w:p>
    <w:p w14:paraId="048A95B3">
      <w:pPr>
        <w:pStyle w:val="10"/>
        <w:jc w:val="right"/>
        <w:rPr>
          <w:rFonts w:hint="default" w:ascii="Times New Roman" w:hAnsi="Times New Roman" w:eastAsia="仿宋_GB2312" w:cs="Times New Roman"/>
          <w:b w:val="0"/>
          <w:bCs w:val="0"/>
          <w:color w:val="000000"/>
          <w:sz w:val="32"/>
          <w:szCs w:val="32"/>
          <w:shd w:val="clear" w:color="auto" w:fill="auto"/>
        </w:rPr>
      </w:pPr>
      <w:r>
        <w:rPr>
          <w:rFonts w:hint="default" w:ascii="Times New Roman" w:hAnsi="Times New Roman" w:eastAsia="仿宋_GB2312" w:cs="Times New Roman"/>
          <w:b w:val="0"/>
          <w:bCs w:val="0"/>
          <w:color w:val="000000"/>
          <w:sz w:val="32"/>
          <w:szCs w:val="32"/>
          <w:shd w:val="clear" w:color="auto" w:fill="auto"/>
        </w:rPr>
        <w:t>202</w:t>
      </w:r>
      <w:r>
        <w:rPr>
          <w:rFonts w:hint="default" w:ascii="Times New Roman" w:hAnsi="Times New Roman" w:eastAsia="仿宋_GB2312" w:cs="Times New Roman"/>
          <w:b w:val="0"/>
          <w:bCs w:val="0"/>
          <w:color w:val="000000"/>
          <w:sz w:val="32"/>
          <w:szCs w:val="32"/>
          <w:shd w:val="clear" w:color="auto" w:fill="auto"/>
          <w:lang w:val="en-US" w:eastAsia="zh-CN"/>
        </w:rPr>
        <w:t>5</w:t>
      </w:r>
      <w:r>
        <w:rPr>
          <w:rFonts w:hint="default" w:ascii="Times New Roman" w:hAnsi="Times New Roman" w:eastAsia="仿宋_GB2312" w:cs="Times New Roman"/>
          <w:b w:val="0"/>
          <w:bCs w:val="0"/>
          <w:color w:val="000000"/>
          <w:sz w:val="32"/>
          <w:szCs w:val="32"/>
          <w:shd w:val="clear" w:color="auto" w:fill="auto"/>
        </w:rPr>
        <w:t>年</w:t>
      </w:r>
      <w:r>
        <w:rPr>
          <w:rFonts w:hint="eastAsia" w:ascii="Times New Roman" w:hAnsi="Times New Roman" w:eastAsia="仿宋_GB2312" w:cs="Times New Roman"/>
          <w:b w:val="0"/>
          <w:bCs w:val="0"/>
          <w:color w:val="000000"/>
          <w:sz w:val="32"/>
          <w:szCs w:val="32"/>
          <w:shd w:val="clear" w:color="auto" w:fill="auto"/>
          <w:lang w:val="en-US" w:eastAsia="zh-CN"/>
        </w:rPr>
        <w:t>12</w:t>
      </w:r>
      <w:r>
        <w:rPr>
          <w:rFonts w:hint="default" w:ascii="Times New Roman" w:hAnsi="Times New Roman" w:eastAsia="仿宋_GB2312" w:cs="Times New Roman"/>
          <w:b w:val="0"/>
          <w:bCs w:val="0"/>
          <w:color w:val="000000"/>
          <w:sz w:val="32"/>
          <w:szCs w:val="32"/>
          <w:shd w:val="clear" w:color="auto" w:fill="auto"/>
        </w:rPr>
        <w:t>月</w:t>
      </w:r>
      <w:r>
        <w:rPr>
          <w:rFonts w:hint="eastAsia" w:ascii="Times New Roman" w:hAnsi="Times New Roman" w:eastAsia="仿宋_GB2312" w:cs="Times New Roman"/>
          <w:b w:val="0"/>
          <w:bCs w:val="0"/>
          <w:color w:val="000000"/>
          <w:sz w:val="32"/>
          <w:szCs w:val="32"/>
          <w:shd w:val="clear" w:color="auto" w:fill="auto"/>
          <w:lang w:val="en-US" w:eastAsia="zh-CN"/>
        </w:rPr>
        <w:t>31</w:t>
      </w:r>
      <w:r>
        <w:rPr>
          <w:rFonts w:hint="default" w:ascii="Times New Roman" w:hAnsi="Times New Roman" w:eastAsia="仿宋_GB2312" w:cs="Times New Roman"/>
          <w:b w:val="0"/>
          <w:bCs w:val="0"/>
          <w:color w:val="000000"/>
          <w:sz w:val="32"/>
          <w:szCs w:val="32"/>
          <w:shd w:val="clear" w:color="auto" w:fill="auto"/>
        </w:rPr>
        <w:t>日</w:t>
      </w:r>
    </w:p>
    <w:p w14:paraId="39E776F6">
      <w:pPr>
        <w:rPr>
          <w:rFonts w:hint="default" w:ascii="Times New Roman" w:hAnsi="Times New Roman" w:eastAsia="仿宋_GB2312" w:cs="Times New Roman"/>
          <w:b w:val="0"/>
          <w:bCs w:val="0"/>
          <w:color w:val="000000"/>
          <w:sz w:val="32"/>
          <w:szCs w:val="32"/>
          <w:shd w:val="clear" w:color="auto" w:fill="auto"/>
        </w:rPr>
      </w:pPr>
      <w:r>
        <w:rPr>
          <w:rFonts w:hint="default" w:ascii="Times New Roman" w:hAnsi="Times New Roman" w:eastAsia="仿宋_GB2312" w:cs="Times New Roman"/>
          <w:b w:val="0"/>
          <w:bCs w:val="0"/>
          <w:color w:val="000000"/>
          <w:sz w:val="32"/>
          <w:szCs w:val="32"/>
          <w:shd w:val="clear" w:color="auto" w:fill="auto"/>
        </w:rPr>
        <w:br w:type="page"/>
      </w:r>
    </w:p>
    <w:p w14:paraId="2109B0CC">
      <w:pPr>
        <w:pStyle w:val="10"/>
        <w:jc w:val="both"/>
        <w:rPr>
          <w:rFonts w:hint="eastAsia" w:ascii="Times New Roman" w:hAnsi="Times New Roman" w:eastAsia="仿宋_GB2312" w:cs="Times New Roman"/>
          <w:b w:val="0"/>
          <w:bCs w:val="0"/>
          <w:color w:val="000000"/>
          <w:sz w:val="32"/>
          <w:szCs w:val="32"/>
          <w:shd w:val="clear" w:color="auto" w:fill="auto"/>
          <w:lang w:val="en-US" w:eastAsia="zh-CN"/>
        </w:rPr>
      </w:pPr>
    </w:p>
    <w:p w14:paraId="23ECFF1A">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color w:val="000000"/>
          <w:spacing w:val="6"/>
          <w:sz w:val="44"/>
          <w:szCs w:val="44"/>
        </w:rPr>
      </w:pPr>
      <w:r>
        <w:rPr>
          <w:rFonts w:hint="default" w:ascii="Times New Roman" w:hAnsi="Times New Roman" w:eastAsia="方正小标宋简体" w:cs="Times New Roman"/>
          <w:color w:val="000000"/>
          <w:spacing w:val="6"/>
          <w:sz w:val="44"/>
          <w:szCs w:val="44"/>
        </w:rPr>
        <w:t>伊川县深化集体林权制度改革工作要点</w:t>
      </w:r>
    </w:p>
    <w:p w14:paraId="63A44BCF">
      <w:pPr>
        <w:pStyle w:val="10"/>
        <w:jc w:val="both"/>
        <w:rPr>
          <w:rFonts w:hint="eastAsia" w:ascii="Times New Roman" w:hAnsi="Times New Roman" w:eastAsia="仿宋_GB2312" w:cs="Times New Roman"/>
          <w:b w:val="0"/>
          <w:bCs w:val="0"/>
          <w:color w:val="000000"/>
          <w:sz w:val="32"/>
          <w:szCs w:val="32"/>
          <w:shd w:val="clear" w:color="auto" w:fill="auto"/>
          <w:lang w:val="en-US" w:eastAsia="zh-CN"/>
        </w:rPr>
      </w:pPr>
    </w:p>
    <w:p w14:paraId="1EBA29BA">
      <w:pPr>
        <w:keepNext w:val="0"/>
        <w:keepLines w:val="0"/>
        <w:pageBreakBefore w:val="0"/>
        <w:widowControl w:val="0"/>
        <w:kinsoku/>
        <w:wordWrap/>
        <w:overflowPunct w:val="0"/>
        <w:topLinePunct w:val="0"/>
        <w:autoSpaceDE/>
        <w:autoSpaceDN/>
        <w:bidi w:val="0"/>
        <w:adjustRightInd/>
        <w:snapToGrid/>
        <w:spacing w:line="594"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default" w:ascii="Times New Roman" w:hAnsi="Times New Roman" w:eastAsia="仿宋_GB2312" w:cs="Times New Roman"/>
          <w:color w:val="000000"/>
          <w:spacing w:val="6"/>
          <w:sz w:val="32"/>
          <w:szCs w:val="32"/>
        </w:rPr>
        <w:t>根据</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lang w:eastAsia="zh-CN"/>
        </w:rPr>
        <w:t>中共中央办公厅 国务院办公厅</w:t>
      </w:r>
      <w:r>
        <w:rPr>
          <w:rFonts w:hint="default" w:ascii="Times New Roman" w:hAnsi="Times New Roman" w:eastAsia="仿宋_GB2312" w:cs="Times New Roman"/>
          <w:color w:val="000000"/>
          <w:spacing w:val="6"/>
          <w:sz w:val="32"/>
          <w:szCs w:val="32"/>
        </w:rPr>
        <w:t>关于印发</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深化集体林权制度改革方案</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的通知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中办发</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2023</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45号</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0"/>
          <w:sz w:val="32"/>
          <w:szCs w:val="32"/>
        </w:rPr>
        <w:t>中共河南省委办公厅</w:t>
      </w:r>
      <w:r>
        <w:rPr>
          <w:rFonts w:hint="default" w:ascii="Times New Roman" w:hAnsi="Times New Roman" w:eastAsia="仿宋_GB2312" w:cs="Times New Roman"/>
          <w:color w:val="000000"/>
          <w:spacing w:val="0"/>
          <w:sz w:val="32"/>
          <w:szCs w:val="32"/>
          <w:lang w:val="en-US" w:eastAsia="zh-CN"/>
        </w:rPr>
        <w:t xml:space="preserve"> </w:t>
      </w:r>
      <w:r>
        <w:rPr>
          <w:rFonts w:hint="default" w:ascii="Times New Roman" w:hAnsi="Times New Roman" w:eastAsia="仿宋_GB2312" w:cs="Times New Roman"/>
          <w:color w:val="000000"/>
          <w:spacing w:val="0"/>
          <w:sz w:val="32"/>
          <w:szCs w:val="32"/>
        </w:rPr>
        <w:t>河南省人民政府办公厅关于印发</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河南省深化集体林权制度改革实施方案＞的通知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豫办</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2024</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23号</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洛阳市人民政府办公室关于印发＜洛阳市深化集体林权制度改革重点任务清单＞的通知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洛政办</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2025</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24号</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精神</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为积极稳妥推进我县集体林权制度改革</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有效解决产权制度</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资源管理</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经营模式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投入机制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金融支持等问题</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加快林业产业高质量发展</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特制定本工作要点</w:t>
      </w:r>
      <w:r>
        <w:rPr>
          <w:rFonts w:hint="eastAsia" w:ascii="Times New Roman" w:hAnsi="Times New Roman" w:eastAsia="仿宋_GB2312" w:cs="Times New Roman"/>
          <w:color w:val="000000"/>
          <w:spacing w:val="6"/>
          <w:sz w:val="32"/>
          <w:szCs w:val="32"/>
        </w:rPr>
        <w:t>。</w:t>
      </w:r>
    </w:p>
    <w:p w14:paraId="72B84E58">
      <w:pPr>
        <w:keepNext w:val="0"/>
        <w:keepLines w:val="0"/>
        <w:pageBreakBefore w:val="0"/>
        <w:widowControl w:val="0"/>
        <w:kinsoku/>
        <w:wordWrap/>
        <w:overflowPunct w:val="0"/>
        <w:topLinePunct w:val="0"/>
        <w:autoSpaceDE/>
        <w:autoSpaceDN/>
        <w:bidi w:val="0"/>
        <w:adjustRightInd/>
        <w:snapToGrid/>
        <w:spacing w:line="594" w:lineRule="exact"/>
        <w:ind w:firstLine="664" w:firstLineChars="200"/>
        <w:jc w:val="both"/>
        <w:textAlignment w:val="auto"/>
        <w:rPr>
          <w:rFonts w:hint="eastAsia" w:ascii="黑体" w:hAnsi="黑体" w:eastAsia="黑体" w:cs="黑体"/>
          <w:color w:val="000000"/>
          <w:spacing w:val="6"/>
          <w:sz w:val="32"/>
          <w:szCs w:val="32"/>
        </w:rPr>
      </w:pPr>
      <w:r>
        <w:rPr>
          <w:rFonts w:hint="eastAsia" w:ascii="黑体" w:hAnsi="黑体" w:eastAsia="黑体" w:cs="黑体"/>
          <w:color w:val="000000"/>
          <w:spacing w:val="6"/>
          <w:sz w:val="32"/>
          <w:szCs w:val="32"/>
        </w:rPr>
        <w:t>一、加快推进</w:t>
      </w:r>
      <w:r>
        <w:rPr>
          <w:rFonts w:hint="eastAsia" w:ascii="黑体" w:hAnsi="黑体" w:eastAsia="黑体" w:cs="黑体"/>
          <w:color w:val="000000"/>
          <w:spacing w:val="6"/>
          <w:sz w:val="32"/>
          <w:szCs w:val="32"/>
          <w:lang w:eastAsia="zh-CN"/>
        </w:rPr>
        <w:t>“三权”分置</w:t>
      </w:r>
    </w:p>
    <w:p w14:paraId="7D28F419">
      <w:pPr>
        <w:keepNext w:val="0"/>
        <w:keepLines w:val="0"/>
        <w:pageBreakBefore w:val="0"/>
        <w:widowControl w:val="0"/>
        <w:kinsoku/>
        <w:wordWrap/>
        <w:overflowPunct w:val="0"/>
        <w:topLinePunct w:val="0"/>
        <w:autoSpaceDE/>
        <w:autoSpaceDN/>
        <w:bidi w:val="0"/>
        <w:adjustRightInd/>
        <w:snapToGrid/>
        <w:spacing w:line="594"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（一）落实所有权。</w:t>
      </w:r>
      <w:r>
        <w:rPr>
          <w:rFonts w:hint="default" w:ascii="Times New Roman" w:hAnsi="Times New Roman" w:eastAsia="仿宋_GB2312" w:cs="Times New Roman"/>
          <w:color w:val="000000"/>
          <w:spacing w:val="6"/>
          <w:sz w:val="32"/>
          <w:szCs w:val="32"/>
        </w:rPr>
        <w:t>坚持集体林地所有权不变</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维护农民集体对承包林地发包</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调整</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监督等各项权能</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坚持依法颁发的原林权证继续有效</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权利不变动</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不得强制要求换证</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集体林权首次登记的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自然资源</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林业部门不得向当事人收取费用</w:t>
      </w:r>
      <w:r>
        <w:rPr>
          <w:rFonts w:hint="eastAsia" w:ascii="Times New Roman" w:hAnsi="Times New Roman" w:eastAsia="仿宋_GB2312" w:cs="Times New Roman"/>
          <w:color w:val="000000"/>
          <w:spacing w:val="6"/>
          <w:sz w:val="32"/>
          <w:szCs w:val="32"/>
        </w:rPr>
        <w:t>。</w:t>
      </w:r>
    </w:p>
    <w:p w14:paraId="30A54B76">
      <w:pPr>
        <w:keepNext w:val="0"/>
        <w:keepLines w:val="0"/>
        <w:pageBreakBefore w:val="0"/>
        <w:widowControl w:val="0"/>
        <w:kinsoku/>
        <w:wordWrap/>
        <w:overflowPunct w:val="0"/>
        <w:topLinePunct w:val="0"/>
        <w:autoSpaceDE/>
        <w:autoSpaceDN/>
        <w:bidi w:val="0"/>
        <w:adjustRightInd/>
        <w:snapToGrid/>
        <w:spacing w:line="594"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稳定承包权</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保持集体林地承包关系稳定并长久不变</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充分维护原家庭承包林地占有</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使用</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收益</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分配</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继承等各项合法权益</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不得以农民进城落户等各种理由</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强行要求原承包方交回承包林地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承包期届满时应坚持依法依规延包原则</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不得打乱重分</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保持稳定</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家庭承包林地剩余期限10年以内的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原发包方可以依法提前确认延包合同</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延包期从原林地承包到期为起点起算并合理确定延包期限</w:t>
      </w:r>
      <w:r>
        <w:rPr>
          <w:rFonts w:hint="eastAsia" w:ascii="Times New Roman" w:hAnsi="Times New Roman" w:eastAsia="仿宋_GB2312" w:cs="Times New Roman"/>
          <w:color w:val="000000"/>
          <w:spacing w:val="6"/>
          <w:sz w:val="32"/>
          <w:szCs w:val="32"/>
        </w:rPr>
        <w:t>。</w:t>
      </w:r>
    </w:p>
    <w:p w14:paraId="09A86010">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三</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放活经营权</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林地经营权可以依法再流转或者依法向金融机构融资</w:t>
      </w:r>
      <w:r>
        <w:rPr>
          <w:rFonts w:hint="default" w:ascii="Times New Roman" w:hAnsi="Times New Roman" w:eastAsia="仿宋_GB2312" w:cs="Times New Roman"/>
          <w:color w:val="000000"/>
          <w:spacing w:val="6"/>
          <w:sz w:val="32"/>
          <w:szCs w:val="32"/>
          <w:lang w:eastAsia="zh-CN"/>
        </w:rPr>
        <w:t>担保</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经营权可根据自己意愿选择经营方式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鼓励村民自愿流转经营权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鼓励农户将自留山林地的长期使用权分为使用权和经营权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不愿自主经营的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可流转经营权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对流转期限5年以上的林地经营权可以向县不动产</w:t>
      </w:r>
      <w:r>
        <w:rPr>
          <w:rFonts w:hint="default" w:ascii="Times New Roman" w:hAnsi="Times New Roman" w:eastAsia="仿宋_GB2312" w:cs="Times New Roman"/>
          <w:color w:val="000000"/>
          <w:spacing w:val="6"/>
          <w:sz w:val="32"/>
          <w:szCs w:val="32"/>
          <w:lang w:val="en-US" w:eastAsia="zh-CN"/>
        </w:rPr>
        <w:t>登记中心</w:t>
      </w:r>
      <w:r>
        <w:rPr>
          <w:rFonts w:hint="default" w:ascii="Times New Roman" w:hAnsi="Times New Roman" w:eastAsia="仿宋_GB2312" w:cs="Times New Roman"/>
          <w:color w:val="000000"/>
          <w:spacing w:val="6"/>
          <w:sz w:val="32"/>
          <w:szCs w:val="32"/>
        </w:rPr>
        <w:t>登记发证</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可以作为林权抵押贷款</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申报林业项目</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申请林木采伐或其他有关行政管理事项的凭证</w:t>
      </w:r>
      <w:r>
        <w:rPr>
          <w:rFonts w:hint="eastAsia" w:ascii="Times New Roman" w:hAnsi="Times New Roman" w:eastAsia="仿宋_GB2312" w:cs="Times New Roman"/>
          <w:color w:val="000000"/>
          <w:spacing w:val="6"/>
          <w:sz w:val="32"/>
          <w:szCs w:val="32"/>
        </w:rPr>
        <w:t>。</w:t>
      </w:r>
    </w:p>
    <w:p w14:paraId="28385D9C">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二</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发展林业适度规模经营</w:t>
      </w:r>
    </w:p>
    <w:p w14:paraId="2BADDC0F">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积极推动林权流转</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引导以出租</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入股</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合作等方式流转林地经营权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支持组建林权收储机构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采取市场化方式收储分散林权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支持集体林地经营权进入公共资源交易平台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农村产权交易平台进行交易</w:t>
      </w:r>
      <w:r>
        <w:rPr>
          <w:rFonts w:hint="eastAsia" w:ascii="Times New Roman" w:hAnsi="Times New Roman" w:eastAsia="仿宋_GB2312" w:cs="Times New Roman"/>
          <w:color w:val="000000"/>
          <w:spacing w:val="6"/>
          <w:sz w:val="32"/>
          <w:szCs w:val="32"/>
        </w:rPr>
        <w:t>。</w:t>
      </w:r>
    </w:p>
    <w:p w14:paraId="2D571196">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培育适度规模经营主体</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鼓励和支持社会资本参与林业生产经营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推广</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企业+合作社+基地+农户</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企业+基地+农户</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等模式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发展林下种植</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林下养殖</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提升林地资源利用率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促进林地规模化经营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对仍由农村集体经济组织统一经营管理的林地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实行</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分股不分山</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分利不分林</w:t>
      </w:r>
      <w:r>
        <w:rPr>
          <w:rFonts w:hint="eastAsia" w:ascii="Times New Roman" w:hAnsi="Times New Roman" w:eastAsia="仿宋_GB2312" w:cs="Times New Roman"/>
          <w:color w:val="000000"/>
          <w:spacing w:val="6"/>
          <w:sz w:val="32"/>
          <w:szCs w:val="32"/>
          <w:lang w:eastAsia="zh-CN"/>
        </w:rPr>
        <w:t>”</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将集体林地收益权量化到户</w:t>
      </w:r>
      <w:r>
        <w:rPr>
          <w:rFonts w:hint="eastAsia" w:ascii="Times New Roman" w:hAnsi="Times New Roman" w:eastAsia="仿宋_GB2312" w:cs="Times New Roman"/>
          <w:color w:val="000000"/>
          <w:spacing w:val="6"/>
          <w:sz w:val="32"/>
          <w:szCs w:val="32"/>
        </w:rPr>
        <w:t>。</w:t>
      </w:r>
    </w:p>
    <w:p w14:paraId="505D3B83">
      <w:pPr>
        <w:keepNext w:val="0"/>
        <w:keepLines w:val="0"/>
        <w:pageBreakBefore w:val="0"/>
        <w:widowControl w:val="0"/>
        <w:kinsoku/>
        <w:wordWrap/>
        <w:overflowPunct w:val="0"/>
        <w:topLinePunct w:val="0"/>
        <w:autoSpaceDE/>
        <w:autoSpaceDN/>
        <w:bidi w:val="0"/>
        <w:adjustRightInd/>
        <w:snapToGrid/>
        <w:spacing w:line="56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三</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切实加强森林经营</w:t>
      </w:r>
    </w:p>
    <w:p w14:paraId="598CE70F">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u w:val="single"/>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探索天然林公益林并轨管理</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依照国家级公益林区划界定</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管理办法等有关政策法规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合理优化公益林中集体林的比例</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组织乡镇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街道</w:t>
      </w:r>
      <w:r>
        <w:rPr>
          <w:rFonts w:hint="eastAsia" w:ascii="Times New Roman" w:hAnsi="Times New Roman" w:eastAsia="仿宋_GB2312" w:cs="Times New Roman"/>
          <w:color w:val="000000"/>
          <w:spacing w:val="6"/>
          <w:sz w:val="32"/>
          <w:szCs w:val="32"/>
          <w:lang w:eastAsia="zh-CN"/>
        </w:rPr>
        <w:t>）</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村</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居</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民委员会</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有关单位和个人按照有关规定申报补贴资金</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进行资格审核</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采集并核实补贴对象姓名</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身份证号</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社保卡银行账号</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补贴金额等补贴基础信息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确保补偿资金按要求兑付</w:t>
      </w:r>
      <w:r>
        <w:rPr>
          <w:rFonts w:hint="eastAsia" w:ascii="Times New Roman" w:hAnsi="Times New Roman" w:eastAsia="仿宋_GB2312" w:cs="Times New Roman"/>
          <w:color w:val="000000"/>
          <w:spacing w:val="6"/>
          <w:sz w:val="32"/>
          <w:szCs w:val="32"/>
        </w:rPr>
        <w:t>。</w:t>
      </w:r>
    </w:p>
    <w:p w14:paraId="720A9F0A">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精准提升森林质量</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一是精准调查与评估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通过遥感</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GIS</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地面调查相结合</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定期评估森林的健康状况</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生物多样性和碳储量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根据评估结果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科学设定具体的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可量化的提升目标</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二是精准规划与设计</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根据森林类型</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主导功能</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林分现状和目标</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制定差异化</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个性化的经营措施方案</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三是精准营造与更新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根据立地条件采用合适的整地方式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保护原生植被和土壤</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采用良种壮苗</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确保种植密度合理</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配置科学</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四是精准抚育与经营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根据目标林相</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采取相应的抚育措施</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调整林分密度</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优化树种组成</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改善林木生长空间</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促进天然更新</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在低效林改造中</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通过补植乡土珍贵树种定向培育大径级材和健康林木</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五是精准保护与风险防控</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利用物联网传感器</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遥感</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人工智能等技术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构建森林火险</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非法侵占</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生态状况的实时监测和智能预警网络</w:t>
      </w:r>
      <w:r>
        <w:rPr>
          <w:rFonts w:hint="eastAsia" w:ascii="Times New Roman" w:hAnsi="Times New Roman" w:eastAsia="仿宋_GB2312" w:cs="Times New Roman"/>
          <w:color w:val="000000"/>
          <w:spacing w:val="6"/>
          <w:sz w:val="32"/>
          <w:szCs w:val="32"/>
        </w:rPr>
        <w:t>。</w:t>
      </w:r>
    </w:p>
    <w:p w14:paraId="3AC23427">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四</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保障林木所有权权能</w:t>
      </w:r>
    </w:p>
    <w:p w14:paraId="1BD4E27E">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优化林木采伐服务</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一是取消人工商品林采伐年龄限制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对人工商品林实行林木采伐限额5年总额控制政策</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按照省</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市要求</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取消人工商品林主伐年龄限制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二是推行简易程序办理</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对林农个人申请采伐人工商品林面积不超过2亩或蓄积不超过15立方米的</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取消伐前查验</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公示等程序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实行告知承诺制审批</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三是优化营商环境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便捷高效服务</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按照</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最多跑一次</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的要求</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事先一次性告知采伐申请人办理条件</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申请材料和服务流程</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提前告知不同采伐面积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蓄积需要提交的申请材料</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进一步优化审批流程</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简化申请材料</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全面推行</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一窗受理</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一站式办理</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等便捷高效服务</w:t>
      </w:r>
      <w:r>
        <w:rPr>
          <w:rFonts w:hint="eastAsia" w:ascii="Times New Roman" w:hAnsi="Times New Roman" w:eastAsia="仿宋_GB2312" w:cs="Times New Roman"/>
          <w:color w:val="000000"/>
          <w:spacing w:val="6"/>
          <w:sz w:val="32"/>
          <w:szCs w:val="32"/>
        </w:rPr>
        <w:t>。</w:t>
      </w:r>
    </w:p>
    <w:p w14:paraId="731579C5">
      <w:pPr>
        <w:pStyle w:val="6"/>
        <w:keepNext w:val="0"/>
        <w:keepLines w:val="0"/>
        <w:pageBreakBefore w:val="0"/>
        <w:widowControl w:val="0"/>
        <w:kinsoku/>
        <w:wordWrap/>
        <w:overflowPunct w:val="0"/>
        <w:topLinePunct w:val="0"/>
        <w:autoSpaceDE/>
        <w:autoSpaceDN/>
        <w:bidi w:val="0"/>
        <w:adjustRightInd/>
        <w:snapToGrid/>
        <w:spacing w:before="0" w:after="0" w:line="570" w:lineRule="exact"/>
        <w:ind w:firstLine="664" w:firstLineChars="200"/>
        <w:jc w:val="both"/>
        <w:textAlignment w:val="auto"/>
        <w:rPr>
          <w:rFonts w:hint="default" w:ascii="Times New Roman" w:hAnsi="Times New Roman" w:eastAsia="仿宋_GB2312" w:cs="Times New Roman"/>
          <w:b w:val="0"/>
          <w:bCs w:val="0"/>
          <w:color w:val="000000"/>
          <w:spacing w:val="6"/>
          <w:sz w:val="32"/>
          <w:szCs w:val="32"/>
        </w:rPr>
      </w:pP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楷体_GB2312" w:hAnsi="楷体_GB2312" w:eastAsia="楷体_GB2312" w:cs="楷体_GB2312"/>
          <w:b w:val="0"/>
          <w:bCs w:val="0"/>
          <w:color w:val="000000"/>
          <w:spacing w:val="6"/>
          <w:kern w:val="2"/>
          <w:sz w:val="32"/>
          <w:szCs w:val="32"/>
          <w:lang w:val="en-US" w:eastAsia="zh-CN" w:bidi="ar-SA"/>
        </w:rPr>
        <w:t>二</w:t>
      </w: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楷体_GB2312" w:hAnsi="楷体_GB2312" w:eastAsia="楷体_GB2312" w:cs="楷体_GB2312"/>
          <w:b w:val="0"/>
          <w:bCs w:val="0"/>
          <w:color w:val="000000"/>
          <w:spacing w:val="6"/>
          <w:kern w:val="2"/>
          <w:sz w:val="32"/>
          <w:szCs w:val="32"/>
          <w:lang w:val="en-US" w:eastAsia="zh-CN" w:bidi="ar-SA"/>
        </w:rPr>
        <w:t>强化采伐监督管理</w:t>
      </w: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Times New Roman" w:hAnsi="Times New Roman" w:eastAsia="仿宋_GB2312" w:cs="Times New Roman"/>
          <w:b w:val="0"/>
          <w:bCs w:val="0"/>
          <w:color w:val="000000"/>
          <w:spacing w:val="6"/>
          <w:sz w:val="32"/>
          <w:szCs w:val="32"/>
        </w:rPr>
        <w:t>一是林业部门要强化对告知承诺执行情况的监管</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用好用足林木采伐限额</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满足森林经营中合理的林木采伐需求</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二是严格执行限额采伐和凭证采伐制度</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防止超限额采伐和无证采伐林木</w:t>
      </w:r>
      <w:r>
        <w:rPr>
          <w:rFonts w:hint="eastAsia" w:ascii="Times New Roman" w:hAnsi="Times New Roman" w:eastAsia="仿宋_GB2312" w:cs="Times New Roman"/>
          <w:b w:val="0"/>
          <w:bCs w:val="0"/>
          <w:color w:val="000000"/>
          <w:spacing w:val="6"/>
          <w:sz w:val="32"/>
          <w:szCs w:val="32"/>
        </w:rPr>
        <w:t>。</w:t>
      </w:r>
    </w:p>
    <w:p w14:paraId="4034B553">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五</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推进林业产业提质增效</w:t>
      </w:r>
    </w:p>
    <w:p w14:paraId="60BAF412">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b w:val="0"/>
          <w:bCs/>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发展绿色富民产业</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b w:val="0"/>
          <w:bCs/>
          <w:color w:val="000000"/>
          <w:spacing w:val="6"/>
          <w:sz w:val="32"/>
          <w:szCs w:val="32"/>
        </w:rPr>
        <w:t>一是按照</w:t>
      </w:r>
      <w:r>
        <w:rPr>
          <w:rFonts w:hint="eastAsia" w:ascii="Times New Roman" w:hAnsi="Times New Roman" w:eastAsia="仿宋_GB2312" w:cs="Times New Roman"/>
          <w:b w:val="0"/>
          <w:bCs/>
          <w:color w:val="000000"/>
          <w:spacing w:val="6"/>
          <w:sz w:val="32"/>
          <w:szCs w:val="32"/>
          <w:lang w:eastAsia="zh-CN"/>
        </w:rPr>
        <w:t>“</w:t>
      </w:r>
      <w:r>
        <w:rPr>
          <w:rFonts w:hint="default" w:ascii="Times New Roman" w:hAnsi="Times New Roman" w:eastAsia="仿宋_GB2312" w:cs="Times New Roman"/>
          <w:b w:val="0"/>
          <w:bCs/>
          <w:color w:val="000000"/>
          <w:spacing w:val="6"/>
          <w:sz w:val="32"/>
          <w:szCs w:val="32"/>
        </w:rPr>
        <w:t>产业生态化</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生态产业化</w:t>
      </w:r>
      <w:r>
        <w:rPr>
          <w:rFonts w:hint="eastAsia" w:ascii="Times New Roman" w:hAnsi="Times New Roman" w:eastAsia="仿宋_GB2312" w:cs="Times New Roman"/>
          <w:b w:val="0"/>
          <w:bCs/>
          <w:color w:val="000000"/>
          <w:spacing w:val="6"/>
          <w:sz w:val="32"/>
          <w:szCs w:val="32"/>
          <w:lang w:eastAsia="zh-CN"/>
        </w:rPr>
        <w:t>”</w:t>
      </w:r>
      <w:r>
        <w:rPr>
          <w:rFonts w:hint="default" w:ascii="Times New Roman" w:hAnsi="Times New Roman" w:eastAsia="仿宋_GB2312" w:cs="Times New Roman"/>
          <w:b w:val="0"/>
          <w:bCs/>
          <w:color w:val="000000"/>
          <w:spacing w:val="6"/>
          <w:sz w:val="32"/>
          <w:szCs w:val="32"/>
        </w:rPr>
        <w:t>目标</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加大林下经济示范基地建设力度</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推广林下种植</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养殖</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提高林下经济的规模化</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标准化和产业化水平</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二是进一步优化林业产业布局</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建设林产品加工等产业园区</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延长产业链条</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打造一批特色鲜明</w:t>
      </w:r>
      <w:r>
        <w:rPr>
          <w:rFonts w:hint="eastAsia" w:ascii="Times New Roman" w:hAnsi="Times New Roman" w:eastAsia="仿宋_GB2312" w:cs="Times New Roman"/>
          <w:b w:val="0"/>
          <w:bCs/>
          <w:color w:val="000000"/>
          <w:spacing w:val="6"/>
          <w:sz w:val="32"/>
          <w:szCs w:val="32"/>
        </w:rPr>
        <w:t>、</w:t>
      </w:r>
      <w:r>
        <w:rPr>
          <w:rFonts w:hint="default" w:ascii="Times New Roman" w:hAnsi="Times New Roman" w:eastAsia="仿宋_GB2312" w:cs="Times New Roman"/>
          <w:b w:val="0"/>
          <w:bCs/>
          <w:color w:val="000000"/>
          <w:spacing w:val="6"/>
          <w:sz w:val="32"/>
          <w:szCs w:val="32"/>
        </w:rPr>
        <w:t>优势突出的林业产业园区和示范基地</w:t>
      </w:r>
      <w:r>
        <w:rPr>
          <w:rFonts w:hint="eastAsia" w:ascii="Times New Roman" w:hAnsi="Times New Roman" w:eastAsia="仿宋_GB2312" w:cs="Times New Roman"/>
          <w:b w:val="0"/>
          <w:bCs/>
          <w:color w:val="000000"/>
          <w:spacing w:val="6"/>
          <w:sz w:val="32"/>
          <w:szCs w:val="32"/>
        </w:rPr>
        <w:t>。</w:t>
      </w:r>
    </w:p>
    <w:p w14:paraId="1EE837E1">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夯实产业发展基础</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在符合</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三区三线</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和国土空间规划的基础上</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加强生态旅游</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森林康养</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林下经济等林业产业发展用地保障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严禁变相建别墅等违法违规行为</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结合农村公益性基础设施建设和相关行业发展规划实施</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支持林业生产路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旅游路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防火通道等集体林基础设施建设</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推动将用于林业生产的先进适用机械按程序列入农机购置与应用补贴机具种类范围</w:t>
      </w:r>
      <w:r>
        <w:rPr>
          <w:rFonts w:hint="eastAsia" w:ascii="Times New Roman" w:hAnsi="Times New Roman" w:eastAsia="仿宋_GB2312" w:cs="Times New Roman"/>
          <w:color w:val="000000"/>
          <w:spacing w:val="6"/>
          <w:sz w:val="32"/>
          <w:szCs w:val="32"/>
        </w:rPr>
        <w:t>。</w:t>
      </w:r>
    </w:p>
    <w:p w14:paraId="39BA0780">
      <w:pPr>
        <w:keepNext w:val="0"/>
        <w:keepLines w:val="0"/>
        <w:pageBreakBefore w:val="0"/>
        <w:widowControl w:val="0"/>
        <w:kinsoku/>
        <w:wordWrap/>
        <w:overflowPunct w:val="0"/>
        <w:topLinePunct w:val="0"/>
        <w:autoSpaceDE/>
        <w:autoSpaceDN/>
        <w:bidi w:val="0"/>
        <w:adjustRightInd/>
        <w:snapToGrid/>
        <w:spacing w:line="60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六</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探索生态产品价值实现机制</w:t>
      </w:r>
    </w:p>
    <w:p w14:paraId="34C78E3A">
      <w:pPr>
        <w:keepNext w:val="0"/>
        <w:keepLines w:val="0"/>
        <w:pageBreakBefore w:val="0"/>
        <w:widowControl w:val="0"/>
        <w:kinsoku/>
        <w:wordWrap/>
        <w:overflowPunct w:val="0"/>
        <w:topLinePunct w:val="0"/>
        <w:autoSpaceDE/>
        <w:autoSpaceDN/>
        <w:bidi w:val="0"/>
        <w:adjustRightInd/>
        <w:snapToGrid/>
        <w:spacing w:line="600" w:lineRule="exact"/>
        <w:ind w:firstLine="664" w:firstLineChars="200"/>
        <w:jc w:val="both"/>
        <w:textAlignment w:val="auto"/>
        <w:rPr>
          <w:rFonts w:hint="default" w:ascii="Times New Roman" w:hAnsi="Times New Roman" w:eastAsia="仿宋_GB2312" w:cs="Times New Roman"/>
          <w:b w:val="0"/>
          <w:bCs w:val="0"/>
          <w:color w:val="000000"/>
          <w:spacing w:val="6"/>
          <w:sz w:val="32"/>
          <w:szCs w:val="32"/>
        </w:rPr>
      </w:pPr>
      <w:r>
        <w:rPr>
          <w:rFonts w:hint="default" w:ascii="Times New Roman" w:hAnsi="Times New Roman" w:eastAsia="仿宋_GB2312" w:cs="Times New Roman"/>
          <w:b w:val="0"/>
          <w:bCs w:val="0"/>
          <w:color w:val="000000"/>
          <w:spacing w:val="6"/>
          <w:sz w:val="32"/>
          <w:szCs w:val="32"/>
        </w:rPr>
        <w:t>稳步推进林业碳汇</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一是完善碳汇项目运营管理</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进一步挖掘我县林业碳汇潜力</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建立健全林业碳汇项目运营管</w:t>
      </w:r>
      <w:r>
        <w:rPr>
          <w:rFonts w:hint="default" w:ascii="Times New Roman" w:hAnsi="Times New Roman" w:eastAsia="仿宋_GB2312" w:cs="Times New Roman"/>
          <w:b w:val="0"/>
          <w:bCs w:val="0"/>
          <w:color w:val="000000"/>
          <w:spacing w:val="6"/>
          <w:sz w:val="32"/>
          <w:szCs w:val="32"/>
          <w:lang w:eastAsia="zh-CN"/>
        </w:rPr>
        <w:t>理机</w:t>
      </w:r>
      <w:r>
        <w:rPr>
          <w:rFonts w:hint="default" w:ascii="Times New Roman" w:hAnsi="Times New Roman" w:eastAsia="仿宋_GB2312" w:cs="Times New Roman"/>
          <w:b w:val="0"/>
          <w:bCs w:val="0"/>
          <w:color w:val="000000"/>
          <w:spacing w:val="6"/>
          <w:sz w:val="32"/>
          <w:szCs w:val="32"/>
        </w:rPr>
        <w:t>制</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规范项目开发</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监测</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评估</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交易等环节</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二是以碳汇项目带动生态与经济协同发展</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通过林业碳汇项目实施</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带动生态环境改善和经济发展</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鼓励和支持农户联户参与碳汇林的种植和管护</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增加就业机会和收入</w:t>
      </w:r>
      <w:r>
        <w:rPr>
          <w:rFonts w:hint="eastAsia" w:ascii="Times New Roman" w:hAnsi="Times New Roman" w:eastAsia="仿宋_GB2312" w:cs="Times New Roman"/>
          <w:b w:val="0"/>
          <w:bCs w:val="0"/>
          <w:color w:val="000000"/>
          <w:spacing w:val="6"/>
          <w:sz w:val="32"/>
          <w:szCs w:val="32"/>
        </w:rPr>
        <w:t>。</w:t>
      </w:r>
    </w:p>
    <w:p w14:paraId="3C52888D">
      <w:pPr>
        <w:keepNext w:val="0"/>
        <w:keepLines w:val="0"/>
        <w:pageBreakBefore w:val="0"/>
        <w:widowControl w:val="0"/>
        <w:kinsoku/>
        <w:wordWrap/>
        <w:overflowPunct w:val="0"/>
        <w:topLinePunct w:val="0"/>
        <w:autoSpaceDE/>
        <w:autoSpaceDN/>
        <w:bidi w:val="0"/>
        <w:adjustRightInd/>
        <w:snapToGrid/>
        <w:spacing w:line="58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七</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加大金融支持力度</w:t>
      </w:r>
    </w:p>
    <w:p w14:paraId="35D9AB39">
      <w:pPr>
        <w:keepNext w:val="0"/>
        <w:keepLines w:val="0"/>
        <w:pageBreakBefore w:val="0"/>
        <w:widowControl w:val="0"/>
        <w:kinsoku/>
        <w:wordWrap/>
        <w:overflowPunct w:val="0"/>
        <w:topLinePunct w:val="0"/>
        <w:autoSpaceDE/>
        <w:autoSpaceDN/>
        <w:bidi w:val="0"/>
        <w:adjustRightInd/>
        <w:snapToGrid/>
        <w:spacing w:line="59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加大金融支持力度</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鼓励和引导金融机构将符合条件的林权交易服务</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林产品精深加工纳入支持范围</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支持开展林业经营收益权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公益林补偿收益权等质押贷款服务</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健全抵押林权快速处置机制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引导金融机构按市场化原则加大对林权抵押贷款的支持力度</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提高林权抵押率</w:t>
      </w:r>
      <w:r>
        <w:rPr>
          <w:rFonts w:hint="eastAsia" w:ascii="Times New Roman" w:hAnsi="Times New Roman" w:eastAsia="仿宋_GB2312" w:cs="Times New Roman"/>
          <w:color w:val="000000"/>
          <w:spacing w:val="6"/>
          <w:sz w:val="32"/>
          <w:szCs w:val="32"/>
        </w:rPr>
        <w:t>。</w:t>
      </w:r>
    </w:p>
    <w:p w14:paraId="697E5C48">
      <w:pPr>
        <w:keepNext w:val="0"/>
        <w:keepLines w:val="0"/>
        <w:pageBreakBefore w:val="0"/>
        <w:widowControl w:val="0"/>
        <w:kinsoku/>
        <w:wordWrap/>
        <w:overflowPunct w:val="0"/>
        <w:topLinePunct w:val="0"/>
        <w:autoSpaceDE/>
        <w:autoSpaceDN/>
        <w:bidi w:val="0"/>
        <w:adjustRightInd/>
        <w:snapToGrid/>
        <w:spacing w:line="59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扩大森林保险覆盖面</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按照</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政府引导</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市场运作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自主自愿</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协同推进</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原则</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鼓励经营主体积极参与森林保险</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探索</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政策性保险+商业性保险</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模式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丰富林业产业保险产品</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提高林业产业综合保险保障水平</w:t>
      </w:r>
      <w:r>
        <w:rPr>
          <w:rFonts w:hint="eastAsia" w:ascii="Times New Roman" w:hAnsi="Times New Roman" w:eastAsia="仿宋_GB2312" w:cs="Times New Roman"/>
          <w:color w:val="000000"/>
          <w:spacing w:val="6"/>
          <w:sz w:val="32"/>
          <w:szCs w:val="32"/>
        </w:rPr>
        <w:t>。</w:t>
      </w:r>
    </w:p>
    <w:p w14:paraId="74F50418">
      <w:pPr>
        <w:keepNext w:val="0"/>
        <w:keepLines w:val="0"/>
        <w:pageBreakBefore w:val="0"/>
        <w:widowControl w:val="0"/>
        <w:kinsoku/>
        <w:wordWrap/>
        <w:overflowPunct w:val="0"/>
        <w:topLinePunct w:val="0"/>
        <w:autoSpaceDE/>
        <w:autoSpaceDN/>
        <w:bidi w:val="0"/>
        <w:adjustRightInd/>
        <w:snapToGrid/>
        <w:spacing w:line="590"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八</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规范开展林权登记</w:t>
      </w:r>
    </w:p>
    <w:p w14:paraId="2E6D286E">
      <w:pPr>
        <w:pStyle w:val="6"/>
        <w:keepNext w:val="0"/>
        <w:keepLines w:val="0"/>
        <w:pageBreakBefore w:val="0"/>
        <w:widowControl w:val="0"/>
        <w:kinsoku/>
        <w:wordWrap/>
        <w:overflowPunct w:val="0"/>
        <w:topLinePunct w:val="0"/>
        <w:autoSpaceDE/>
        <w:autoSpaceDN/>
        <w:bidi w:val="0"/>
        <w:adjustRightInd/>
        <w:snapToGrid/>
        <w:spacing w:before="0" w:after="0" w:line="590" w:lineRule="exact"/>
        <w:ind w:firstLine="664" w:firstLineChars="200"/>
        <w:jc w:val="both"/>
        <w:textAlignment w:val="auto"/>
        <w:rPr>
          <w:rFonts w:hint="default" w:ascii="Times New Roman" w:hAnsi="Times New Roman" w:eastAsia="仿宋_GB2312" w:cs="Times New Roman"/>
          <w:b w:val="0"/>
          <w:bCs w:val="0"/>
          <w:color w:val="000000"/>
          <w:spacing w:val="6"/>
          <w:sz w:val="32"/>
          <w:szCs w:val="32"/>
          <w:u w:val="single"/>
        </w:rPr>
      </w:pP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楷体_GB2312" w:hAnsi="楷体_GB2312" w:eastAsia="楷体_GB2312" w:cs="楷体_GB2312"/>
          <w:b w:val="0"/>
          <w:bCs w:val="0"/>
          <w:color w:val="000000"/>
          <w:spacing w:val="6"/>
          <w:kern w:val="2"/>
          <w:sz w:val="32"/>
          <w:szCs w:val="32"/>
          <w:lang w:val="en-US" w:eastAsia="zh-CN" w:bidi="ar-SA"/>
        </w:rPr>
        <w:t>一</w:t>
      </w: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楷体_GB2312" w:hAnsi="楷体_GB2312" w:eastAsia="楷体_GB2312" w:cs="楷体_GB2312"/>
          <w:b w:val="0"/>
          <w:bCs w:val="0"/>
          <w:color w:val="000000"/>
          <w:spacing w:val="6"/>
          <w:kern w:val="2"/>
          <w:sz w:val="32"/>
          <w:szCs w:val="32"/>
          <w:lang w:val="en-US" w:eastAsia="zh-CN" w:bidi="ar-SA"/>
        </w:rPr>
        <w:t>加快数据融合</w:t>
      </w:r>
      <w:r>
        <w:rPr>
          <w:rFonts w:hint="eastAsia" w:ascii="楷体_GB2312" w:hAnsi="楷体_GB2312" w:eastAsia="楷体_GB2312" w:cs="楷体_GB2312"/>
          <w:b w:val="0"/>
          <w:bCs w:val="0"/>
          <w:color w:val="000000"/>
          <w:spacing w:val="6"/>
          <w:kern w:val="2"/>
          <w:sz w:val="32"/>
          <w:szCs w:val="32"/>
          <w:lang w:val="en-US" w:eastAsia="zh-CN" w:bidi="ar-SA"/>
        </w:rPr>
        <w:t>。</w:t>
      </w:r>
      <w:r>
        <w:rPr>
          <w:rFonts w:hint="default" w:ascii="Times New Roman" w:hAnsi="Times New Roman" w:eastAsia="仿宋_GB2312" w:cs="Times New Roman"/>
          <w:b w:val="0"/>
          <w:bCs w:val="0"/>
          <w:color w:val="000000"/>
          <w:spacing w:val="6"/>
          <w:sz w:val="32"/>
          <w:szCs w:val="32"/>
        </w:rPr>
        <w:t>基于第三次全国国土调查统一底图</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结合最新年度国土变更调查成果</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加快推动林权登记存量数据整合</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保留林权原始登记信息</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通过纸质档案扫描</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数据标准化转换</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数据采集补录</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数据检查入库等分步有序建立林权类不动产登记数据库</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纳入不动产登记信息平台管理</w:t>
      </w:r>
      <w:r>
        <w:rPr>
          <w:rFonts w:hint="eastAsia" w:ascii="Times New Roman" w:hAnsi="Times New Roman" w:eastAsia="仿宋_GB2312" w:cs="Times New Roman"/>
          <w:b w:val="0"/>
          <w:bCs w:val="0"/>
          <w:color w:val="000000"/>
          <w:spacing w:val="6"/>
          <w:sz w:val="32"/>
          <w:szCs w:val="32"/>
        </w:rPr>
        <w:t>。</w:t>
      </w:r>
      <w:r>
        <w:rPr>
          <w:rFonts w:hint="default" w:ascii="Times New Roman" w:hAnsi="Times New Roman" w:eastAsia="仿宋_GB2312" w:cs="Times New Roman"/>
          <w:b w:val="0"/>
          <w:bCs w:val="0"/>
          <w:color w:val="000000"/>
          <w:spacing w:val="6"/>
          <w:sz w:val="32"/>
          <w:szCs w:val="32"/>
        </w:rPr>
        <w:t>2027年年底前基本完成全县林权登记存量数据清理整合</w:t>
      </w:r>
      <w:r>
        <w:rPr>
          <w:rFonts w:hint="eastAsia" w:ascii="Times New Roman" w:hAnsi="Times New Roman" w:eastAsia="仿宋_GB2312" w:cs="Times New Roman"/>
          <w:b w:val="0"/>
          <w:bCs w:val="0"/>
          <w:color w:val="000000"/>
          <w:spacing w:val="6"/>
          <w:sz w:val="32"/>
          <w:szCs w:val="32"/>
        </w:rPr>
        <w:t>。</w:t>
      </w:r>
    </w:p>
    <w:p w14:paraId="683C7C90">
      <w:pPr>
        <w:keepNext w:val="0"/>
        <w:keepLines w:val="0"/>
        <w:pageBreakBefore w:val="0"/>
        <w:widowControl w:val="0"/>
        <w:kinsoku/>
        <w:wordWrap/>
        <w:overflowPunct w:val="0"/>
        <w:topLinePunct w:val="0"/>
        <w:autoSpaceDE/>
        <w:autoSpaceDN/>
        <w:bidi w:val="0"/>
        <w:adjustRightInd/>
        <w:snapToGrid/>
        <w:spacing w:line="570"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建立林权登记协同便民机制</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自然资源</w:t>
      </w:r>
      <w:r>
        <w:rPr>
          <w:rFonts w:hint="default" w:ascii="Times New Roman" w:hAnsi="Times New Roman" w:eastAsia="仿宋_GB2312" w:cs="Times New Roman"/>
          <w:color w:val="000000"/>
          <w:spacing w:val="6"/>
          <w:sz w:val="32"/>
          <w:szCs w:val="32"/>
          <w:lang w:eastAsia="zh-CN"/>
        </w:rPr>
        <w:t>部门</w:t>
      </w:r>
      <w:r>
        <w:rPr>
          <w:rFonts w:hint="default" w:ascii="Times New Roman" w:hAnsi="Times New Roman" w:eastAsia="仿宋_GB2312" w:cs="Times New Roman"/>
          <w:color w:val="000000"/>
          <w:spacing w:val="6"/>
          <w:sz w:val="32"/>
          <w:szCs w:val="32"/>
        </w:rPr>
        <w:t>按照统一登记原则全面履行林权类确权登记职责</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林业</w:t>
      </w:r>
      <w:r>
        <w:rPr>
          <w:rFonts w:hint="default" w:ascii="Times New Roman" w:hAnsi="Times New Roman" w:eastAsia="仿宋_GB2312" w:cs="Times New Roman"/>
          <w:color w:val="000000"/>
          <w:spacing w:val="6"/>
          <w:sz w:val="32"/>
          <w:szCs w:val="32"/>
          <w:lang w:eastAsia="zh-CN"/>
        </w:rPr>
        <w:t>部门</w:t>
      </w:r>
      <w:r>
        <w:rPr>
          <w:rFonts w:hint="default" w:ascii="Times New Roman" w:hAnsi="Times New Roman" w:eastAsia="仿宋_GB2312" w:cs="Times New Roman"/>
          <w:color w:val="000000"/>
          <w:spacing w:val="6"/>
          <w:sz w:val="32"/>
          <w:szCs w:val="32"/>
        </w:rPr>
        <w:t>负责集体林地承包合同</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流转合同管理和林权流转服务职责</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双方要建立紧密的</w:t>
      </w:r>
      <w:r>
        <w:rPr>
          <w:rFonts w:hint="default" w:ascii="Times New Roman" w:hAnsi="Times New Roman" w:eastAsia="仿宋_GB2312" w:cs="Times New Roman"/>
          <w:color w:val="000000"/>
          <w:spacing w:val="6"/>
          <w:sz w:val="32"/>
          <w:szCs w:val="32"/>
          <w:lang w:eastAsia="zh-CN"/>
        </w:rPr>
        <w:t>登记信息共享等</w:t>
      </w:r>
      <w:r>
        <w:rPr>
          <w:rFonts w:hint="default" w:ascii="Times New Roman" w:hAnsi="Times New Roman" w:eastAsia="仿宋_GB2312" w:cs="Times New Roman"/>
          <w:color w:val="000000"/>
          <w:spacing w:val="6"/>
          <w:sz w:val="32"/>
          <w:szCs w:val="32"/>
        </w:rPr>
        <w:t>工作机制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及时协调沟通处理林权类不动产登记中出现的问题</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切实维护林地承包经营关系稳定和林权权利人的合法权益</w:t>
      </w:r>
      <w:r>
        <w:rPr>
          <w:rFonts w:hint="eastAsia" w:ascii="Times New Roman" w:hAnsi="Times New Roman" w:eastAsia="仿宋_GB2312" w:cs="Times New Roman"/>
          <w:color w:val="000000"/>
          <w:spacing w:val="6"/>
          <w:sz w:val="32"/>
          <w:szCs w:val="32"/>
        </w:rPr>
        <w:t>。</w:t>
      </w:r>
    </w:p>
    <w:p w14:paraId="79E35DDF">
      <w:pPr>
        <w:keepNext w:val="0"/>
        <w:keepLines w:val="0"/>
        <w:pageBreakBefore w:val="0"/>
        <w:widowControl w:val="0"/>
        <w:kinsoku/>
        <w:wordWrap/>
        <w:overflowPunct w:val="0"/>
        <w:topLinePunct w:val="0"/>
        <w:autoSpaceDE/>
        <w:autoSpaceDN/>
        <w:bidi w:val="0"/>
        <w:adjustRightInd/>
        <w:snapToGrid/>
        <w:spacing w:line="566"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三</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稳妥化解历史遗留问题</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按照</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以点带面</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先易后难</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分步实施</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分类推进</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的</w:t>
      </w:r>
      <w:r>
        <w:rPr>
          <w:rFonts w:hint="default" w:ascii="Times New Roman" w:hAnsi="Times New Roman" w:eastAsia="仿宋_GB2312" w:cs="Times New Roman"/>
          <w:color w:val="000000"/>
          <w:spacing w:val="6"/>
          <w:sz w:val="32"/>
          <w:szCs w:val="32"/>
          <w:lang w:eastAsia="zh-CN"/>
        </w:rPr>
        <w:t>工作</w:t>
      </w:r>
      <w:r>
        <w:rPr>
          <w:rFonts w:hint="default" w:ascii="Times New Roman" w:hAnsi="Times New Roman" w:eastAsia="仿宋_GB2312" w:cs="Times New Roman"/>
          <w:color w:val="000000"/>
          <w:spacing w:val="6"/>
          <w:sz w:val="32"/>
          <w:szCs w:val="32"/>
        </w:rPr>
        <w:t>思路</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针对林权纠纷问题</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坚持遵循历史</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尊重事实的原则</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综合运用司法</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调解等多种方式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积极稳妥解决权属争议</w:t>
      </w:r>
      <w:r>
        <w:rPr>
          <w:rFonts w:hint="eastAsia" w:ascii="Times New Roman" w:hAnsi="Times New Roman" w:eastAsia="仿宋_GB2312" w:cs="Times New Roman"/>
          <w:color w:val="000000"/>
          <w:spacing w:val="6"/>
          <w:sz w:val="32"/>
          <w:szCs w:val="32"/>
        </w:rPr>
        <w:t>。</w:t>
      </w:r>
    </w:p>
    <w:p w14:paraId="6B45AAEE">
      <w:pPr>
        <w:keepNext w:val="0"/>
        <w:keepLines w:val="0"/>
        <w:pageBreakBefore w:val="0"/>
        <w:widowControl w:val="0"/>
        <w:kinsoku/>
        <w:wordWrap/>
        <w:overflowPunct w:val="0"/>
        <w:topLinePunct w:val="0"/>
        <w:autoSpaceDE/>
        <w:autoSpaceDN/>
        <w:bidi w:val="0"/>
        <w:adjustRightInd/>
        <w:snapToGrid/>
        <w:spacing w:line="566" w:lineRule="exact"/>
        <w:ind w:firstLine="664" w:firstLineChars="200"/>
        <w:jc w:val="both"/>
        <w:textAlignment w:val="auto"/>
        <w:rPr>
          <w:rFonts w:hint="default" w:ascii="黑体" w:hAnsi="黑体" w:eastAsia="黑体" w:cs="黑体"/>
          <w:color w:val="000000"/>
          <w:spacing w:val="6"/>
          <w:sz w:val="32"/>
          <w:szCs w:val="32"/>
        </w:rPr>
      </w:pPr>
      <w:r>
        <w:rPr>
          <w:rFonts w:hint="default" w:ascii="黑体" w:hAnsi="黑体" w:eastAsia="黑体" w:cs="黑体"/>
          <w:color w:val="000000"/>
          <w:spacing w:val="6"/>
          <w:sz w:val="32"/>
          <w:szCs w:val="32"/>
        </w:rPr>
        <w:t>九</w:t>
      </w:r>
      <w:r>
        <w:rPr>
          <w:rFonts w:hint="eastAsia" w:ascii="黑体" w:hAnsi="黑体" w:eastAsia="黑体" w:cs="黑体"/>
          <w:color w:val="000000"/>
          <w:spacing w:val="6"/>
          <w:sz w:val="32"/>
          <w:szCs w:val="32"/>
        </w:rPr>
        <w:t>、</w:t>
      </w:r>
      <w:r>
        <w:rPr>
          <w:rFonts w:hint="default" w:ascii="黑体" w:hAnsi="黑体" w:eastAsia="黑体" w:cs="黑体"/>
          <w:color w:val="000000"/>
          <w:spacing w:val="6"/>
          <w:sz w:val="32"/>
          <w:szCs w:val="32"/>
        </w:rPr>
        <w:t>保障措施</w:t>
      </w:r>
    </w:p>
    <w:p w14:paraId="7CBEFF17">
      <w:pPr>
        <w:keepNext w:val="0"/>
        <w:keepLines w:val="0"/>
        <w:pageBreakBefore w:val="0"/>
        <w:widowControl w:val="0"/>
        <w:kinsoku/>
        <w:wordWrap/>
        <w:overflowPunct w:val="0"/>
        <w:topLinePunct w:val="0"/>
        <w:autoSpaceDE/>
        <w:autoSpaceDN/>
        <w:bidi w:val="0"/>
        <w:adjustRightInd/>
        <w:snapToGrid/>
        <w:spacing w:line="566"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一</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加强组织领导</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全面夯实责任</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将集体林权制度改革纳入林长制工作范围</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实行县</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乡</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村三级林长分包责任制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林业部门要加强统筹协调</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建立定期报告制度</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财政部门要将深化集体林权改革工作经费纳入年度财政预算</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lang w:eastAsia="zh-CN"/>
        </w:rPr>
        <w:t>全力</w:t>
      </w:r>
      <w:r>
        <w:rPr>
          <w:rFonts w:hint="default" w:ascii="Times New Roman" w:hAnsi="Times New Roman" w:eastAsia="仿宋_GB2312" w:cs="Times New Roman"/>
          <w:color w:val="000000"/>
          <w:spacing w:val="6"/>
          <w:sz w:val="32"/>
          <w:szCs w:val="32"/>
        </w:rPr>
        <w:t>保障经费</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县直相关部门</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各乡镇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街道</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要按照职责分工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加强沟通协作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合力推进改革</w:t>
      </w:r>
      <w:r>
        <w:rPr>
          <w:rFonts w:hint="default" w:ascii="Times New Roman" w:hAnsi="Times New Roman" w:eastAsia="仿宋_GB2312" w:cs="Times New Roman"/>
          <w:color w:val="000000"/>
          <w:spacing w:val="6"/>
          <w:sz w:val="32"/>
          <w:szCs w:val="32"/>
          <w:lang w:eastAsia="zh-CN"/>
        </w:rPr>
        <w:t>工作</w:t>
      </w:r>
      <w:r>
        <w:rPr>
          <w:rFonts w:hint="eastAsia" w:ascii="Times New Roman" w:hAnsi="Times New Roman" w:eastAsia="仿宋_GB2312" w:cs="Times New Roman"/>
          <w:color w:val="000000"/>
          <w:spacing w:val="6"/>
          <w:sz w:val="32"/>
          <w:szCs w:val="32"/>
        </w:rPr>
        <w:t>。</w:t>
      </w:r>
    </w:p>
    <w:p w14:paraId="41D9A47D">
      <w:pPr>
        <w:keepNext w:val="0"/>
        <w:keepLines w:val="0"/>
        <w:pageBreakBefore w:val="0"/>
        <w:widowControl w:val="0"/>
        <w:kinsoku/>
        <w:wordWrap/>
        <w:overflowPunct w:val="0"/>
        <w:topLinePunct w:val="0"/>
        <w:autoSpaceDE/>
        <w:autoSpaceDN/>
        <w:bidi w:val="0"/>
        <w:adjustRightInd/>
        <w:snapToGrid/>
        <w:spacing w:line="566"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二</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广泛开展宣传</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积极营造氛围</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各乡镇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街道</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要会同林业部门采取发放宣传单</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张贴宣传标语等形式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利用广播电视</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伊川融媒</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微信等网络平台广泛宣传改革政策</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提升改革工作知晓率和村民参与率</w:t>
      </w:r>
      <w:r>
        <w:rPr>
          <w:rFonts w:hint="eastAsia" w:ascii="Times New Roman" w:hAnsi="Times New Roman" w:eastAsia="仿宋_GB2312" w:cs="Times New Roman"/>
          <w:color w:val="000000"/>
          <w:spacing w:val="6"/>
          <w:sz w:val="32"/>
          <w:szCs w:val="32"/>
        </w:rPr>
        <w:t>。</w:t>
      </w:r>
    </w:p>
    <w:p w14:paraId="78A754DD">
      <w:pPr>
        <w:keepNext w:val="0"/>
        <w:keepLines w:val="0"/>
        <w:pageBreakBefore w:val="0"/>
        <w:widowControl w:val="0"/>
        <w:kinsoku/>
        <w:wordWrap/>
        <w:overflowPunct w:val="0"/>
        <w:topLinePunct w:val="0"/>
        <w:autoSpaceDE/>
        <w:autoSpaceDN/>
        <w:bidi w:val="0"/>
        <w:adjustRightInd/>
        <w:snapToGrid/>
        <w:spacing w:line="572" w:lineRule="exact"/>
        <w:ind w:firstLine="664" w:firstLineChars="200"/>
        <w:jc w:val="both"/>
        <w:textAlignment w:val="auto"/>
        <w:rPr>
          <w:rFonts w:hint="eastAsia" w:ascii="Times New Roman" w:hAnsi="Times New Roman" w:eastAsia="仿宋_GB2312" w:cs="Times New Roman"/>
          <w:color w:val="000000"/>
          <w:spacing w:val="6"/>
          <w:sz w:val="32"/>
          <w:szCs w:val="32"/>
        </w:rPr>
      </w:pP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三</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加强队伍建设</w:t>
      </w:r>
      <w:r>
        <w:rPr>
          <w:rFonts w:hint="eastAsia" w:ascii="楷体_GB2312" w:hAnsi="楷体_GB2312" w:eastAsia="楷体_GB2312" w:cs="楷体_GB2312"/>
          <w:color w:val="000000"/>
          <w:spacing w:val="6"/>
          <w:sz w:val="32"/>
          <w:szCs w:val="32"/>
        </w:rPr>
        <w:t>，</w:t>
      </w:r>
      <w:r>
        <w:rPr>
          <w:rFonts w:hint="default" w:ascii="楷体_GB2312" w:hAnsi="楷体_GB2312" w:eastAsia="楷体_GB2312" w:cs="楷体_GB2312"/>
          <w:color w:val="000000"/>
          <w:spacing w:val="6"/>
          <w:sz w:val="32"/>
          <w:szCs w:val="32"/>
        </w:rPr>
        <w:t>确保改革成效</w:t>
      </w:r>
      <w:r>
        <w:rPr>
          <w:rFonts w:hint="eastAsia" w:ascii="楷体_GB2312" w:hAnsi="楷体_GB2312" w:eastAsia="楷体_GB2312" w:cs="楷体_GB2312"/>
          <w:color w:val="000000"/>
          <w:spacing w:val="6"/>
          <w:sz w:val="32"/>
          <w:szCs w:val="32"/>
        </w:rPr>
        <w:t>。</w:t>
      </w:r>
      <w:r>
        <w:rPr>
          <w:rFonts w:hint="default" w:ascii="Times New Roman" w:hAnsi="Times New Roman" w:eastAsia="仿宋_GB2312" w:cs="Times New Roman"/>
          <w:color w:val="000000"/>
          <w:spacing w:val="6"/>
          <w:sz w:val="32"/>
          <w:szCs w:val="32"/>
        </w:rPr>
        <w:t>统筹使用编制资源</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适当增加林业专业技术岗位</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强化林业主管部门行政执法职责</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健全林业执法队伍</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加强执法力量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加强基层林业工作力量</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各乡镇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街道</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要明确相关机构承担林业工作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每个乡镇</w:t>
      </w:r>
      <w:r>
        <w:rPr>
          <w:rFonts w:hint="eastAsia" w:ascii="Times New Roman" w:hAnsi="Times New Roman" w:eastAsia="仿宋_GB2312" w:cs="Times New Roman"/>
          <w:color w:val="000000"/>
          <w:spacing w:val="6"/>
          <w:sz w:val="32"/>
          <w:szCs w:val="32"/>
          <w:lang w:eastAsia="zh-CN"/>
        </w:rPr>
        <w:t>（</w:t>
      </w:r>
      <w:r>
        <w:rPr>
          <w:rFonts w:hint="default" w:ascii="Times New Roman" w:hAnsi="Times New Roman" w:eastAsia="仿宋_GB2312" w:cs="Times New Roman"/>
          <w:color w:val="000000"/>
          <w:spacing w:val="6"/>
          <w:sz w:val="32"/>
          <w:szCs w:val="32"/>
        </w:rPr>
        <w:t>街道</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明确人员负责林业工作</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加强行政执法与刑事司法衔接</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依法严厉打击破坏森林资源的违法犯罪行为</w:t>
      </w:r>
      <w:r>
        <w:rPr>
          <w:rFonts w:hint="eastAsia" w:ascii="Times New Roman" w:hAnsi="Times New Roman" w:eastAsia="仿宋_GB2312" w:cs="Times New Roman"/>
          <w:color w:val="000000"/>
          <w:spacing w:val="6"/>
          <w:sz w:val="32"/>
          <w:szCs w:val="32"/>
        </w:rPr>
        <w:t>。</w:t>
      </w:r>
    </w:p>
    <w:p w14:paraId="7E0939FE">
      <w:pPr>
        <w:pStyle w:val="2"/>
        <w:keepNext w:val="0"/>
        <w:keepLines w:val="0"/>
        <w:pageBreakBefore w:val="0"/>
        <w:widowControl w:val="0"/>
        <w:kinsoku/>
        <w:wordWrap/>
        <w:overflowPunct w:val="0"/>
        <w:topLinePunct w:val="0"/>
        <w:autoSpaceDE/>
        <w:autoSpaceDN/>
        <w:bidi w:val="0"/>
        <w:adjustRightInd/>
        <w:snapToGrid/>
        <w:spacing w:after="0"/>
        <w:textAlignment w:val="auto"/>
        <w:rPr>
          <w:rFonts w:hint="default"/>
        </w:rPr>
      </w:pPr>
    </w:p>
    <w:p w14:paraId="57D29B76">
      <w:pPr>
        <w:keepNext w:val="0"/>
        <w:keepLines w:val="0"/>
        <w:pageBreakBefore w:val="0"/>
        <w:widowControl w:val="0"/>
        <w:kinsoku/>
        <w:wordWrap/>
        <w:overflowPunct w:val="0"/>
        <w:topLinePunct w:val="0"/>
        <w:autoSpaceDE/>
        <w:autoSpaceDN/>
        <w:bidi w:val="0"/>
        <w:adjustRightInd/>
        <w:snapToGrid/>
        <w:spacing w:line="572" w:lineRule="exact"/>
        <w:ind w:firstLine="664" w:firstLineChars="200"/>
        <w:jc w:val="both"/>
        <w:textAlignment w:val="auto"/>
        <w:rPr>
          <w:rFonts w:hint="default" w:ascii="Times New Roman" w:hAnsi="Times New Roman" w:eastAsia="仿宋_GB2312" w:cs="Times New Roman"/>
          <w:color w:val="000000"/>
          <w:spacing w:val="6"/>
          <w:sz w:val="32"/>
          <w:szCs w:val="32"/>
        </w:rPr>
      </w:pPr>
      <w:r>
        <w:rPr>
          <w:rFonts w:hint="default" w:ascii="Times New Roman" w:hAnsi="Times New Roman" w:eastAsia="仿宋_GB2312" w:cs="Times New Roman"/>
          <w:color w:val="000000"/>
          <w:spacing w:val="6"/>
          <w:sz w:val="32"/>
          <w:szCs w:val="32"/>
        </w:rPr>
        <w:t>附件</w:t>
      </w:r>
      <w:r>
        <w:rPr>
          <w:rFonts w:hint="eastAsia" w:ascii="Times New Roman" w:hAnsi="Times New Roman" w:eastAsia="仿宋_GB2312" w:cs="Times New Roman"/>
          <w:color w:val="000000"/>
          <w:spacing w:val="6"/>
          <w:sz w:val="32"/>
          <w:szCs w:val="32"/>
        </w:rPr>
        <w:t>：</w:t>
      </w:r>
      <w:r>
        <w:rPr>
          <w:rFonts w:hint="default" w:ascii="Times New Roman" w:hAnsi="Times New Roman" w:eastAsia="仿宋_GB2312" w:cs="Times New Roman"/>
          <w:color w:val="000000"/>
          <w:spacing w:val="6"/>
          <w:sz w:val="32"/>
          <w:szCs w:val="32"/>
        </w:rPr>
        <w:t>伊川县深化集体林权制度改革任务分解表</w:t>
      </w:r>
    </w:p>
    <w:p w14:paraId="4A150B13">
      <w:pPr>
        <w:rPr>
          <w:rFonts w:hint="eastAsia"/>
          <w:lang w:val="en-US"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p>
    <w:p w14:paraId="73711E7E">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黑体" w:cs="Times New Roman"/>
          <w:color w:val="000000"/>
          <w:spacing w:val="6"/>
          <w:sz w:val="32"/>
          <w:szCs w:val="32"/>
        </w:rPr>
      </w:pPr>
      <w:r>
        <w:rPr>
          <w:rFonts w:hint="default" w:ascii="Times New Roman" w:hAnsi="Times New Roman" w:eastAsia="黑体" w:cs="Times New Roman"/>
          <w:color w:val="000000"/>
          <w:spacing w:val="6"/>
          <w:sz w:val="32"/>
          <w:szCs w:val="32"/>
        </w:rPr>
        <w:t>附</w:t>
      </w:r>
      <w:r>
        <w:rPr>
          <w:rFonts w:hint="default" w:ascii="Times New Roman" w:hAnsi="Times New Roman" w:eastAsia="黑体" w:cs="Times New Roman"/>
          <w:color w:val="000000"/>
          <w:spacing w:val="6"/>
          <w:sz w:val="32"/>
          <w:szCs w:val="32"/>
          <w:lang w:val="en-US" w:eastAsia="zh-CN"/>
        </w:rPr>
        <w:t xml:space="preserve">  </w:t>
      </w:r>
      <w:r>
        <w:rPr>
          <w:rFonts w:hint="default" w:ascii="Times New Roman" w:hAnsi="Times New Roman" w:eastAsia="黑体" w:cs="Times New Roman"/>
          <w:color w:val="000000"/>
          <w:spacing w:val="6"/>
          <w:sz w:val="32"/>
          <w:szCs w:val="32"/>
        </w:rPr>
        <w:t>件</w:t>
      </w:r>
    </w:p>
    <w:p w14:paraId="7B8FA674">
      <w:pPr>
        <w:pStyle w:val="2"/>
        <w:keepNext w:val="0"/>
        <w:keepLines w:val="0"/>
        <w:pageBreakBefore w:val="0"/>
        <w:widowControl w:val="0"/>
        <w:kinsoku/>
        <w:wordWrap/>
        <w:overflowPunct/>
        <w:topLinePunct w:val="0"/>
        <w:autoSpaceDE/>
        <w:autoSpaceDN/>
        <w:bidi w:val="0"/>
        <w:adjustRightInd/>
        <w:snapToGrid/>
        <w:spacing w:after="0" w:line="300" w:lineRule="exact"/>
        <w:textAlignment w:val="auto"/>
        <w:rPr>
          <w:rFonts w:hint="default" w:ascii="Times New Roman" w:hAnsi="Times New Roman" w:cs="Times New Roman"/>
          <w:color w:val="000000"/>
        </w:rPr>
      </w:pPr>
    </w:p>
    <w:p w14:paraId="52BD693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spacing w:val="6"/>
          <w:sz w:val="44"/>
          <w:szCs w:val="44"/>
        </w:rPr>
      </w:pPr>
      <w:r>
        <w:rPr>
          <w:rFonts w:hint="default" w:ascii="Times New Roman" w:hAnsi="Times New Roman" w:eastAsia="方正小标宋简体" w:cs="Times New Roman"/>
          <w:color w:val="000000"/>
          <w:spacing w:val="6"/>
          <w:sz w:val="44"/>
          <w:szCs w:val="44"/>
        </w:rPr>
        <w:t>伊川县深化集体林权制度改革任务分解表</w:t>
      </w:r>
    </w:p>
    <w:p w14:paraId="44379700">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cs="Times New Roman"/>
          <w:color w:val="000000"/>
        </w:rPr>
      </w:pPr>
    </w:p>
    <w:tbl>
      <w:tblPr>
        <w:tblStyle w:val="16"/>
        <w:tblW w:w="157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1"/>
        <w:gridCol w:w="1955"/>
        <w:gridCol w:w="6454"/>
        <w:gridCol w:w="3380"/>
        <w:gridCol w:w="1140"/>
        <w:gridCol w:w="2146"/>
      </w:tblGrid>
      <w:tr w14:paraId="39C17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top"/>
          </w:tcPr>
          <w:p w14:paraId="7E81E47B">
            <w:pPr>
              <w:pStyle w:val="30"/>
              <w:keepNext w:val="0"/>
              <w:keepLines w:val="0"/>
              <w:pageBreakBefore w:val="0"/>
              <w:kinsoku/>
              <w:wordWrap/>
              <w:overflowPunct/>
              <w:topLinePunct w:val="0"/>
              <w:autoSpaceDE/>
              <w:autoSpaceDN/>
              <w:bidi w:val="0"/>
              <w:adjustRightInd/>
              <w:snapToGrid/>
              <w:spacing w:line="520" w:lineRule="exact"/>
              <w:ind w:left="30" w:firstLine="120" w:firstLineChars="50"/>
              <w:jc w:val="both"/>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序号</w:t>
            </w:r>
          </w:p>
        </w:tc>
        <w:tc>
          <w:tcPr>
            <w:tcW w:w="1955" w:type="dxa"/>
            <w:tcBorders>
              <w:top w:val="single" w:color="000000" w:sz="4" w:space="0"/>
              <w:left w:val="single" w:color="000000" w:sz="4" w:space="0"/>
              <w:bottom w:val="single" w:color="000000" w:sz="4" w:space="0"/>
              <w:right w:val="single" w:color="000000" w:sz="4" w:space="0"/>
            </w:tcBorders>
            <w:noWrap w:val="0"/>
            <w:vAlign w:val="top"/>
          </w:tcPr>
          <w:p w14:paraId="11809A1F">
            <w:pPr>
              <w:pStyle w:val="30"/>
              <w:keepNext w:val="0"/>
              <w:keepLines w:val="0"/>
              <w:pageBreakBefore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改革举措</w:t>
            </w:r>
          </w:p>
        </w:tc>
        <w:tc>
          <w:tcPr>
            <w:tcW w:w="6454" w:type="dxa"/>
            <w:tcBorders>
              <w:top w:val="single" w:color="000000" w:sz="4" w:space="0"/>
              <w:left w:val="single" w:color="000000" w:sz="4" w:space="0"/>
              <w:bottom w:val="single" w:color="000000" w:sz="4" w:space="0"/>
              <w:right w:val="single" w:color="000000" w:sz="4" w:space="0"/>
            </w:tcBorders>
            <w:noWrap w:val="0"/>
            <w:vAlign w:val="top"/>
          </w:tcPr>
          <w:p w14:paraId="5E0A04B1">
            <w:pPr>
              <w:pStyle w:val="30"/>
              <w:keepNext w:val="0"/>
              <w:keepLines w:val="0"/>
              <w:pageBreakBefore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实施主要内容</w:t>
            </w:r>
          </w:p>
        </w:tc>
        <w:tc>
          <w:tcPr>
            <w:tcW w:w="3380" w:type="dxa"/>
            <w:tcBorders>
              <w:top w:val="single" w:color="000000" w:sz="4" w:space="0"/>
              <w:left w:val="single" w:color="000000" w:sz="4" w:space="0"/>
              <w:bottom w:val="single" w:color="000000" w:sz="4" w:space="0"/>
              <w:right w:val="single" w:color="000000" w:sz="4" w:space="0"/>
            </w:tcBorders>
            <w:noWrap w:val="0"/>
            <w:vAlign w:val="top"/>
          </w:tcPr>
          <w:p w14:paraId="0CA84A1F">
            <w:pPr>
              <w:pStyle w:val="30"/>
              <w:keepNext w:val="0"/>
              <w:keepLines w:val="0"/>
              <w:pageBreakBefore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时间进度</w:t>
            </w:r>
          </w:p>
        </w:tc>
        <w:tc>
          <w:tcPr>
            <w:tcW w:w="1140" w:type="dxa"/>
            <w:tcBorders>
              <w:top w:val="single" w:color="000000" w:sz="4" w:space="0"/>
              <w:left w:val="single" w:color="000000" w:sz="4" w:space="0"/>
              <w:bottom w:val="single" w:color="000000" w:sz="4" w:space="0"/>
              <w:right w:val="single" w:color="000000" w:sz="4" w:space="0"/>
            </w:tcBorders>
            <w:noWrap w:val="0"/>
            <w:vAlign w:val="top"/>
          </w:tcPr>
          <w:p w14:paraId="0AC91448">
            <w:pPr>
              <w:pStyle w:val="30"/>
              <w:keepNext w:val="0"/>
              <w:keepLines w:val="0"/>
              <w:pageBreakBefore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承担单位</w:t>
            </w:r>
          </w:p>
        </w:tc>
        <w:tc>
          <w:tcPr>
            <w:tcW w:w="2146" w:type="dxa"/>
            <w:tcBorders>
              <w:top w:val="single" w:color="000000" w:sz="4" w:space="0"/>
              <w:left w:val="single" w:color="000000" w:sz="4" w:space="0"/>
              <w:bottom w:val="single" w:color="000000" w:sz="4" w:space="0"/>
              <w:right w:val="single" w:color="000000" w:sz="4" w:space="0"/>
            </w:tcBorders>
            <w:noWrap w:val="0"/>
            <w:vAlign w:val="top"/>
          </w:tcPr>
          <w:p w14:paraId="73CBCD74">
            <w:pPr>
              <w:pStyle w:val="30"/>
              <w:keepNext w:val="0"/>
              <w:keepLines w:val="0"/>
              <w:pageBreakBefore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黑体" w:cs="Times New Roman"/>
                <w:color w:val="000000"/>
                <w:spacing w:val="0"/>
                <w:kern w:val="2"/>
                <w:sz w:val="24"/>
                <w:szCs w:val="24"/>
              </w:rPr>
            </w:pPr>
            <w:r>
              <w:rPr>
                <w:rFonts w:hint="default" w:ascii="Times New Roman" w:hAnsi="Times New Roman" w:eastAsia="黑体" w:cs="Times New Roman"/>
                <w:color w:val="000000"/>
                <w:spacing w:val="0"/>
                <w:kern w:val="2"/>
                <w:sz w:val="24"/>
                <w:szCs w:val="24"/>
              </w:rPr>
              <w:t>指导单位</w:t>
            </w:r>
          </w:p>
        </w:tc>
      </w:tr>
      <w:tr w14:paraId="795BC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5"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06A20FA9">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1</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7FC2B97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推进</w:t>
            </w: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lang w:eastAsia="zh-CN"/>
              </w:rPr>
              <w:t>三权</w:t>
            </w: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lang w:eastAsia="zh-CN"/>
              </w:rPr>
              <w:t>分置</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2CD7F06B">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1.对家庭承包剩余期限10年以内的林地</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开展延包</w:t>
            </w:r>
            <w:r>
              <w:rPr>
                <w:rFonts w:hint="eastAsia" w:ascii="Times New Roman" w:hAnsi="Times New Roman" w:eastAsia="仿宋_GB2312" w:cs="Times New Roman"/>
                <w:color w:val="000000"/>
                <w:spacing w:val="0"/>
                <w:kern w:val="2"/>
                <w:sz w:val="24"/>
                <w:szCs w:val="24"/>
                <w:lang w:eastAsia="zh-CN"/>
              </w:rPr>
              <w:t>；</w:t>
            </w:r>
          </w:p>
          <w:p w14:paraId="13DDE3E7">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2.规范集体林权流转</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推广使用集体林地流转合同示范文本</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引导流转期限5年以上的林地经营权申请登记发证</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550B01E3">
            <w:pPr>
              <w:pStyle w:val="30"/>
              <w:keepNext w:val="0"/>
              <w:keepLines w:val="0"/>
              <w:pageBreakBefore w:val="0"/>
              <w:widowControl/>
              <w:kinsoku/>
              <w:wordWrap/>
              <w:overflowPunct/>
              <w:topLinePunct w:val="0"/>
              <w:autoSpaceDE/>
              <w:autoSpaceDN/>
              <w:bidi w:val="0"/>
              <w:adjustRightInd/>
              <w:snapToGrid/>
              <w:spacing w:line="520" w:lineRule="exact"/>
              <w:ind w:right="80"/>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2025年年底前完成基础工作</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2026年持续推进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202C056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06CE2929">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7AE1668C">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自然资源局</w:t>
            </w:r>
            <w:r>
              <w:rPr>
                <w:rFonts w:hint="eastAsia" w:ascii="Times New Roman" w:hAnsi="Times New Roman" w:eastAsia="仿宋_GB2312" w:cs="Times New Roman"/>
                <w:color w:val="000000"/>
                <w:spacing w:val="0"/>
                <w:kern w:val="2"/>
                <w:sz w:val="24"/>
                <w:szCs w:val="24"/>
                <w:lang w:eastAsia="zh-CN"/>
              </w:rPr>
              <w:t>、</w:t>
            </w:r>
          </w:p>
          <w:p w14:paraId="1B3435D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林业局</w:t>
            </w:r>
          </w:p>
        </w:tc>
      </w:tr>
      <w:tr w14:paraId="0D2D5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0"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230AF54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5074CAA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发展适度规模经营</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61612AF9">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1.培育各类经营主体</w:t>
            </w:r>
            <w:r>
              <w:rPr>
                <w:rFonts w:hint="eastAsia" w:ascii="Times New Roman" w:hAnsi="Times New Roman" w:eastAsia="仿宋_GB2312" w:cs="Times New Roman"/>
                <w:color w:val="000000"/>
                <w:spacing w:val="0"/>
                <w:kern w:val="2"/>
                <w:sz w:val="24"/>
                <w:szCs w:val="24"/>
                <w:lang w:eastAsia="zh-CN"/>
              </w:rPr>
              <w:t>；</w:t>
            </w:r>
          </w:p>
          <w:p w14:paraId="5760B2F0">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2.创新推广</w:t>
            </w: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rPr>
              <w:t>企业+村集体</w:t>
            </w: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rPr>
              <w:t>合作社+农户</w:t>
            </w: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rPr>
              <w:t>等联农带农模式</w:t>
            </w:r>
            <w:r>
              <w:rPr>
                <w:rFonts w:hint="eastAsia" w:ascii="Times New Roman" w:hAnsi="Times New Roman" w:eastAsia="仿宋_GB2312" w:cs="Times New Roman"/>
                <w:color w:val="000000"/>
                <w:spacing w:val="0"/>
                <w:kern w:val="2"/>
                <w:sz w:val="24"/>
                <w:szCs w:val="24"/>
                <w:lang w:eastAsia="zh-CN"/>
              </w:rPr>
              <w:t>；</w:t>
            </w:r>
          </w:p>
          <w:p w14:paraId="0A4283D8">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3.支持农村集体经济组织领办合作社</w:t>
            </w:r>
            <w:r>
              <w:rPr>
                <w:rFonts w:hint="eastAsia" w:ascii="Times New Roman" w:hAnsi="Times New Roman" w:eastAsia="仿宋_GB2312" w:cs="Times New Roman"/>
                <w:color w:val="000000"/>
                <w:spacing w:val="0"/>
                <w:kern w:val="2"/>
                <w:sz w:val="24"/>
                <w:szCs w:val="24"/>
                <w:lang w:eastAsia="zh-CN"/>
              </w:rPr>
              <w:t>；</w:t>
            </w:r>
          </w:p>
          <w:p w14:paraId="42578D0D">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4.支持集体林地经营权进入公共资源交易平台</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农村产权交易平台进行交易</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653FB0D4">
            <w:pPr>
              <w:pStyle w:val="30"/>
              <w:keepNext w:val="0"/>
              <w:keepLines w:val="0"/>
              <w:pageBreakBefore w:val="0"/>
              <w:widowControl/>
              <w:kinsoku/>
              <w:wordWrap/>
              <w:overflowPunct/>
              <w:topLinePunct w:val="0"/>
              <w:autoSpaceDE/>
              <w:autoSpaceDN/>
              <w:bidi w:val="0"/>
              <w:adjustRightInd/>
              <w:snapToGrid/>
              <w:spacing w:line="520" w:lineRule="exact"/>
              <w:ind w:right="75"/>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61A82A21">
            <w:pPr>
              <w:pStyle w:val="30"/>
              <w:keepNext w:val="0"/>
              <w:keepLines w:val="0"/>
              <w:pageBreakBefore w:val="0"/>
              <w:widowControl/>
              <w:kinsoku/>
              <w:wordWrap/>
              <w:overflowPunct/>
              <w:topLinePunct w:val="0"/>
              <w:autoSpaceDE/>
              <w:autoSpaceDN/>
              <w:bidi w:val="0"/>
              <w:adjustRightInd/>
              <w:snapToGrid/>
              <w:spacing w:line="520" w:lineRule="exact"/>
              <w:ind w:right="75"/>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31A370D9">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6D29F99C">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6CE8C2BF">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5A05522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农业农村局</w:t>
            </w:r>
            <w:r>
              <w:rPr>
                <w:rFonts w:hint="eastAsia" w:ascii="Times New Roman" w:hAnsi="Times New Roman" w:eastAsia="仿宋_GB2312" w:cs="Times New Roman"/>
                <w:color w:val="000000"/>
                <w:spacing w:val="0"/>
                <w:kern w:val="2"/>
                <w:sz w:val="24"/>
                <w:szCs w:val="24"/>
                <w:lang w:eastAsia="zh-CN"/>
              </w:rPr>
              <w:t>、</w:t>
            </w:r>
          </w:p>
          <w:p w14:paraId="5A2752D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市场监管局</w:t>
            </w:r>
            <w:r>
              <w:rPr>
                <w:rFonts w:hint="eastAsia" w:ascii="Times New Roman" w:hAnsi="Times New Roman" w:eastAsia="仿宋_GB2312" w:cs="Times New Roman"/>
                <w:color w:val="000000"/>
                <w:spacing w:val="0"/>
                <w:kern w:val="2"/>
                <w:sz w:val="24"/>
                <w:szCs w:val="24"/>
                <w:lang w:eastAsia="zh-CN"/>
              </w:rPr>
              <w:t>、</w:t>
            </w:r>
          </w:p>
          <w:p w14:paraId="094A4E83">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公共资源交易中心</w:t>
            </w:r>
          </w:p>
        </w:tc>
      </w:tr>
      <w:tr w14:paraId="563F6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5"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6FCDA2E1">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3</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1B8136F5">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科学开展森林经营</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55094193">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1.结合第二次森林资源普查数据</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探索推进规模经营集体林编制森林经营方案</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加强编制森林经营方案的技术指导</w:t>
            </w:r>
            <w:r>
              <w:rPr>
                <w:rFonts w:hint="eastAsia" w:ascii="Times New Roman" w:hAnsi="Times New Roman" w:eastAsia="仿宋_GB2312" w:cs="Times New Roman"/>
                <w:color w:val="000000"/>
                <w:spacing w:val="0"/>
                <w:kern w:val="2"/>
                <w:sz w:val="24"/>
                <w:szCs w:val="24"/>
                <w:lang w:eastAsia="zh-CN"/>
              </w:rPr>
              <w:t>；</w:t>
            </w:r>
          </w:p>
          <w:p w14:paraId="50ECF4D2">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2.开展集体林森林可持续经营探索工作</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逐步扩大实施范围</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65CD82BD">
            <w:pPr>
              <w:pStyle w:val="30"/>
              <w:keepNext w:val="0"/>
              <w:keepLines w:val="0"/>
              <w:pageBreakBefore w:val="0"/>
              <w:widowControl/>
              <w:kinsoku/>
              <w:wordWrap/>
              <w:overflowPunct/>
              <w:topLinePunct w:val="0"/>
              <w:autoSpaceDE/>
              <w:autoSpaceDN/>
              <w:bidi w:val="0"/>
              <w:adjustRightInd/>
              <w:snapToGrid/>
              <w:spacing w:line="520" w:lineRule="exact"/>
              <w:ind w:right="75"/>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6863F6F4">
            <w:pPr>
              <w:pStyle w:val="30"/>
              <w:keepNext w:val="0"/>
              <w:keepLines w:val="0"/>
              <w:pageBreakBefore w:val="0"/>
              <w:widowControl/>
              <w:kinsoku/>
              <w:wordWrap/>
              <w:overflowPunct/>
              <w:topLinePunct w:val="0"/>
              <w:autoSpaceDE/>
              <w:autoSpaceDN/>
              <w:bidi w:val="0"/>
              <w:adjustRightInd/>
              <w:snapToGrid/>
              <w:spacing w:line="520" w:lineRule="exact"/>
              <w:ind w:right="75"/>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7D862C88">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4F85F786">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242C9008">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10735ADF">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财政局</w:t>
            </w:r>
          </w:p>
        </w:tc>
      </w:tr>
      <w:tr w14:paraId="2DF95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0"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0C62B37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4</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0DCB39D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创新集体林</w:t>
            </w:r>
          </w:p>
          <w:p w14:paraId="4A0B6F21">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采伐制度</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1848654C">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1.科学确定采伐限额</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可跨年度调节使用</w:t>
            </w:r>
            <w:r>
              <w:rPr>
                <w:rFonts w:hint="eastAsia" w:ascii="Times New Roman" w:hAnsi="Times New Roman" w:eastAsia="仿宋_GB2312" w:cs="Times New Roman"/>
                <w:color w:val="000000"/>
                <w:spacing w:val="0"/>
                <w:kern w:val="2"/>
                <w:sz w:val="24"/>
                <w:szCs w:val="24"/>
                <w:lang w:eastAsia="zh-CN"/>
              </w:rPr>
              <w:t>；</w:t>
            </w:r>
          </w:p>
          <w:p w14:paraId="5A8D1DE2">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2.根据省</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市确定的时间节点</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取消人工商品林主伐年龄限制</w:t>
            </w:r>
            <w:r>
              <w:rPr>
                <w:rFonts w:hint="eastAsia" w:ascii="Times New Roman" w:hAnsi="Times New Roman" w:eastAsia="仿宋_GB2312" w:cs="Times New Roman"/>
                <w:color w:val="000000"/>
                <w:spacing w:val="0"/>
                <w:kern w:val="2"/>
                <w:sz w:val="24"/>
                <w:szCs w:val="24"/>
                <w:lang w:eastAsia="zh-CN"/>
              </w:rPr>
              <w:t>；</w:t>
            </w:r>
          </w:p>
          <w:p w14:paraId="0E58A4E5">
            <w:pPr>
              <w:pStyle w:val="30"/>
              <w:keepNext w:val="0"/>
              <w:keepLines w:val="0"/>
              <w:pageBreakBefore w:val="0"/>
              <w:widowControl w:val="0"/>
              <w:kinsoku/>
              <w:wordWrap/>
              <w:overflowPunct/>
              <w:topLinePunct w:val="0"/>
              <w:autoSpaceDE/>
              <w:autoSpaceDN/>
              <w:bidi w:val="0"/>
              <w:adjustRightInd/>
              <w:snapToGrid/>
              <w:spacing w:line="520" w:lineRule="exact"/>
              <w:ind w:right="93"/>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3.对林农个人申请采伐人工商品林蓄积不超过15立方米或者面积不超过2亩的</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取消伐前查验</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公示等程序</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实行告知承诺制审批</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30DF8AF8">
            <w:pPr>
              <w:pStyle w:val="30"/>
              <w:keepNext w:val="0"/>
              <w:keepLines w:val="0"/>
              <w:pageBreakBefore w:val="0"/>
              <w:widowControl/>
              <w:kinsoku/>
              <w:wordWrap/>
              <w:overflowPunct/>
              <w:topLinePunct w:val="0"/>
              <w:autoSpaceDE/>
              <w:autoSpaceDN/>
              <w:bidi w:val="0"/>
              <w:adjustRightInd/>
              <w:snapToGrid/>
              <w:spacing w:line="520" w:lineRule="exact"/>
              <w:ind w:right="80"/>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2025年年底前完成基础工作</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2026年持续推进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4862C13C">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7DC8D33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48F27F2F">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06E92ED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林业局</w:t>
            </w:r>
          </w:p>
        </w:tc>
      </w:tr>
      <w:tr w14:paraId="13AC7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0"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7E733D33">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5</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3F7EE84F">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发展绿色富民产业</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3D71B58F">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1.实施一批林木良种苗木培育项目</w:t>
            </w:r>
            <w:r>
              <w:rPr>
                <w:rFonts w:hint="eastAsia" w:ascii="Times New Roman" w:hAnsi="Times New Roman" w:eastAsia="仿宋_GB2312" w:cs="Times New Roman"/>
                <w:color w:val="000000"/>
                <w:spacing w:val="0"/>
                <w:kern w:val="2"/>
                <w:sz w:val="24"/>
                <w:szCs w:val="24"/>
                <w:lang w:eastAsia="zh-CN"/>
              </w:rPr>
              <w:t>；</w:t>
            </w:r>
          </w:p>
          <w:p w14:paraId="55652BA0">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2.推广林药</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林菌</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林草培育及加工利用技术</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争取财政推广示范项目</w:t>
            </w:r>
            <w:r>
              <w:rPr>
                <w:rFonts w:hint="eastAsia" w:ascii="Times New Roman" w:hAnsi="Times New Roman" w:eastAsia="仿宋_GB2312" w:cs="Times New Roman"/>
                <w:color w:val="000000"/>
                <w:spacing w:val="0"/>
                <w:kern w:val="2"/>
                <w:sz w:val="24"/>
                <w:szCs w:val="24"/>
                <w:lang w:eastAsia="zh-CN"/>
              </w:rPr>
              <w:t>；</w:t>
            </w:r>
          </w:p>
          <w:p w14:paraId="1C4B6E06">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3.培育壮大主导产业</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开展林业产业园区建设</w:t>
            </w:r>
            <w:r>
              <w:rPr>
                <w:rFonts w:hint="eastAsia" w:ascii="Times New Roman" w:hAnsi="Times New Roman" w:eastAsia="仿宋_GB2312" w:cs="Times New Roman"/>
                <w:color w:val="000000"/>
                <w:spacing w:val="0"/>
                <w:kern w:val="2"/>
                <w:sz w:val="24"/>
                <w:szCs w:val="24"/>
                <w:lang w:eastAsia="zh-CN"/>
              </w:rPr>
              <w:t>；</w:t>
            </w:r>
          </w:p>
          <w:p w14:paraId="349EF1CA">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4.持续培育壮大一批林业重点龙头企业</w:t>
            </w:r>
            <w:r>
              <w:rPr>
                <w:rFonts w:hint="eastAsia" w:ascii="Times New Roman" w:hAnsi="Times New Roman" w:eastAsia="仿宋_GB2312" w:cs="Times New Roman"/>
                <w:color w:val="000000"/>
                <w:spacing w:val="0"/>
                <w:kern w:val="2"/>
                <w:sz w:val="24"/>
                <w:szCs w:val="24"/>
                <w:lang w:eastAsia="zh-CN"/>
              </w:rPr>
              <w:t>；</w:t>
            </w:r>
          </w:p>
          <w:p w14:paraId="0F05A584">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5.开展森林生态产品推介</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250567D7">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2360E462">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 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70511B58">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3060FBE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1A7016BB">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3CD7F893">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shd w:val="clear" w:color="auto" w:fill="FFFFFF"/>
              </w:rPr>
            </w:pPr>
            <w:r>
              <w:rPr>
                <w:rFonts w:hint="eastAsia" w:ascii="Times New Roman" w:hAnsi="Times New Roman" w:eastAsia="仿宋_GB2312" w:cs="Times New Roman"/>
                <w:color w:val="000000"/>
                <w:spacing w:val="0"/>
                <w:kern w:val="2"/>
                <w:sz w:val="24"/>
                <w:szCs w:val="24"/>
                <w:shd w:val="clear" w:color="auto" w:fill="FFFFFF"/>
                <w:lang w:eastAsia="zh-CN"/>
              </w:rPr>
              <w:t>发改委</w:t>
            </w:r>
            <w:r>
              <w:rPr>
                <w:rFonts w:hint="eastAsia" w:ascii="Times New Roman" w:hAnsi="Times New Roman" w:eastAsia="仿宋_GB2312" w:cs="Times New Roman"/>
                <w:color w:val="000000"/>
                <w:spacing w:val="0"/>
                <w:kern w:val="2"/>
                <w:sz w:val="24"/>
                <w:szCs w:val="24"/>
                <w:shd w:val="clear" w:color="auto" w:fill="FFFFFF"/>
              </w:rPr>
              <w:t>、</w:t>
            </w:r>
          </w:p>
          <w:p w14:paraId="683D694E">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shd w:val="clear" w:color="auto" w:fill="FFFFFF"/>
              </w:rPr>
              <w:t>文广旅</w:t>
            </w:r>
            <w:r>
              <w:rPr>
                <w:rFonts w:hint="eastAsia" w:ascii="Times New Roman" w:hAnsi="Times New Roman" w:eastAsia="仿宋_GB2312" w:cs="Times New Roman"/>
                <w:color w:val="000000"/>
                <w:spacing w:val="0"/>
                <w:kern w:val="2"/>
                <w:sz w:val="24"/>
                <w:szCs w:val="24"/>
                <w:shd w:val="clear" w:color="auto" w:fill="FFFFFF"/>
                <w:lang w:val="en-US" w:eastAsia="zh-CN"/>
              </w:rPr>
              <w:t>游</w:t>
            </w:r>
            <w:r>
              <w:rPr>
                <w:rFonts w:hint="default" w:ascii="Times New Roman" w:hAnsi="Times New Roman" w:eastAsia="仿宋_GB2312" w:cs="Times New Roman"/>
                <w:color w:val="000000"/>
                <w:spacing w:val="0"/>
                <w:kern w:val="2"/>
                <w:sz w:val="24"/>
                <w:szCs w:val="24"/>
                <w:shd w:val="clear" w:color="auto" w:fill="FFFFFF"/>
              </w:rPr>
              <w:t>局</w:t>
            </w:r>
          </w:p>
        </w:tc>
      </w:tr>
      <w:tr w14:paraId="194EE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5"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71DBD8F6">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6</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384352CC">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生态保护补偿</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5B3FA178">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1.合理优化公益林中集体林的比例</w:t>
            </w:r>
            <w:r>
              <w:rPr>
                <w:rFonts w:hint="eastAsia" w:ascii="Times New Roman" w:hAnsi="Times New Roman" w:eastAsia="仿宋_GB2312" w:cs="Times New Roman"/>
                <w:color w:val="000000"/>
                <w:spacing w:val="0"/>
                <w:kern w:val="2"/>
                <w:sz w:val="24"/>
                <w:szCs w:val="24"/>
                <w:lang w:eastAsia="zh-CN"/>
              </w:rPr>
              <w:t>；</w:t>
            </w:r>
          </w:p>
          <w:p w14:paraId="20848567">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strike/>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2.落实好森林生态效益补偿政策</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确保将补偿资金规范发放至林权权利人</w:t>
            </w:r>
            <w:r>
              <w:rPr>
                <w:rFonts w:hint="eastAsia" w:ascii="Times New Roman" w:hAnsi="Times New Roman" w:eastAsia="仿宋_GB2312" w:cs="Times New Roman"/>
                <w:color w:val="000000"/>
                <w:spacing w:val="0"/>
                <w:kern w:val="2"/>
                <w:sz w:val="24"/>
                <w:szCs w:val="24"/>
                <w:lang w:eastAsia="zh-CN"/>
              </w:rPr>
              <w:t>；</w:t>
            </w:r>
          </w:p>
          <w:p w14:paraId="3A7536AE">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3.科学稳妥开发林业碳汇项目</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2767E82E">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41B5B6D5">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2026年持续推进</w:t>
            </w:r>
            <w:r>
              <w:rPr>
                <w:rFonts w:hint="eastAsia" w:ascii="Times New Roman" w:hAnsi="Times New Roman" w:eastAsia="仿宋_GB2312" w:cs="Times New Roman"/>
                <w:color w:val="000000"/>
                <w:spacing w:val="0"/>
                <w:kern w:val="2"/>
                <w:sz w:val="24"/>
                <w:szCs w:val="24"/>
              </w:rPr>
              <w:t>。</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03CA191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06406EFD">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6FD67F9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42206773">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财政局</w:t>
            </w:r>
            <w:r>
              <w:rPr>
                <w:rFonts w:hint="eastAsia" w:ascii="Times New Roman" w:hAnsi="Times New Roman" w:eastAsia="仿宋_GB2312" w:cs="Times New Roman"/>
                <w:color w:val="000000"/>
                <w:spacing w:val="0"/>
                <w:kern w:val="2"/>
                <w:sz w:val="24"/>
                <w:szCs w:val="24"/>
                <w:lang w:eastAsia="zh-CN"/>
              </w:rPr>
              <w:t>、</w:t>
            </w:r>
          </w:p>
          <w:p w14:paraId="7DDBFCDE">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生态环境</w:t>
            </w:r>
            <w:r>
              <w:rPr>
                <w:rFonts w:hint="eastAsia" w:ascii="Times New Roman" w:hAnsi="Times New Roman" w:eastAsia="仿宋_GB2312" w:cs="Times New Roman"/>
                <w:color w:val="000000"/>
                <w:spacing w:val="0"/>
                <w:kern w:val="2"/>
                <w:sz w:val="24"/>
                <w:szCs w:val="24"/>
                <w:lang w:eastAsia="zh-CN"/>
              </w:rPr>
              <w:t>分</w:t>
            </w:r>
            <w:r>
              <w:rPr>
                <w:rFonts w:hint="default" w:ascii="Times New Roman" w:hAnsi="Times New Roman" w:eastAsia="仿宋_GB2312" w:cs="Times New Roman"/>
                <w:color w:val="000000"/>
                <w:spacing w:val="0"/>
                <w:kern w:val="2"/>
                <w:sz w:val="24"/>
                <w:szCs w:val="24"/>
              </w:rPr>
              <w:t>局</w:t>
            </w:r>
            <w:r>
              <w:rPr>
                <w:rFonts w:hint="eastAsia" w:ascii="Times New Roman" w:hAnsi="Times New Roman" w:eastAsia="仿宋_GB2312" w:cs="Times New Roman"/>
                <w:color w:val="000000"/>
                <w:spacing w:val="0"/>
                <w:kern w:val="2"/>
                <w:sz w:val="24"/>
                <w:szCs w:val="24"/>
                <w:lang w:eastAsia="zh-CN"/>
              </w:rPr>
              <w:t>、</w:t>
            </w:r>
          </w:p>
          <w:p w14:paraId="55884FF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水资源公司</w:t>
            </w:r>
          </w:p>
        </w:tc>
      </w:tr>
      <w:tr w14:paraId="53E21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209EDBB7">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7</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6778A8CC">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创新林业金融</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006CA454">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1.支持创设和推广特色林业金融产品</w:t>
            </w:r>
            <w:r>
              <w:rPr>
                <w:rFonts w:hint="eastAsia" w:ascii="Times New Roman" w:hAnsi="Times New Roman" w:eastAsia="仿宋_GB2312" w:cs="Times New Roman"/>
                <w:color w:val="000000"/>
                <w:spacing w:val="0"/>
                <w:kern w:val="2"/>
                <w:sz w:val="24"/>
                <w:szCs w:val="24"/>
                <w:lang w:eastAsia="zh-CN"/>
              </w:rPr>
              <w:t>；</w:t>
            </w:r>
          </w:p>
          <w:p w14:paraId="07EBAECD">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2.加强对林业项目资金的监管和使用效率评估</w:t>
            </w:r>
            <w:r>
              <w:rPr>
                <w:rFonts w:hint="eastAsia" w:ascii="Times New Roman" w:hAnsi="Times New Roman" w:eastAsia="仿宋_GB2312" w:cs="Times New Roman"/>
                <w:color w:val="000000"/>
                <w:spacing w:val="0"/>
                <w:kern w:val="2"/>
                <w:sz w:val="24"/>
                <w:szCs w:val="24"/>
                <w:lang w:eastAsia="zh-CN"/>
              </w:rPr>
              <w:t>；</w:t>
            </w:r>
          </w:p>
          <w:p w14:paraId="1B131EBE">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3.开展政策性林业保险</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50F3FE2B">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3705B209">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 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13EF09CB">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0EF6F04B">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6D52C4E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林业局</w:t>
            </w:r>
            <w:r>
              <w:rPr>
                <w:rFonts w:hint="eastAsia" w:ascii="Times New Roman" w:hAnsi="Times New Roman" w:eastAsia="仿宋_GB2312" w:cs="Times New Roman"/>
                <w:color w:val="000000"/>
                <w:spacing w:val="0"/>
                <w:kern w:val="2"/>
                <w:sz w:val="24"/>
                <w:szCs w:val="24"/>
                <w:lang w:eastAsia="zh-CN"/>
              </w:rPr>
              <w:t>、</w:t>
            </w:r>
          </w:p>
          <w:p w14:paraId="7F0EC441">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财政局</w:t>
            </w:r>
            <w:r>
              <w:rPr>
                <w:rFonts w:hint="eastAsia" w:ascii="Times New Roman" w:hAnsi="Times New Roman" w:eastAsia="仿宋_GB2312" w:cs="Times New Roman"/>
                <w:color w:val="000000"/>
                <w:spacing w:val="0"/>
                <w:kern w:val="2"/>
                <w:sz w:val="24"/>
                <w:szCs w:val="24"/>
                <w:lang w:eastAsia="zh-CN"/>
              </w:rPr>
              <w:t>、</w:t>
            </w:r>
          </w:p>
          <w:p w14:paraId="1F1AD497">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eastAsia" w:ascii="Times New Roman" w:hAnsi="Times New Roman" w:eastAsia="仿宋_GB2312" w:cs="Times New Roman"/>
                <w:color w:val="000000"/>
                <w:spacing w:val="0"/>
                <w:kern w:val="2"/>
                <w:sz w:val="24"/>
                <w:szCs w:val="24"/>
                <w:lang w:eastAsia="zh-CN"/>
              </w:rPr>
              <w:t>政府办</w:t>
            </w:r>
          </w:p>
          <w:p w14:paraId="1EB85F5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eastAsia" w:ascii="Times New Roman" w:hAnsi="Times New Roman" w:eastAsia="仿宋_GB2312" w:cs="Times New Roman"/>
                <w:color w:val="000000"/>
                <w:spacing w:val="0"/>
                <w:kern w:val="2"/>
                <w:sz w:val="24"/>
                <w:szCs w:val="24"/>
                <w:lang w:eastAsia="zh-CN"/>
              </w:rPr>
              <w:t>（</w:t>
            </w:r>
            <w:r>
              <w:rPr>
                <w:rFonts w:hint="default" w:ascii="Times New Roman" w:hAnsi="Times New Roman" w:eastAsia="仿宋_GB2312" w:cs="Times New Roman"/>
                <w:color w:val="000000"/>
                <w:spacing w:val="0"/>
                <w:kern w:val="2"/>
                <w:sz w:val="24"/>
                <w:szCs w:val="24"/>
              </w:rPr>
              <w:t>金融服务中心</w:t>
            </w:r>
            <w:r>
              <w:rPr>
                <w:rFonts w:hint="eastAsia" w:ascii="Times New Roman" w:hAnsi="Times New Roman" w:eastAsia="仿宋_GB2312" w:cs="Times New Roman"/>
                <w:color w:val="000000"/>
                <w:spacing w:val="0"/>
                <w:kern w:val="2"/>
                <w:sz w:val="24"/>
                <w:szCs w:val="24"/>
                <w:lang w:eastAsia="zh-CN"/>
              </w:rPr>
              <w:t>）</w:t>
            </w:r>
          </w:p>
        </w:tc>
      </w:tr>
      <w:tr w14:paraId="6B11B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354E9128">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8</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5B6EF75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加强队伍建设</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01359F43">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1.开展林长制基层建设行动</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完善基层林业工作机构</w:t>
            </w:r>
            <w:r>
              <w:rPr>
                <w:rFonts w:hint="eastAsia" w:ascii="Times New Roman" w:hAnsi="Times New Roman" w:eastAsia="仿宋_GB2312" w:cs="Times New Roman"/>
                <w:color w:val="000000"/>
                <w:spacing w:val="0"/>
                <w:kern w:val="2"/>
                <w:sz w:val="24"/>
                <w:szCs w:val="24"/>
                <w:lang w:eastAsia="zh-CN"/>
              </w:rPr>
              <w:t>；</w:t>
            </w:r>
          </w:p>
          <w:p w14:paraId="4E0706BB">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2.积极开展多层级培训</w:t>
            </w: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提升基层林业工作人员服务能力</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31D9E162">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bookmarkStart w:id="0" w:name="OLE_LINK3"/>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0FD9843C">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2026年持续推进</w:t>
            </w:r>
            <w:bookmarkEnd w:id="0"/>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5DAE4789">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7386422A">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62CCA4EE">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林业局</w:t>
            </w:r>
          </w:p>
        </w:tc>
      </w:tr>
      <w:tr w14:paraId="26DD0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3" w:hRule="atLeast"/>
          <w:jc w:val="center"/>
        </w:trPr>
        <w:tc>
          <w:tcPr>
            <w:tcW w:w="721" w:type="dxa"/>
            <w:tcBorders>
              <w:top w:val="single" w:color="000000" w:sz="4" w:space="0"/>
              <w:left w:val="single" w:color="000000" w:sz="4" w:space="0"/>
              <w:bottom w:val="single" w:color="000000" w:sz="4" w:space="0"/>
              <w:right w:val="single" w:color="000000" w:sz="4" w:space="0"/>
            </w:tcBorders>
            <w:noWrap w:val="0"/>
            <w:vAlign w:val="center"/>
          </w:tcPr>
          <w:p w14:paraId="1101CC45">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9</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14:paraId="509BD164">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积极稳妥处理历史遗留林权纠纷</w:t>
            </w:r>
          </w:p>
        </w:tc>
        <w:tc>
          <w:tcPr>
            <w:tcW w:w="6454" w:type="dxa"/>
            <w:tcBorders>
              <w:top w:val="single" w:color="000000" w:sz="4" w:space="0"/>
              <w:left w:val="single" w:color="000000" w:sz="4" w:space="0"/>
              <w:bottom w:val="single" w:color="000000" w:sz="4" w:space="0"/>
              <w:right w:val="single" w:color="000000" w:sz="4" w:space="0"/>
            </w:tcBorders>
            <w:noWrap w:val="0"/>
            <w:vAlign w:val="center"/>
          </w:tcPr>
          <w:p w14:paraId="4B84711E">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1.全面排查林权纠纷历史遗留问题</w:t>
            </w:r>
            <w:r>
              <w:rPr>
                <w:rFonts w:hint="eastAsia" w:ascii="Times New Roman" w:hAnsi="Times New Roman" w:eastAsia="仿宋_GB2312" w:cs="Times New Roman"/>
                <w:color w:val="000000"/>
                <w:spacing w:val="0"/>
                <w:kern w:val="2"/>
                <w:sz w:val="24"/>
                <w:szCs w:val="24"/>
                <w:lang w:eastAsia="zh-CN"/>
              </w:rPr>
              <w:t>；</w:t>
            </w:r>
          </w:p>
          <w:p w14:paraId="2F064A7D">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2.部门联合建立林权纠纷调处机制</w:t>
            </w:r>
            <w:r>
              <w:rPr>
                <w:rFonts w:hint="eastAsia" w:ascii="Times New Roman" w:hAnsi="Times New Roman" w:eastAsia="仿宋_GB2312" w:cs="Times New Roman"/>
                <w:color w:val="000000"/>
                <w:spacing w:val="0"/>
                <w:kern w:val="2"/>
                <w:sz w:val="24"/>
                <w:szCs w:val="24"/>
                <w:lang w:eastAsia="zh-CN"/>
              </w:rPr>
              <w:t>；</w:t>
            </w:r>
          </w:p>
          <w:p w14:paraId="299F5E46">
            <w:pPr>
              <w:pStyle w:val="30"/>
              <w:keepNext w:val="0"/>
              <w:keepLines w:val="0"/>
              <w:pageBreakBefore w:val="0"/>
              <w:widowControl w:val="0"/>
              <w:kinsoku/>
              <w:wordWrap/>
              <w:overflowPunct/>
              <w:topLinePunct w:val="0"/>
              <w:autoSpaceDE/>
              <w:autoSpaceDN/>
              <w:bidi w:val="0"/>
              <w:adjustRightInd/>
              <w:snapToGrid/>
              <w:spacing w:line="520" w:lineRule="exact"/>
              <w:jc w:val="both"/>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3.积极稳妥解决突出林权纠纷信访问题</w:t>
            </w:r>
            <w:r>
              <w:rPr>
                <w:rFonts w:hint="eastAsia" w:ascii="Times New Roman" w:hAnsi="Times New Roman" w:eastAsia="仿宋_GB2312" w:cs="Times New Roman"/>
                <w:color w:val="000000"/>
                <w:spacing w:val="0"/>
                <w:kern w:val="2"/>
                <w:sz w:val="24"/>
                <w:szCs w:val="24"/>
              </w:rPr>
              <w:t>。</w:t>
            </w:r>
          </w:p>
        </w:tc>
        <w:tc>
          <w:tcPr>
            <w:tcW w:w="3380" w:type="dxa"/>
            <w:tcBorders>
              <w:top w:val="single" w:color="000000" w:sz="4" w:space="0"/>
              <w:left w:val="single" w:color="000000" w:sz="4" w:space="0"/>
              <w:bottom w:val="single" w:color="000000" w:sz="4" w:space="0"/>
              <w:right w:val="single" w:color="000000" w:sz="4" w:space="0"/>
            </w:tcBorders>
            <w:noWrap w:val="0"/>
            <w:vAlign w:val="center"/>
          </w:tcPr>
          <w:p w14:paraId="61EEEB94">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2025年启动实施</w:t>
            </w:r>
            <w:r>
              <w:rPr>
                <w:rFonts w:hint="eastAsia" w:ascii="Times New Roman" w:hAnsi="Times New Roman" w:eastAsia="仿宋_GB2312" w:cs="Times New Roman"/>
                <w:color w:val="000000"/>
                <w:spacing w:val="0"/>
                <w:kern w:val="2"/>
                <w:sz w:val="24"/>
                <w:szCs w:val="24"/>
              </w:rPr>
              <w:t>；</w:t>
            </w:r>
          </w:p>
          <w:p w14:paraId="1C045F28">
            <w:pPr>
              <w:pStyle w:val="30"/>
              <w:keepNext w:val="0"/>
              <w:keepLines w:val="0"/>
              <w:pageBreakBefore w:val="0"/>
              <w:widowControl/>
              <w:kinsoku/>
              <w:wordWrap/>
              <w:overflowPunct/>
              <w:topLinePunct w:val="0"/>
              <w:autoSpaceDE/>
              <w:autoSpaceDN/>
              <w:bidi w:val="0"/>
              <w:adjustRightInd/>
              <w:snapToGrid/>
              <w:spacing w:line="520" w:lineRule="exact"/>
              <w:ind w:right="126"/>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2026年持续推进</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49BEB102">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各乡镇</w:t>
            </w:r>
          </w:p>
          <w:p w14:paraId="1E1E843F">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eastAsia" w:ascii="Times New Roman" w:hAnsi="Times New Roman" w:eastAsia="仿宋_GB2312" w:cs="Times New Roman"/>
                <w:color w:val="000000"/>
                <w:spacing w:val="0"/>
                <w:kern w:val="2"/>
                <w:sz w:val="24"/>
                <w:szCs w:val="24"/>
              </w:rPr>
              <w:t>（</w:t>
            </w:r>
            <w:r>
              <w:rPr>
                <w:rFonts w:hint="default" w:ascii="Times New Roman" w:hAnsi="Times New Roman" w:eastAsia="仿宋_GB2312" w:cs="Times New Roman"/>
                <w:color w:val="000000"/>
                <w:spacing w:val="0"/>
                <w:kern w:val="2"/>
                <w:sz w:val="24"/>
                <w:szCs w:val="24"/>
              </w:rPr>
              <w:t>街道</w:t>
            </w:r>
            <w:r>
              <w:rPr>
                <w:rFonts w:hint="eastAsia" w:ascii="Times New Roman" w:hAnsi="Times New Roman" w:eastAsia="仿宋_GB2312" w:cs="Times New Roman"/>
                <w:color w:val="000000"/>
                <w:spacing w:val="0"/>
                <w:kern w:val="2"/>
                <w:sz w:val="24"/>
                <w:szCs w:val="24"/>
              </w:rPr>
              <w:t>）</w:t>
            </w:r>
          </w:p>
        </w:tc>
        <w:tc>
          <w:tcPr>
            <w:tcW w:w="2146" w:type="dxa"/>
            <w:tcBorders>
              <w:top w:val="single" w:color="000000" w:sz="4" w:space="0"/>
              <w:left w:val="single" w:color="000000" w:sz="4" w:space="0"/>
              <w:bottom w:val="single" w:color="000000" w:sz="4" w:space="0"/>
              <w:right w:val="single" w:color="000000" w:sz="4" w:space="0"/>
            </w:tcBorders>
            <w:noWrap w:val="0"/>
            <w:vAlign w:val="center"/>
          </w:tcPr>
          <w:p w14:paraId="3B0F2EC8">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Times New Roman" w:hAnsi="Times New Roman" w:eastAsia="仿宋_GB2312" w:cs="Times New Roman"/>
                <w:color w:val="000000"/>
                <w:spacing w:val="0"/>
                <w:kern w:val="2"/>
                <w:sz w:val="24"/>
                <w:szCs w:val="24"/>
                <w:lang w:eastAsia="zh-CN"/>
              </w:rPr>
            </w:pPr>
            <w:r>
              <w:rPr>
                <w:rFonts w:hint="default" w:ascii="Times New Roman" w:hAnsi="Times New Roman" w:eastAsia="仿宋_GB2312" w:cs="Times New Roman"/>
                <w:color w:val="000000"/>
                <w:spacing w:val="0"/>
                <w:kern w:val="2"/>
                <w:sz w:val="24"/>
                <w:szCs w:val="24"/>
              </w:rPr>
              <w:t>自然资源局</w:t>
            </w:r>
            <w:r>
              <w:rPr>
                <w:rFonts w:hint="eastAsia" w:ascii="Times New Roman" w:hAnsi="Times New Roman" w:eastAsia="仿宋_GB2312" w:cs="Times New Roman"/>
                <w:color w:val="000000"/>
                <w:spacing w:val="0"/>
                <w:kern w:val="2"/>
                <w:sz w:val="24"/>
                <w:szCs w:val="24"/>
                <w:lang w:eastAsia="zh-CN"/>
              </w:rPr>
              <w:t>、</w:t>
            </w:r>
          </w:p>
          <w:p w14:paraId="41DF8EB7">
            <w:pPr>
              <w:pStyle w:val="30"/>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Times New Roman" w:hAnsi="Times New Roman" w:eastAsia="仿宋_GB2312" w:cs="Times New Roman"/>
                <w:color w:val="000000"/>
                <w:spacing w:val="0"/>
                <w:kern w:val="2"/>
                <w:sz w:val="24"/>
                <w:szCs w:val="24"/>
              </w:rPr>
            </w:pPr>
            <w:r>
              <w:rPr>
                <w:rFonts w:hint="default" w:ascii="Times New Roman" w:hAnsi="Times New Roman" w:eastAsia="仿宋_GB2312" w:cs="Times New Roman"/>
                <w:color w:val="000000"/>
                <w:spacing w:val="0"/>
                <w:kern w:val="2"/>
                <w:sz w:val="24"/>
                <w:szCs w:val="24"/>
              </w:rPr>
              <w:t>林业局</w:t>
            </w:r>
          </w:p>
        </w:tc>
      </w:tr>
    </w:tbl>
    <w:p w14:paraId="2199F62D">
      <w:pPr>
        <w:pStyle w:val="2"/>
        <w:rPr>
          <w:rFonts w:hint="eastAsia"/>
          <w:lang w:val="en-US" w:eastAsia="zh-CN"/>
        </w:rPr>
      </w:pPr>
    </w:p>
    <w:sectPr>
      <w:pgSz w:w="16838" w:h="11906" w:orient="landscape"/>
      <w:pgMar w:top="1587" w:right="1962" w:bottom="1474" w:left="184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altName w:val="黑体"/>
    <w:panose1 w:val="020B0503020204020204"/>
    <w:charset w:val="00"/>
    <w:family w:val="swiss"/>
    <w:pitch w:val="default"/>
    <w:sig w:usb0="00000000" w:usb1="0000000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58E62">
    <w:pPr>
      <w:pStyle w:val="12"/>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5D3F9">
                          <w:pPr>
                            <w:pStyle w:val="11"/>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DE5D3F9">
                    <w:pPr>
                      <w:pStyle w:val="11"/>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35A80CC4">
    <w:pPr>
      <w:pStyle w:val="12"/>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洛洛阳市伊川县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14:paraId="15434049">
    <w:pPr>
      <w:pStyle w:val="12"/>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6DDAB">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3C042B4">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洛阳市伊川</w:t>
    </w:r>
    <w:r>
      <w:rPr>
        <w:rFonts w:hint="eastAsia" w:ascii="宋体" w:hAnsi="宋体" w:cs="宋体"/>
        <w:b/>
        <w:bCs/>
        <w:color w:val="005192"/>
        <w:sz w:val="32"/>
        <w:szCs w:val="32"/>
        <w:lang w:val="en-US" w:eastAsia="zh-CN"/>
      </w:rPr>
      <w:t>县人民政府办公室行政规范性文件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13"/>
      <w:lvlText w:val="第%1章　"/>
      <w:lvlJc w:val="left"/>
      <w:pPr>
        <w:tabs>
          <w:tab w:val="left" w:pos="1440"/>
        </w:tabs>
        <w:ind w:left="720" w:hanging="720"/>
      </w:pPr>
      <w:rPr>
        <w:rFonts w:hint="eastAsia"/>
        <w:sz w:val="32"/>
      </w:rPr>
    </w:lvl>
    <w:lvl w:ilvl="1" w:tentative="0">
      <w:start w:val="1"/>
      <w:numFmt w:val="lowerRoman"/>
      <w:lvlText w:val="(%2)"/>
      <w:lvlJc w:val="left"/>
      <w:pPr>
        <w:tabs>
          <w:tab w:val="left" w:pos="861"/>
        </w:tabs>
        <w:ind w:left="861" w:hanging="720"/>
      </w:pPr>
      <w:rPr>
        <w:rFonts w:hint="eastAsia"/>
      </w:rPr>
    </w:lvl>
    <w:lvl w:ilvl="2" w:tentative="0">
      <w:start w:val="1"/>
      <w:numFmt w:val="lowerLetter"/>
      <w:lvlText w:val="(%3)"/>
      <w:lvlJc w:val="left"/>
      <w:pPr>
        <w:tabs>
          <w:tab w:val="left" w:pos="1335"/>
        </w:tabs>
        <w:ind w:left="1335" w:hanging="49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iYmIxMzgzZjZlZjU4YjRiN2NhYmQ2NjI3ZTFmZmYifQ=="/>
  </w:docVars>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3FB4F5E"/>
    <w:rsid w:val="39A232A0"/>
    <w:rsid w:val="3A1C636B"/>
    <w:rsid w:val="3B5A6BBB"/>
    <w:rsid w:val="3BE16DE7"/>
    <w:rsid w:val="3E0E7999"/>
    <w:rsid w:val="3EDA13A6"/>
    <w:rsid w:val="3F5730EA"/>
    <w:rsid w:val="3FFCFB12"/>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7CF670F"/>
    <w:rsid w:val="5A4F3EF9"/>
    <w:rsid w:val="5D0D7ECB"/>
    <w:rsid w:val="608816D1"/>
    <w:rsid w:val="63FD6376"/>
    <w:rsid w:val="67EF3024"/>
    <w:rsid w:val="69D03F98"/>
    <w:rsid w:val="6BF75DB0"/>
    <w:rsid w:val="6D0E3F22"/>
    <w:rsid w:val="6DFF179C"/>
    <w:rsid w:val="6EFF72AC"/>
    <w:rsid w:val="70AF1C83"/>
    <w:rsid w:val="714A2531"/>
    <w:rsid w:val="71C61E01"/>
    <w:rsid w:val="71E9213F"/>
    <w:rsid w:val="75AA717D"/>
    <w:rsid w:val="7C9011D9"/>
    <w:rsid w:val="7CFB3184"/>
    <w:rsid w:val="7DC651C5"/>
    <w:rsid w:val="7DFBC28B"/>
    <w:rsid w:val="7FED60B9"/>
    <w:rsid w:val="8DC8952E"/>
    <w:rsid w:val="B8B7DDCC"/>
    <w:rsid w:val="BDC5F2FC"/>
    <w:rsid w:val="BFA7496E"/>
    <w:rsid w:val="D6DD9B99"/>
    <w:rsid w:val="DFFBED7E"/>
    <w:rsid w:val="E26E0CEF"/>
    <w:rsid w:val="EA3F1A4F"/>
    <w:rsid w:val="F7CE0210"/>
    <w:rsid w:val="F9EAF3A4"/>
    <w:rsid w:val="FDB75BAD"/>
    <w:rsid w:val="FDFF058A"/>
    <w:rsid w:val="FE3BF2A0"/>
    <w:rsid w:val="FEAE7A56"/>
    <w:rsid w:val="FFFDD6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1"/>
    <w:basedOn w:val="1"/>
    <w:next w:val="1"/>
    <w:qFormat/>
    <w:uiPriority w:val="0"/>
    <w:pPr>
      <w:spacing w:before="39"/>
      <w:ind w:left="3351" w:right="320"/>
      <w:outlineLvl w:val="0"/>
    </w:pPr>
    <w:rPr>
      <w:rFonts w:ascii="宋体" w:hAnsi="宋体" w:eastAsia="宋体" w:cs="宋体"/>
      <w:sz w:val="44"/>
      <w:szCs w:val="44"/>
      <w:lang w:val="zh-CN" w:eastAsia="zh-CN" w:bidi="zh-CN"/>
    </w:rPr>
  </w:style>
  <w:style w:type="paragraph" w:styleId="5">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paragraph" w:styleId="6">
    <w:name w:val="heading 3"/>
    <w:basedOn w:val="1"/>
    <w:next w:val="1"/>
    <w:unhideWhenUsed/>
    <w:qFormat/>
    <w:uiPriority w:val="0"/>
    <w:pPr>
      <w:keepNext/>
      <w:keepLines/>
      <w:spacing w:before="260" w:after="260"/>
      <w:outlineLvl w:val="2"/>
    </w:pPr>
    <w:rPr>
      <w:rFonts w:eastAsia="楷体" w:cs="宋体"/>
      <w:b/>
      <w:bCs/>
      <w:szCs w:val="32"/>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宋体"/>
      <w:b/>
      <w:bCs/>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Lines="10" w:afterLines="10"/>
      <w:ind w:left="2205" w:leftChars="0" w:firstLine="420" w:firstLineChars="200"/>
    </w:pPr>
    <w:rPr>
      <w:rFonts w:ascii="宋体" w:hAnsi="Times New Roman" w:eastAsia="宋体" w:cs="Times New Roman"/>
      <w:bCs/>
      <w:kern w:val="0"/>
      <w:sz w:val="22"/>
      <w:szCs w:val="20"/>
      <w:lang w:eastAsia="en-US"/>
    </w:rPr>
  </w:style>
  <w:style w:type="paragraph" w:styleId="3">
    <w:name w:val="Body Text Indent"/>
    <w:basedOn w:val="1"/>
    <w:qFormat/>
    <w:uiPriority w:val="0"/>
    <w:pPr>
      <w:spacing w:after="120"/>
      <w:ind w:left="420" w:leftChars="200"/>
    </w:pPr>
    <w:rPr>
      <w:rFonts w:ascii="Calibri" w:hAnsi="Calibri" w:eastAsia="宋体"/>
      <w:szCs w:val="22"/>
    </w:rPr>
  </w:style>
  <w:style w:type="paragraph" w:styleId="8">
    <w:name w:val="Normal Indent"/>
    <w:basedOn w:val="1"/>
    <w:qFormat/>
    <w:uiPriority w:val="0"/>
    <w:pPr>
      <w:spacing w:line="600" w:lineRule="exact"/>
      <w:ind w:firstLine="200" w:firstLineChars="200"/>
    </w:pPr>
    <w:rPr>
      <w:rFonts w:eastAsia="仿宋_GB2312"/>
      <w:sz w:val="32"/>
      <w:szCs w:val="32"/>
    </w:rPr>
  </w:style>
  <w:style w:type="paragraph" w:styleId="9">
    <w:name w:val="Body Text"/>
    <w:basedOn w:val="1"/>
    <w:next w:val="1"/>
    <w:qFormat/>
    <w:uiPriority w:val="0"/>
    <w:pPr>
      <w:spacing w:before="175"/>
      <w:ind w:left="750"/>
    </w:pPr>
    <w:rPr>
      <w:rFonts w:ascii="仿宋_GB2312" w:hAnsi="仿宋_GB2312" w:eastAsia="仿宋_GB2312"/>
      <w:sz w:val="32"/>
      <w:szCs w:val="32"/>
    </w:rPr>
  </w:style>
  <w:style w:type="paragraph" w:styleId="10">
    <w:name w:val="Plain Text"/>
    <w:basedOn w:val="1"/>
    <w:qFormat/>
    <w:uiPriority w:val="99"/>
    <w:rPr>
      <w:rFonts w:ascii="宋体" w:hAnsi="宋体" w:eastAsia="宋体" w:cs="宋体"/>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Body Text 2"/>
    <w:basedOn w:val="1"/>
    <w:qFormat/>
    <w:uiPriority w:val="0"/>
    <w:pPr>
      <w:widowControl/>
      <w:numPr>
        <w:ilvl w:val="0"/>
        <w:numId w:val="1"/>
      </w:numPr>
      <w:tabs>
        <w:tab w:val="clear" w:pos="1440"/>
      </w:tabs>
      <w:spacing w:line="336" w:lineRule="auto"/>
      <w:ind w:left="0" w:firstLine="0"/>
      <w:jc w:val="left"/>
    </w:pPr>
    <w:rPr>
      <w:rFonts w:eastAsia="黑体"/>
      <w:kern w:val="0"/>
      <w:sz w:val="22"/>
      <w:szCs w:val="20"/>
      <w:lang w:val="en-GB" w:eastAsia="en-US"/>
    </w:rPr>
  </w:style>
  <w:style w:type="paragraph" w:styleId="14">
    <w:name w:val="Normal (Web)"/>
    <w:basedOn w:val="1"/>
    <w:link w:val="27"/>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w:basedOn w:val="9"/>
    <w:next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21">
    <w:name w:val="一级标题（二号小标宋）"/>
    <w:basedOn w:val="1"/>
    <w:link w:val="24"/>
    <w:qFormat/>
    <w:uiPriority w:val="0"/>
    <w:pPr>
      <w:jc w:val="center"/>
    </w:pPr>
    <w:rPr>
      <w:rFonts w:ascii="方正书宋简体" w:hAnsi="方正书宋简体" w:eastAsia="方正小标宋_GBK"/>
      <w:color w:val="000000"/>
      <w:sz w:val="42"/>
      <w:szCs w:val="42"/>
    </w:rPr>
  </w:style>
  <w:style w:type="paragraph" w:customStyle="1" w:styleId="2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4">
    <w:name w:val="一级标题（二号小标宋） Char"/>
    <w:basedOn w:val="18"/>
    <w:link w:val="21"/>
    <w:qFormat/>
    <w:uiPriority w:val="0"/>
    <w:rPr>
      <w:rFonts w:ascii="方正书宋简体" w:hAnsi="方正书宋简体" w:eastAsia="方正小标宋_GBK"/>
      <w:color w:val="000000"/>
      <w:sz w:val="42"/>
      <w:szCs w:val="42"/>
    </w:rPr>
  </w:style>
  <w:style w:type="paragraph" w:customStyle="1" w:styleId="25">
    <w:name w:val="List Paragraph"/>
    <w:basedOn w:val="1"/>
    <w:qFormat/>
    <w:uiPriority w:val="34"/>
    <w:pPr>
      <w:ind w:firstLine="420" w:firstLineChars="200"/>
    </w:pPr>
  </w:style>
  <w:style w:type="character" w:customStyle="1" w:styleId="26">
    <w:name w:val="NormalCharacter"/>
    <w:semiHidden/>
    <w:qFormat/>
    <w:uiPriority w:val="0"/>
  </w:style>
  <w:style w:type="character" w:customStyle="1" w:styleId="27">
    <w:name w:val="普通(网站) Char"/>
    <w:link w:val="14"/>
    <w:qFormat/>
    <w:uiPriority w:val="0"/>
    <w:rPr>
      <w:rFonts w:ascii="宋体" w:hAnsi="宋体" w:eastAsia="宋体" w:cs="宋体"/>
      <w:kern w:val="0"/>
      <w:sz w:val="24"/>
      <w:szCs w:val="24"/>
    </w:rPr>
  </w:style>
  <w:style w:type="paragraph" w:customStyle="1" w:styleId="28">
    <w:name w:val="Table Paragraph"/>
    <w:basedOn w:val="1"/>
    <w:qFormat/>
    <w:uiPriority w:val="1"/>
  </w:style>
  <w:style w:type="paragraph" w:customStyle="1" w:styleId="29">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30">
    <w:name w:val="Table Text"/>
    <w:basedOn w:val="1"/>
    <w:unhideWhenUsed/>
    <w:qFormat/>
    <w:uiPriority w:val="0"/>
    <w:rPr>
      <w:rFonts w:hint="eastAsia" w:ascii="微软雅黑" w:hAnsi="微软雅黑" w:eastAsia="微软雅黑" w:cs="微软雅黑"/>
      <w:sz w:val="31"/>
      <w:szCs w:val="3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2720</Words>
  <Characters>2724</Characters>
  <Lines>0</Lines>
  <Paragraphs>0</Paragraphs>
  <TotalTime>1</TotalTime>
  <ScaleCrop>false</ScaleCrop>
  <LinksUpToDate>false</LinksUpToDate>
  <CharactersWithSpaces>2816</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2021-09-12T18:41:00Z</dcterms:created>
  <dc:creator>t</dc:creator>
  <cp:lastModifiedBy>夜神月</cp:lastModifiedBy>
  <cp:lastPrinted>2021-09-25T17:19:00Z</cp:lastPrinted>
  <dcterms:modified xsi:type="dcterms:W3CDTF">2026-01-08T09:28:51Z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001AE6678F1D630261FEFB6541150BE9</vt:lpwstr>
  </property>
</Properties>
</file>