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8E9246">
      <w:pPr>
        <w:widowControl w:val="0"/>
        <w:pBdr>
          <w:top w:val="none" w:color="auto" w:sz="0" w:space="1"/>
          <w:left w:val="none" w:color="auto" w:sz="0" w:space="4"/>
          <w:bottom w:val="none" w:color="auto" w:sz="0" w:space="1"/>
          <w:right w:val="none" w:color="auto" w:sz="0" w:space="4"/>
          <w:between w:val="none" w:color="auto" w:sz="0" w:space="0"/>
        </w:pBdr>
        <w:shd w:val="clear" w:color="auto" w:fill="auto"/>
        <w:wordWrap w:val="0"/>
        <w:spacing w:before="0" w:after="0" w:line="620" w:lineRule="exact"/>
        <w:ind w:left="0" w:leftChars="0" w:right="0" w:rightChars="0"/>
        <w:jc w:val="center"/>
        <w:rPr>
          <w:rFonts w:hint="default" w:ascii="Times New Roman" w:hAnsi="Times New Roman" w:eastAsia="方正小标宋简体" w:cs="Times New Roman"/>
          <w:b w:val="0"/>
          <w:bCs w:val="0"/>
          <w:snapToGrid w:val="0"/>
          <w:color w:val="000000"/>
          <w:spacing w:val="0"/>
          <w:w w:val="100"/>
          <w:kern w:val="0"/>
          <w:sz w:val="44"/>
          <w:szCs w:val="44"/>
        </w:rPr>
      </w:pPr>
      <w:r>
        <w:rPr>
          <w:rFonts w:hint="default" w:ascii="Times New Roman" w:hAnsi="Times New Roman" w:eastAsia="方正小标宋简体" w:cs="Times New Roman"/>
          <w:b w:val="0"/>
          <w:bCs w:val="0"/>
          <w:snapToGrid w:val="0"/>
          <w:color w:val="000000"/>
          <w:spacing w:val="0"/>
          <w:w w:val="100"/>
          <w:kern w:val="0"/>
          <w:sz w:val="44"/>
          <w:szCs w:val="44"/>
        </w:rPr>
        <w:t>洛阳市</w:t>
      </w:r>
      <w:r>
        <w:rPr>
          <w:rFonts w:hint="default" w:ascii="Times New Roman" w:hAnsi="Times New Roman" w:eastAsia="方正小标宋简体" w:cs="Times New Roman"/>
          <w:b w:val="0"/>
          <w:bCs w:val="0"/>
          <w:snapToGrid w:val="0"/>
          <w:color w:val="000000"/>
          <w:spacing w:val="0"/>
          <w:w w:val="100"/>
          <w:kern w:val="0"/>
          <w:sz w:val="44"/>
          <w:szCs w:val="44"/>
          <w:lang w:val="en-US" w:eastAsia="zh-CN"/>
        </w:rPr>
        <w:t>偃师区</w:t>
      </w:r>
      <w:r>
        <w:rPr>
          <w:rFonts w:hint="default" w:ascii="Times New Roman" w:hAnsi="Times New Roman" w:eastAsia="方正小标宋简体" w:cs="Times New Roman"/>
          <w:b w:val="0"/>
          <w:bCs w:val="0"/>
          <w:snapToGrid w:val="0"/>
          <w:color w:val="000000"/>
          <w:spacing w:val="0"/>
          <w:w w:val="100"/>
          <w:kern w:val="0"/>
          <w:sz w:val="44"/>
          <w:szCs w:val="44"/>
        </w:rPr>
        <w:t>城市基础设施配套费征收</w:t>
      </w:r>
    </w:p>
    <w:p w14:paraId="41D46093">
      <w:pPr>
        <w:widowControl w:val="0"/>
        <w:pBdr>
          <w:top w:val="none" w:color="auto" w:sz="0" w:space="1"/>
          <w:left w:val="none" w:color="auto" w:sz="0" w:space="4"/>
          <w:bottom w:val="none" w:color="auto" w:sz="0" w:space="1"/>
          <w:right w:val="none" w:color="auto" w:sz="0" w:space="4"/>
          <w:between w:val="none" w:color="auto" w:sz="0" w:space="0"/>
        </w:pBdr>
        <w:shd w:val="clear" w:color="auto" w:fill="auto"/>
        <w:wordWrap w:val="0"/>
        <w:spacing w:before="0" w:after="0" w:line="620" w:lineRule="exact"/>
        <w:ind w:left="0" w:leftChars="0" w:right="0" w:rightChars="0"/>
        <w:jc w:val="center"/>
        <w:rPr>
          <w:rFonts w:hint="default" w:ascii="Times New Roman" w:hAnsi="Times New Roman" w:eastAsia="方正小标宋简体" w:cs="Times New Roman"/>
          <w:b w:val="0"/>
          <w:bCs w:val="0"/>
          <w:snapToGrid w:val="0"/>
          <w:color w:val="000000"/>
          <w:spacing w:val="0"/>
          <w:w w:val="100"/>
          <w:kern w:val="0"/>
          <w:sz w:val="44"/>
          <w:szCs w:val="44"/>
          <w:lang w:eastAsia="zh-CN"/>
        </w:rPr>
      </w:pPr>
      <w:r>
        <w:rPr>
          <w:rFonts w:hint="default" w:ascii="Times New Roman" w:hAnsi="Times New Roman" w:eastAsia="方正小标宋简体" w:cs="Times New Roman"/>
          <w:b w:val="0"/>
          <w:bCs w:val="0"/>
          <w:snapToGrid w:val="0"/>
          <w:color w:val="000000"/>
          <w:spacing w:val="0"/>
          <w:w w:val="100"/>
          <w:kern w:val="0"/>
          <w:sz w:val="44"/>
          <w:szCs w:val="44"/>
        </w:rPr>
        <w:t>管理办法</w:t>
      </w:r>
      <w:r>
        <w:rPr>
          <w:rFonts w:hint="default" w:ascii="Times New Roman" w:hAnsi="Times New Roman" w:eastAsia="方正小标宋简体" w:cs="Times New Roman"/>
          <w:b w:val="0"/>
          <w:bCs w:val="0"/>
          <w:snapToGrid w:val="0"/>
          <w:color w:val="000000"/>
          <w:spacing w:val="0"/>
          <w:w w:val="100"/>
          <w:kern w:val="0"/>
          <w:sz w:val="44"/>
          <w:szCs w:val="44"/>
          <w:lang w:eastAsia="zh-CN"/>
        </w:rPr>
        <w:t>（</w:t>
      </w:r>
      <w:r>
        <w:rPr>
          <w:rFonts w:hint="default" w:ascii="Times New Roman" w:hAnsi="Times New Roman" w:eastAsia="方正小标宋简体" w:cs="Times New Roman"/>
          <w:b w:val="0"/>
          <w:bCs w:val="0"/>
          <w:snapToGrid w:val="0"/>
          <w:color w:val="000000"/>
          <w:spacing w:val="0"/>
          <w:w w:val="100"/>
          <w:kern w:val="0"/>
          <w:sz w:val="44"/>
          <w:szCs w:val="44"/>
          <w:lang w:val="en-US" w:eastAsia="zh-CN"/>
        </w:rPr>
        <w:t>征求意见稿</w:t>
      </w:r>
      <w:r>
        <w:rPr>
          <w:rFonts w:hint="default" w:ascii="Times New Roman" w:hAnsi="Times New Roman" w:eastAsia="方正小标宋简体" w:cs="Times New Roman"/>
          <w:b w:val="0"/>
          <w:bCs w:val="0"/>
          <w:snapToGrid w:val="0"/>
          <w:color w:val="000000"/>
          <w:spacing w:val="0"/>
          <w:w w:val="100"/>
          <w:kern w:val="0"/>
          <w:sz w:val="44"/>
          <w:szCs w:val="44"/>
          <w:lang w:eastAsia="zh-CN"/>
        </w:rPr>
        <w:t>）</w:t>
      </w:r>
    </w:p>
    <w:p w14:paraId="571C4DF6">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p>
    <w:p w14:paraId="5AF9A0B0">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92" w:lineRule="exact"/>
        <w:ind w:left="0" w:leftChars="0" w:right="0" w:rightChars="0" w:firstLine="0" w:firstLineChars="0"/>
        <w:jc w:val="center"/>
        <w:textAlignment w:val="auto"/>
        <w:rPr>
          <w:rFonts w:hint="default" w:ascii="Times New Roman" w:hAnsi="Times New Roman" w:eastAsia="黑体" w:cs="Times New Roman"/>
          <w:b w:val="0"/>
          <w:bCs w:val="0"/>
          <w:snapToGrid w:val="0"/>
          <w:color w:val="000000"/>
          <w:spacing w:val="0"/>
          <w:w w:val="100"/>
          <w:kern w:val="0"/>
          <w:sz w:val="32"/>
          <w:szCs w:val="32"/>
        </w:rPr>
      </w:pPr>
      <w:r>
        <w:rPr>
          <w:rFonts w:hint="default" w:ascii="Times New Roman" w:hAnsi="Times New Roman" w:eastAsia="黑体" w:cs="Times New Roman"/>
          <w:b w:val="0"/>
          <w:bCs w:val="0"/>
          <w:snapToGrid w:val="0"/>
          <w:color w:val="000000"/>
          <w:spacing w:val="0"/>
          <w:w w:val="100"/>
          <w:kern w:val="0"/>
          <w:sz w:val="32"/>
          <w:szCs w:val="32"/>
          <w:lang w:val="en-US" w:eastAsia="zh-CN" w:bidi="ar-SA"/>
        </w:rPr>
        <w:t>第一章　</w:t>
      </w:r>
      <w:r>
        <w:rPr>
          <w:rFonts w:hint="default" w:ascii="Times New Roman" w:hAnsi="Times New Roman" w:eastAsia="黑体" w:cs="Times New Roman"/>
          <w:b w:val="0"/>
          <w:bCs w:val="0"/>
          <w:snapToGrid w:val="0"/>
          <w:color w:val="000000"/>
          <w:spacing w:val="0"/>
          <w:w w:val="100"/>
          <w:kern w:val="0"/>
          <w:sz w:val="32"/>
          <w:szCs w:val="32"/>
        </w:rPr>
        <w:t>总则</w:t>
      </w:r>
    </w:p>
    <w:p w14:paraId="56647E3C">
      <w:pPr>
        <w:pStyle w:val="2"/>
        <w:keepNext w:val="0"/>
        <w:keepLines w:val="0"/>
        <w:pageBreakBefore w:val="0"/>
        <w:widowControl w:val="0"/>
        <w:numPr>
          <w:ilvl w:val="0"/>
          <w:numId w:val="0"/>
        </w:numPr>
        <w:kinsoku/>
        <w:wordWrap/>
        <w:overflowPunct/>
        <w:topLinePunct w:val="0"/>
        <w:autoSpaceDE/>
        <w:autoSpaceDN/>
        <w:bidi w:val="0"/>
        <w:spacing w:line="590" w:lineRule="exact"/>
        <w:ind w:left="0" w:leftChars="0" w:right="0" w:rightChars="0"/>
        <w:textAlignment w:val="auto"/>
        <w:rPr>
          <w:rFonts w:hint="default" w:ascii="Times New Roman" w:hAnsi="Times New Roman" w:cs="Times New Roman"/>
        </w:rPr>
      </w:pPr>
    </w:p>
    <w:p w14:paraId="0F5EA331">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r>
        <w:rPr>
          <w:rFonts w:hint="default" w:ascii="Times New Roman" w:hAnsi="Times New Roman" w:eastAsia="黑体" w:cs="Times New Roman"/>
          <w:b w:val="0"/>
          <w:bCs w:val="0"/>
          <w:snapToGrid w:val="0"/>
          <w:color w:val="000000"/>
          <w:spacing w:val="0"/>
          <w:w w:val="100"/>
          <w:kern w:val="0"/>
          <w:sz w:val="32"/>
          <w:szCs w:val="32"/>
        </w:rPr>
        <w:t>第一条　</w:t>
      </w:r>
      <w:r>
        <w:rPr>
          <w:rFonts w:hint="default" w:ascii="Times New Roman" w:hAnsi="Times New Roman" w:eastAsia="仿宋_GB2312" w:cs="Times New Roman"/>
          <w:b w:val="0"/>
          <w:bCs w:val="0"/>
          <w:snapToGrid w:val="0"/>
          <w:color w:val="000000"/>
          <w:spacing w:val="0"/>
          <w:w w:val="100"/>
          <w:kern w:val="0"/>
          <w:sz w:val="32"/>
          <w:szCs w:val="32"/>
        </w:rPr>
        <w:t>为规范城市基础设施配套费的征收管理，促进城市基础设施建设，根据《洛阳市城市基础设施配套费征收管理办法》</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lang w:val="en-US" w:eastAsia="zh-CN"/>
        </w:rPr>
        <w:t>结合我区实际情况，</w:t>
      </w:r>
      <w:r>
        <w:rPr>
          <w:rFonts w:hint="default" w:ascii="Times New Roman" w:hAnsi="Times New Roman" w:eastAsia="仿宋_GB2312" w:cs="Times New Roman"/>
          <w:b w:val="0"/>
          <w:bCs w:val="0"/>
          <w:snapToGrid w:val="0"/>
          <w:color w:val="000000"/>
          <w:spacing w:val="0"/>
          <w:w w:val="100"/>
          <w:kern w:val="0"/>
          <w:sz w:val="32"/>
          <w:szCs w:val="32"/>
        </w:rPr>
        <w:t>制定本办法。</w:t>
      </w:r>
      <w:bookmarkStart w:id="0" w:name="_GoBack"/>
      <w:bookmarkEnd w:id="0"/>
    </w:p>
    <w:p w14:paraId="3EFEAE35">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r>
        <w:rPr>
          <w:rFonts w:hint="default" w:ascii="Times New Roman" w:hAnsi="Times New Roman" w:eastAsia="黑体" w:cs="Times New Roman"/>
          <w:b w:val="0"/>
          <w:bCs w:val="0"/>
          <w:snapToGrid w:val="0"/>
          <w:color w:val="000000"/>
          <w:spacing w:val="0"/>
          <w:w w:val="100"/>
          <w:kern w:val="0"/>
          <w:sz w:val="32"/>
          <w:szCs w:val="32"/>
        </w:rPr>
        <w:t>第二条　</w:t>
      </w:r>
      <w:r>
        <w:rPr>
          <w:rFonts w:hint="default" w:ascii="Times New Roman" w:hAnsi="Times New Roman" w:eastAsia="仿宋_GB2312" w:cs="Times New Roman"/>
          <w:b w:val="0"/>
          <w:bCs w:val="0"/>
          <w:snapToGrid w:val="0"/>
          <w:color w:val="000000"/>
          <w:spacing w:val="0"/>
          <w:w w:val="100"/>
          <w:kern w:val="0"/>
          <w:sz w:val="32"/>
          <w:szCs w:val="32"/>
        </w:rPr>
        <w:t>城市基础设施配套费是指按国土空间总体规划要求，为筹集城市基础设施建设资金所收取的费用，专项用于城市基础设施建设及</w:t>
      </w:r>
      <w:r>
        <w:rPr>
          <w:rFonts w:hint="default" w:ascii="Times New Roman" w:hAnsi="Times New Roman" w:eastAsia="仿宋_GB2312" w:cs="Times New Roman"/>
          <w:b w:val="0"/>
          <w:bCs w:val="0"/>
          <w:snapToGrid w:val="0"/>
          <w:color w:val="000000"/>
          <w:spacing w:val="0"/>
          <w:w w:val="100"/>
          <w:kern w:val="0"/>
          <w:sz w:val="32"/>
          <w:szCs w:val="32"/>
          <w:lang w:val="en-US" w:eastAsia="zh-CN"/>
        </w:rPr>
        <w:t>区</w:t>
      </w:r>
      <w:r>
        <w:rPr>
          <w:rFonts w:hint="default" w:ascii="Times New Roman" w:hAnsi="Times New Roman" w:eastAsia="仿宋_GB2312" w:cs="Times New Roman"/>
          <w:b w:val="0"/>
          <w:bCs w:val="0"/>
          <w:snapToGrid w:val="0"/>
          <w:color w:val="000000"/>
          <w:spacing w:val="0"/>
          <w:w w:val="100"/>
          <w:kern w:val="0"/>
          <w:sz w:val="32"/>
          <w:szCs w:val="32"/>
        </w:rPr>
        <w:t>政府研究确定的特定项目支出。具体资金支出管理办法另行制定。</w:t>
      </w:r>
    </w:p>
    <w:p w14:paraId="54024882">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r>
        <w:rPr>
          <w:rFonts w:hint="default" w:ascii="Times New Roman" w:hAnsi="Times New Roman" w:eastAsia="黑体" w:cs="Times New Roman"/>
          <w:b w:val="0"/>
          <w:bCs w:val="0"/>
          <w:snapToGrid w:val="0"/>
          <w:color w:val="000000"/>
          <w:spacing w:val="0"/>
          <w:w w:val="100"/>
          <w:kern w:val="0"/>
          <w:sz w:val="32"/>
          <w:szCs w:val="32"/>
        </w:rPr>
        <w:t>第三条　</w:t>
      </w:r>
      <w:r>
        <w:rPr>
          <w:rFonts w:hint="default" w:ascii="Times New Roman" w:hAnsi="Times New Roman" w:eastAsia="仿宋_GB2312" w:cs="Times New Roman"/>
          <w:b w:val="0"/>
          <w:bCs w:val="0"/>
          <w:snapToGrid w:val="0"/>
          <w:color w:val="000000"/>
          <w:spacing w:val="0"/>
          <w:w w:val="100"/>
          <w:kern w:val="0"/>
          <w:sz w:val="32"/>
          <w:szCs w:val="32"/>
        </w:rPr>
        <w:t>城市基础设施配套费是经省政府批准设立的政府性基金，凡在本</w:t>
      </w:r>
      <w:r>
        <w:rPr>
          <w:rFonts w:hint="default" w:ascii="Times New Roman" w:hAnsi="Times New Roman" w:eastAsia="仿宋_GB2312" w:cs="Times New Roman"/>
          <w:b w:val="0"/>
          <w:bCs w:val="0"/>
          <w:snapToGrid w:val="0"/>
          <w:color w:val="000000"/>
          <w:spacing w:val="0"/>
          <w:w w:val="100"/>
          <w:kern w:val="0"/>
          <w:sz w:val="32"/>
          <w:szCs w:val="32"/>
          <w:lang w:val="en-US" w:eastAsia="zh-CN"/>
        </w:rPr>
        <w:t>区</w:t>
      </w:r>
      <w:r>
        <w:rPr>
          <w:rFonts w:hint="default" w:ascii="Times New Roman" w:hAnsi="Times New Roman" w:eastAsia="仿宋_GB2312" w:cs="Times New Roman"/>
          <w:b w:val="0"/>
          <w:bCs w:val="0"/>
          <w:snapToGrid w:val="0"/>
          <w:color w:val="000000"/>
          <w:spacing w:val="0"/>
          <w:w w:val="100"/>
          <w:kern w:val="0"/>
          <w:sz w:val="32"/>
          <w:szCs w:val="32"/>
        </w:rPr>
        <w:t>城市规划区内新建、改建和扩建建设项目</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含临时建设项目</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的单位或个人，均应按照本办法缴纳城市基础设施配套费。</w:t>
      </w:r>
    </w:p>
    <w:p w14:paraId="5579C743">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仿宋_GB2312" w:cs="Times New Roman"/>
          <w:b w:val="0"/>
          <w:bCs w:val="0"/>
          <w:snapToGrid w:val="0"/>
          <w:color w:val="000000"/>
          <w:spacing w:val="0"/>
          <w:w w:val="100"/>
          <w:kern w:val="0"/>
          <w:sz w:val="32"/>
          <w:szCs w:val="32"/>
          <w:u w:val="none"/>
          <w:lang w:eastAsia="zh-CN"/>
        </w:rPr>
      </w:pPr>
      <w:r>
        <w:rPr>
          <w:rFonts w:hint="default" w:ascii="Times New Roman" w:hAnsi="Times New Roman" w:eastAsia="黑体" w:cs="Times New Roman"/>
          <w:b w:val="0"/>
          <w:bCs w:val="0"/>
          <w:snapToGrid w:val="0"/>
          <w:color w:val="000000"/>
          <w:spacing w:val="0"/>
          <w:w w:val="100"/>
          <w:kern w:val="0"/>
          <w:sz w:val="32"/>
          <w:szCs w:val="32"/>
        </w:rPr>
        <w:t>第四条　</w:t>
      </w:r>
      <w:r>
        <w:rPr>
          <w:rFonts w:hint="default" w:ascii="Times New Roman" w:hAnsi="Times New Roman" w:eastAsia="仿宋_GB2312" w:cs="Times New Roman"/>
          <w:b w:val="0"/>
          <w:bCs w:val="0"/>
          <w:snapToGrid w:val="0"/>
          <w:color w:val="000000"/>
          <w:spacing w:val="2"/>
          <w:w w:val="100"/>
          <w:kern w:val="0"/>
          <w:sz w:val="32"/>
          <w:szCs w:val="32"/>
          <w:u w:val="none"/>
        </w:rPr>
        <w:t>在</w:t>
      </w:r>
      <w:r>
        <w:rPr>
          <w:rFonts w:hint="default" w:ascii="Times New Roman" w:hAnsi="Times New Roman" w:eastAsia="仿宋_GB2312" w:cs="Times New Roman"/>
          <w:b w:val="0"/>
          <w:bCs w:val="0"/>
          <w:snapToGrid w:val="0"/>
          <w:color w:val="000000"/>
          <w:spacing w:val="-6"/>
          <w:w w:val="100"/>
          <w:kern w:val="0"/>
          <w:sz w:val="32"/>
          <w:szCs w:val="32"/>
          <w:u w:val="none"/>
          <w:lang w:val="en-US" w:eastAsia="zh-CN"/>
        </w:rPr>
        <w:t>我区</w:t>
      </w:r>
      <w:r>
        <w:rPr>
          <w:rFonts w:hint="default" w:ascii="Times New Roman" w:hAnsi="Times New Roman" w:eastAsia="仿宋_GB2312" w:cs="Times New Roman"/>
          <w:b w:val="0"/>
          <w:bCs w:val="0"/>
          <w:snapToGrid w:val="0"/>
          <w:color w:val="000000"/>
          <w:spacing w:val="-6"/>
          <w:w w:val="100"/>
          <w:kern w:val="0"/>
          <w:sz w:val="32"/>
          <w:szCs w:val="32"/>
          <w:u w:val="none"/>
        </w:rPr>
        <w:t>区划调整过渡期内</w:t>
      </w:r>
      <w:r>
        <w:rPr>
          <w:rFonts w:hint="default" w:ascii="Times New Roman" w:hAnsi="Times New Roman" w:eastAsia="仿宋_GB2312" w:cs="Times New Roman"/>
          <w:b w:val="0"/>
          <w:bCs w:val="0"/>
          <w:snapToGrid w:val="0"/>
          <w:color w:val="000000"/>
          <w:spacing w:val="-6"/>
          <w:w w:val="100"/>
          <w:kern w:val="0"/>
          <w:sz w:val="32"/>
          <w:szCs w:val="32"/>
          <w:u w:val="none"/>
          <w:lang w:eastAsia="zh-CN"/>
        </w:rPr>
        <w:t>，</w:t>
      </w:r>
      <w:r>
        <w:rPr>
          <w:rFonts w:hint="default" w:ascii="Times New Roman" w:hAnsi="Times New Roman" w:eastAsia="仿宋_GB2312" w:cs="Times New Roman"/>
          <w:b w:val="0"/>
          <w:bCs w:val="0"/>
          <w:snapToGrid w:val="0"/>
          <w:color w:val="000000"/>
          <w:spacing w:val="-6"/>
          <w:w w:val="100"/>
          <w:kern w:val="0"/>
          <w:sz w:val="32"/>
          <w:szCs w:val="32"/>
          <w:u w:val="none"/>
          <w:lang w:val="en-US" w:eastAsia="zh-CN"/>
        </w:rPr>
        <w:t>区</w:t>
      </w:r>
      <w:r>
        <w:rPr>
          <w:rFonts w:hint="default" w:ascii="Times New Roman" w:hAnsi="Times New Roman" w:eastAsia="仿宋_GB2312" w:cs="Times New Roman"/>
          <w:b w:val="0"/>
          <w:bCs w:val="0"/>
          <w:snapToGrid w:val="0"/>
          <w:color w:val="000000"/>
          <w:spacing w:val="-6"/>
          <w:w w:val="100"/>
          <w:kern w:val="0"/>
          <w:sz w:val="32"/>
          <w:szCs w:val="32"/>
          <w:u w:val="none"/>
        </w:rPr>
        <w:t>住房</w:t>
      </w:r>
      <w:r>
        <w:rPr>
          <w:rFonts w:hint="default" w:ascii="Times New Roman" w:hAnsi="Times New Roman" w:eastAsia="仿宋_GB2312" w:cs="Times New Roman"/>
          <w:b w:val="0"/>
          <w:bCs w:val="0"/>
          <w:snapToGrid w:val="0"/>
          <w:color w:val="000000"/>
          <w:spacing w:val="-6"/>
          <w:w w:val="100"/>
          <w:kern w:val="0"/>
          <w:sz w:val="32"/>
          <w:szCs w:val="32"/>
          <w:u w:val="none"/>
          <w:lang w:eastAsia="zh-CN"/>
        </w:rPr>
        <w:t>和</w:t>
      </w:r>
      <w:r>
        <w:rPr>
          <w:rFonts w:hint="default" w:ascii="Times New Roman" w:hAnsi="Times New Roman" w:eastAsia="仿宋_GB2312" w:cs="Times New Roman"/>
          <w:b w:val="0"/>
          <w:bCs w:val="0"/>
          <w:snapToGrid w:val="0"/>
          <w:color w:val="000000"/>
          <w:spacing w:val="-6"/>
          <w:w w:val="100"/>
          <w:kern w:val="0"/>
          <w:sz w:val="32"/>
          <w:szCs w:val="32"/>
          <w:u w:val="none"/>
        </w:rPr>
        <w:t>城乡建设局</w:t>
      </w:r>
      <w:r>
        <w:rPr>
          <w:rFonts w:hint="default" w:ascii="Times New Roman" w:hAnsi="Times New Roman" w:eastAsia="仿宋_GB2312" w:cs="Times New Roman"/>
          <w:b w:val="0"/>
          <w:bCs w:val="0"/>
          <w:snapToGrid w:val="0"/>
          <w:color w:val="000000"/>
          <w:spacing w:val="-6"/>
          <w:w w:val="100"/>
          <w:kern w:val="0"/>
          <w:sz w:val="32"/>
          <w:szCs w:val="32"/>
          <w:u w:val="none"/>
          <w:lang w:val="en-US" w:eastAsia="zh-CN"/>
        </w:rPr>
        <w:t>作为代征部门，</w:t>
      </w:r>
      <w:r>
        <w:rPr>
          <w:rFonts w:hint="default" w:ascii="Times New Roman" w:hAnsi="Times New Roman" w:eastAsia="仿宋_GB2312" w:cs="Times New Roman"/>
          <w:b w:val="0"/>
          <w:bCs w:val="0"/>
          <w:snapToGrid w:val="0"/>
          <w:color w:val="000000"/>
          <w:spacing w:val="-6"/>
          <w:w w:val="100"/>
          <w:kern w:val="0"/>
          <w:sz w:val="32"/>
          <w:szCs w:val="32"/>
          <w:u w:val="none"/>
        </w:rPr>
        <w:t>负责</w:t>
      </w:r>
      <w:r>
        <w:rPr>
          <w:rFonts w:hint="default" w:ascii="Times New Roman" w:hAnsi="Times New Roman" w:eastAsia="仿宋_GB2312" w:cs="Times New Roman"/>
          <w:b w:val="0"/>
          <w:bCs w:val="0"/>
          <w:snapToGrid w:val="0"/>
          <w:color w:val="000000"/>
          <w:spacing w:val="-6"/>
          <w:w w:val="100"/>
          <w:kern w:val="0"/>
          <w:sz w:val="32"/>
          <w:szCs w:val="32"/>
          <w:u w:val="none"/>
          <w:lang w:val="en-US" w:eastAsia="zh-CN"/>
        </w:rPr>
        <w:t>我区范围内</w:t>
      </w:r>
      <w:r>
        <w:rPr>
          <w:rFonts w:hint="default" w:ascii="Times New Roman" w:hAnsi="Times New Roman" w:eastAsia="仿宋_GB2312" w:cs="Times New Roman"/>
          <w:b w:val="0"/>
          <w:bCs w:val="0"/>
          <w:snapToGrid w:val="0"/>
          <w:color w:val="000000"/>
          <w:spacing w:val="-6"/>
          <w:w w:val="100"/>
          <w:kern w:val="0"/>
          <w:sz w:val="32"/>
          <w:szCs w:val="32"/>
          <w:u w:val="none"/>
        </w:rPr>
        <w:t>审批项目城市基础设施配套费的征</w:t>
      </w:r>
      <w:r>
        <w:rPr>
          <w:rFonts w:hint="default" w:ascii="Times New Roman" w:hAnsi="Times New Roman" w:eastAsia="仿宋_GB2312" w:cs="Times New Roman"/>
          <w:b w:val="0"/>
          <w:bCs w:val="0"/>
          <w:snapToGrid w:val="0"/>
          <w:color w:val="000000"/>
          <w:spacing w:val="-8"/>
          <w:w w:val="100"/>
          <w:kern w:val="0"/>
          <w:sz w:val="32"/>
          <w:szCs w:val="32"/>
          <w:u w:val="none"/>
        </w:rPr>
        <w:t>收。</w:t>
      </w:r>
    </w:p>
    <w:p w14:paraId="75B138F4">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p>
    <w:p w14:paraId="2906115C">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92" w:lineRule="exact"/>
        <w:ind w:left="0" w:leftChars="0" w:right="0" w:rightChars="0" w:firstLine="0" w:firstLineChars="0"/>
        <w:jc w:val="center"/>
        <w:textAlignment w:val="auto"/>
        <w:rPr>
          <w:rFonts w:hint="default" w:ascii="Times New Roman" w:hAnsi="Times New Roman" w:eastAsia="黑体" w:cs="Times New Roman"/>
          <w:b w:val="0"/>
          <w:bCs w:val="0"/>
          <w:snapToGrid w:val="0"/>
          <w:color w:val="000000"/>
          <w:spacing w:val="0"/>
          <w:w w:val="100"/>
          <w:kern w:val="0"/>
          <w:sz w:val="32"/>
          <w:szCs w:val="32"/>
        </w:rPr>
      </w:pPr>
      <w:r>
        <w:rPr>
          <w:rFonts w:hint="default" w:ascii="Times New Roman" w:hAnsi="Times New Roman" w:eastAsia="黑体" w:cs="Times New Roman"/>
          <w:b w:val="0"/>
          <w:bCs w:val="0"/>
          <w:snapToGrid w:val="0"/>
          <w:color w:val="000000"/>
          <w:spacing w:val="0"/>
          <w:w w:val="100"/>
          <w:kern w:val="0"/>
          <w:sz w:val="32"/>
          <w:szCs w:val="32"/>
          <w:lang w:val="en-US" w:eastAsia="zh-CN" w:bidi="ar-SA"/>
        </w:rPr>
        <w:t>第二章　</w:t>
      </w:r>
      <w:r>
        <w:rPr>
          <w:rFonts w:hint="default" w:ascii="Times New Roman" w:hAnsi="Times New Roman" w:eastAsia="黑体" w:cs="Times New Roman"/>
          <w:b w:val="0"/>
          <w:bCs w:val="0"/>
          <w:snapToGrid w:val="0"/>
          <w:color w:val="000000"/>
          <w:spacing w:val="0"/>
          <w:w w:val="100"/>
          <w:kern w:val="0"/>
          <w:sz w:val="32"/>
          <w:szCs w:val="32"/>
        </w:rPr>
        <w:t>城市基础设施配套费征收</w:t>
      </w:r>
    </w:p>
    <w:p w14:paraId="2AFBB533">
      <w:pPr>
        <w:pStyle w:val="2"/>
        <w:keepNext w:val="0"/>
        <w:keepLines w:val="0"/>
        <w:pageBreakBefore w:val="0"/>
        <w:widowControl w:val="0"/>
        <w:numPr>
          <w:ilvl w:val="0"/>
          <w:numId w:val="0"/>
        </w:numPr>
        <w:kinsoku/>
        <w:wordWrap/>
        <w:overflowPunct/>
        <w:topLinePunct w:val="0"/>
        <w:autoSpaceDE/>
        <w:autoSpaceDN/>
        <w:bidi w:val="0"/>
        <w:spacing w:line="590" w:lineRule="exact"/>
        <w:ind w:left="0" w:leftChars="0" w:right="0" w:rightChars="0"/>
        <w:textAlignment w:val="auto"/>
        <w:rPr>
          <w:rFonts w:hint="default" w:ascii="Times New Roman" w:hAnsi="Times New Roman" w:cs="Times New Roman"/>
        </w:rPr>
      </w:pPr>
    </w:p>
    <w:p w14:paraId="2940FC9B">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r>
        <w:rPr>
          <w:rFonts w:hint="default" w:ascii="Times New Roman" w:hAnsi="Times New Roman" w:eastAsia="黑体" w:cs="Times New Roman"/>
          <w:b w:val="0"/>
          <w:bCs w:val="0"/>
          <w:snapToGrid w:val="0"/>
          <w:color w:val="000000"/>
          <w:spacing w:val="0"/>
          <w:w w:val="100"/>
          <w:kern w:val="0"/>
          <w:sz w:val="32"/>
          <w:szCs w:val="32"/>
        </w:rPr>
        <w:t>第五条　</w:t>
      </w:r>
      <w:r>
        <w:rPr>
          <w:rFonts w:hint="default" w:ascii="Times New Roman" w:hAnsi="Times New Roman" w:eastAsia="仿宋_GB2312" w:cs="Times New Roman"/>
          <w:b w:val="0"/>
          <w:bCs w:val="0"/>
          <w:snapToGrid w:val="0"/>
          <w:color w:val="000000"/>
          <w:spacing w:val="0"/>
          <w:w w:val="100"/>
          <w:kern w:val="0"/>
          <w:sz w:val="32"/>
          <w:szCs w:val="32"/>
        </w:rPr>
        <w:t>城市基础设施配套费的征收标准按规划批准的建筑面积计征，每平方米征收120元。</w:t>
      </w:r>
    </w:p>
    <w:p w14:paraId="1802657B">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r>
        <w:rPr>
          <w:rFonts w:hint="default" w:ascii="Times New Roman" w:hAnsi="Times New Roman" w:eastAsia="黑体" w:cs="Times New Roman"/>
          <w:b w:val="0"/>
          <w:bCs w:val="0"/>
          <w:snapToGrid w:val="0"/>
          <w:color w:val="000000"/>
          <w:spacing w:val="0"/>
          <w:w w:val="100"/>
          <w:kern w:val="0"/>
          <w:sz w:val="32"/>
          <w:szCs w:val="32"/>
        </w:rPr>
        <w:t>第六条　</w:t>
      </w:r>
      <w:r>
        <w:rPr>
          <w:rFonts w:hint="default" w:ascii="Times New Roman" w:hAnsi="Times New Roman" w:eastAsia="仿宋_GB2312" w:cs="Times New Roman"/>
          <w:b w:val="0"/>
          <w:bCs w:val="0"/>
          <w:snapToGrid w:val="0"/>
          <w:color w:val="000000"/>
          <w:spacing w:val="0"/>
          <w:w w:val="100"/>
          <w:kern w:val="0"/>
          <w:sz w:val="32"/>
          <w:szCs w:val="32"/>
        </w:rPr>
        <w:t>建设单位和个人应在办理建筑工程施工许可证前，按征收部门告知的程序缴纳城市基础设施配套费。</w:t>
      </w:r>
    </w:p>
    <w:p w14:paraId="3051E900">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仿宋_GB2312" w:cs="Times New Roman"/>
          <w:b w:val="0"/>
          <w:bCs w:val="0"/>
          <w:snapToGrid w:val="0"/>
          <w:color w:val="000000"/>
          <w:spacing w:val="0"/>
          <w:w w:val="100"/>
          <w:kern w:val="0"/>
          <w:sz w:val="32"/>
          <w:szCs w:val="32"/>
          <w:lang w:eastAsia="zh-CN"/>
        </w:rPr>
      </w:pPr>
      <w:r>
        <w:rPr>
          <w:rFonts w:hint="default" w:ascii="Times New Roman" w:hAnsi="Times New Roman" w:eastAsia="黑体" w:cs="Times New Roman"/>
          <w:b w:val="0"/>
          <w:bCs w:val="0"/>
          <w:snapToGrid w:val="0"/>
          <w:color w:val="000000"/>
          <w:spacing w:val="0"/>
          <w:w w:val="100"/>
          <w:kern w:val="0"/>
          <w:sz w:val="32"/>
          <w:szCs w:val="32"/>
        </w:rPr>
        <w:t>第七条　</w:t>
      </w:r>
      <w:r>
        <w:rPr>
          <w:rFonts w:hint="default" w:ascii="Times New Roman" w:hAnsi="Times New Roman" w:eastAsia="仿宋_GB2312" w:cs="Times New Roman"/>
          <w:b w:val="0"/>
          <w:bCs w:val="0"/>
          <w:snapToGrid w:val="0"/>
          <w:color w:val="000000"/>
          <w:spacing w:val="0"/>
          <w:w w:val="100"/>
          <w:kern w:val="0"/>
          <w:sz w:val="32"/>
          <w:szCs w:val="32"/>
        </w:rPr>
        <w:t>缴纳城市基础设施配套费时，建筑面积和建设用途应以自然资源和规划部门核发的《建设工程规划许可证》面积和建设用途为准。在规划核实阶段，超出规划建筑面积的，自然资源和规划部门出具认定超建面积，建设单位对超建部分必须按现行标准补缴城市基础设施配套费。实际建筑面积少于规划建筑面积的，自然资源和规划部门应当出具认定少建面积</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征收部门校核出具多缴金额等证明性材料，建设单位或个人持相关证明材料向</w:t>
      </w:r>
      <w:r>
        <w:rPr>
          <w:rFonts w:hint="default" w:ascii="Times New Roman" w:hAnsi="Times New Roman" w:eastAsia="仿宋_GB2312" w:cs="Times New Roman"/>
          <w:b w:val="0"/>
          <w:bCs w:val="0"/>
          <w:snapToGrid w:val="0"/>
          <w:color w:val="000000"/>
          <w:spacing w:val="0"/>
          <w:w w:val="100"/>
          <w:kern w:val="0"/>
          <w:sz w:val="32"/>
          <w:szCs w:val="32"/>
          <w:lang w:val="en-US" w:eastAsia="zh-CN"/>
        </w:rPr>
        <w:t>区</w:t>
      </w:r>
      <w:r>
        <w:rPr>
          <w:rFonts w:hint="default" w:ascii="Times New Roman" w:hAnsi="Times New Roman" w:eastAsia="仿宋_GB2312" w:cs="Times New Roman"/>
          <w:b w:val="0"/>
          <w:bCs w:val="0"/>
          <w:snapToGrid w:val="0"/>
          <w:color w:val="000000"/>
          <w:spacing w:val="0"/>
          <w:w w:val="100"/>
          <w:kern w:val="0"/>
          <w:sz w:val="32"/>
          <w:szCs w:val="32"/>
        </w:rPr>
        <w:t>财政局提出书面申请，</w:t>
      </w:r>
      <w:r>
        <w:rPr>
          <w:rFonts w:hint="default" w:ascii="Times New Roman" w:hAnsi="Times New Roman" w:eastAsia="仿宋_GB2312" w:cs="Times New Roman"/>
          <w:b w:val="0"/>
          <w:bCs w:val="0"/>
          <w:snapToGrid w:val="0"/>
          <w:color w:val="000000"/>
          <w:spacing w:val="0"/>
          <w:w w:val="100"/>
          <w:kern w:val="0"/>
          <w:sz w:val="32"/>
          <w:szCs w:val="32"/>
          <w:lang w:val="en-US" w:eastAsia="zh-CN"/>
        </w:rPr>
        <w:t>区</w:t>
      </w:r>
      <w:r>
        <w:rPr>
          <w:rFonts w:hint="default" w:ascii="Times New Roman" w:hAnsi="Times New Roman" w:eastAsia="仿宋_GB2312" w:cs="Times New Roman"/>
          <w:b w:val="0"/>
          <w:bCs w:val="0"/>
          <w:snapToGrid w:val="0"/>
          <w:color w:val="000000"/>
          <w:spacing w:val="0"/>
          <w:w w:val="100"/>
          <w:kern w:val="0"/>
          <w:sz w:val="32"/>
          <w:szCs w:val="32"/>
        </w:rPr>
        <w:t>财政局审核后予以退还。</w:t>
      </w:r>
    </w:p>
    <w:p w14:paraId="1E2C3315">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p>
    <w:p w14:paraId="02D2435C">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0" w:firstLineChars="0"/>
        <w:jc w:val="center"/>
        <w:textAlignment w:val="auto"/>
        <w:rPr>
          <w:rFonts w:hint="default" w:ascii="Times New Roman" w:hAnsi="Times New Roman" w:eastAsia="黑体" w:cs="Times New Roman"/>
          <w:b w:val="0"/>
          <w:bCs w:val="0"/>
          <w:snapToGrid w:val="0"/>
          <w:color w:val="000000"/>
          <w:spacing w:val="0"/>
          <w:w w:val="100"/>
          <w:kern w:val="0"/>
          <w:sz w:val="32"/>
          <w:szCs w:val="32"/>
        </w:rPr>
      </w:pPr>
      <w:r>
        <w:rPr>
          <w:rFonts w:hint="default" w:ascii="Times New Roman" w:hAnsi="Times New Roman" w:eastAsia="黑体" w:cs="Times New Roman"/>
          <w:b w:val="0"/>
          <w:bCs w:val="0"/>
          <w:snapToGrid w:val="0"/>
          <w:color w:val="000000"/>
          <w:spacing w:val="0"/>
          <w:w w:val="100"/>
          <w:kern w:val="0"/>
          <w:sz w:val="32"/>
          <w:szCs w:val="32"/>
          <w:lang w:val="en-US" w:eastAsia="zh-CN"/>
        </w:rPr>
        <w:t>第三章　</w:t>
      </w:r>
      <w:r>
        <w:rPr>
          <w:rFonts w:hint="default" w:ascii="Times New Roman" w:hAnsi="Times New Roman" w:eastAsia="黑体" w:cs="Times New Roman"/>
          <w:b w:val="0"/>
          <w:bCs w:val="0"/>
          <w:snapToGrid w:val="0"/>
          <w:color w:val="000000"/>
          <w:spacing w:val="0"/>
          <w:w w:val="100"/>
          <w:kern w:val="0"/>
          <w:sz w:val="32"/>
          <w:szCs w:val="32"/>
        </w:rPr>
        <w:t>城市基础设施配套费减免及缓缴</w:t>
      </w:r>
    </w:p>
    <w:p w14:paraId="563441C4">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p>
    <w:p w14:paraId="104C009F">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r>
        <w:rPr>
          <w:rFonts w:hint="default" w:ascii="Times New Roman" w:hAnsi="Times New Roman" w:eastAsia="黑体" w:cs="Times New Roman"/>
          <w:b w:val="0"/>
          <w:bCs w:val="0"/>
          <w:snapToGrid w:val="0"/>
          <w:color w:val="000000"/>
          <w:spacing w:val="0"/>
          <w:w w:val="100"/>
          <w:kern w:val="0"/>
          <w:sz w:val="32"/>
          <w:szCs w:val="32"/>
        </w:rPr>
        <w:t>第八条　</w:t>
      </w:r>
      <w:r>
        <w:rPr>
          <w:rFonts w:hint="default" w:ascii="Times New Roman" w:hAnsi="Times New Roman" w:eastAsia="仿宋_GB2312" w:cs="Times New Roman"/>
          <w:b w:val="0"/>
          <w:bCs w:val="0"/>
          <w:snapToGrid w:val="0"/>
          <w:color w:val="000000"/>
          <w:spacing w:val="0"/>
          <w:w w:val="100"/>
          <w:kern w:val="0"/>
          <w:sz w:val="32"/>
          <w:szCs w:val="32"/>
        </w:rPr>
        <w:t>符合国务院、省政府、市政府关于城市基础设施配套费减免相关规定的，由申请单位提供证明材料，征收部门审核后直接减免或优惠。</w:t>
      </w:r>
    </w:p>
    <w:p w14:paraId="533080B7">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仿宋_GB2312" w:cs="Times New Roman"/>
          <w:b w:val="0"/>
          <w:bCs w:val="0"/>
          <w:snapToGrid w:val="0"/>
          <w:color w:val="000000"/>
          <w:spacing w:val="0"/>
          <w:w w:val="100"/>
          <w:kern w:val="0"/>
          <w:sz w:val="32"/>
          <w:szCs w:val="32"/>
          <w:lang w:eastAsia="zh-CN"/>
        </w:rPr>
      </w:pPr>
      <w:r>
        <w:rPr>
          <w:rFonts w:hint="default" w:ascii="Times New Roman" w:hAnsi="Times New Roman" w:eastAsia="黑体" w:cs="Times New Roman"/>
          <w:b w:val="0"/>
          <w:bCs w:val="0"/>
          <w:snapToGrid w:val="0"/>
          <w:color w:val="000000"/>
          <w:spacing w:val="0"/>
          <w:w w:val="100"/>
          <w:kern w:val="0"/>
          <w:sz w:val="32"/>
          <w:szCs w:val="32"/>
        </w:rPr>
        <w:t>第九条　</w:t>
      </w:r>
      <w:r>
        <w:rPr>
          <w:rFonts w:hint="default" w:ascii="Times New Roman" w:hAnsi="Times New Roman" w:eastAsia="仿宋_GB2312" w:cs="Times New Roman"/>
          <w:b w:val="0"/>
          <w:bCs w:val="0"/>
          <w:snapToGrid w:val="0"/>
          <w:color w:val="000000"/>
          <w:spacing w:val="0"/>
          <w:w w:val="100"/>
          <w:kern w:val="0"/>
          <w:sz w:val="32"/>
          <w:szCs w:val="32"/>
        </w:rPr>
        <w:t>直接免收的范围</w:t>
      </w:r>
    </w:p>
    <w:p w14:paraId="43A6819E">
      <w:pPr>
        <w:widowControl w:val="0"/>
        <w:spacing w:before="0" w:after="0" w:line="590" w:lineRule="exact"/>
        <w:ind w:firstLine="640" w:firstLineChars="200"/>
        <w:jc w:val="both"/>
        <w:rPr>
          <w:rFonts w:hint="default" w:ascii="Times New Roman" w:hAnsi="Times New Roman" w:eastAsia="仿宋_GB2312" w:cs="Times New Roman"/>
          <w:b w:val="0"/>
          <w:bCs w:val="0"/>
          <w:snapToGrid w:val="0"/>
          <w:color w:val="000000"/>
          <w:spacing w:val="0"/>
          <w:w w:val="100"/>
          <w:kern w:val="0"/>
          <w:sz w:val="32"/>
          <w:szCs w:val="32"/>
          <w:lang w:eastAsia="zh-CN"/>
        </w:rPr>
      </w:pPr>
      <w:r>
        <w:rPr>
          <w:rFonts w:hint="default" w:ascii="Times New Roman" w:hAnsi="Times New Roman" w:eastAsia="仿宋_GB2312" w:cs="Times New Roman"/>
          <w:b w:val="0"/>
          <w:bCs w:val="0"/>
          <w:snapToGrid w:val="0"/>
          <w:color w:val="000000"/>
          <w:spacing w:val="0"/>
          <w:w w:val="100"/>
          <w:kern w:val="0"/>
          <w:sz w:val="32"/>
          <w:szCs w:val="32"/>
        </w:rPr>
        <w:t>1</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直接用于军事目的的指挥中心</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所</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、营房、训练场、试验场、军用仓库等国防设施，以及监狱、强制戒毒所、收容所、拘留所、看守所、留置基地、派出所、消防站、养老院、公厕、垃圾中转站、污水</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污泥</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处理、供水、供热、供气、供电设施等城市公共基础配套设施免收城市基础设施配套费。配建的宿舍、家属楼、商业用房等项目，全额征收城市基础设施配套费。</w:t>
      </w:r>
    </w:p>
    <w:p w14:paraId="4EA73091">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r>
        <w:rPr>
          <w:rFonts w:hint="default" w:ascii="Times New Roman" w:hAnsi="Times New Roman" w:eastAsia="仿宋_GB2312" w:cs="Times New Roman"/>
          <w:b w:val="0"/>
          <w:bCs w:val="0"/>
          <w:snapToGrid w:val="0"/>
          <w:color w:val="000000"/>
          <w:spacing w:val="0"/>
          <w:w w:val="100"/>
          <w:kern w:val="0"/>
          <w:sz w:val="32"/>
          <w:szCs w:val="32"/>
        </w:rPr>
        <w:t>2</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中小学及幼儿园的教学用房、行政用房、实验楼、图书馆</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楼</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、体育场馆、餐厅、学生宿舍、教师宿舍</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公寓</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、门楼及地下空间</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不包含利用操场地下空间的社会投资类项目</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免收城市基础设施配套费。配建的家属楼、商业用房等项目全额征收城市基础设施配套费。</w:t>
      </w:r>
    </w:p>
    <w:p w14:paraId="014D3057">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仿宋_GB2312" w:cs="Times New Roman"/>
          <w:b w:val="0"/>
          <w:bCs w:val="0"/>
          <w:snapToGrid w:val="0"/>
          <w:color w:val="000000"/>
          <w:spacing w:val="0"/>
          <w:w w:val="100"/>
          <w:kern w:val="0"/>
          <w:sz w:val="32"/>
          <w:szCs w:val="32"/>
          <w:lang w:eastAsia="zh-CN"/>
        </w:rPr>
      </w:pPr>
      <w:r>
        <w:rPr>
          <w:rFonts w:hint="default" w:ascii="Times New Roman" w:hAnsi="Times New Roman" w:eastAsia="黑体" w:cs="Times New Roman"/>
          <w:b w:val="0"/>
          <w:bCs w:val="0"/>
          <w:snapToGrid w:val="0"/>
          <w:color w:val="000000"/>
          <w:spacing w:val="0"/>
          <w:w w:val="100"/>
          <w:kern w:val="0"/>
          <w:sz w:val="32"/>
          <w:szCs w:val="32"/>
        </w:rPr>
        <w:t>第十条　</w:t>
      </w:r>
      <w:r>
        <w:rPr>
          <w:rFonts w:hint="default" w:ascii="Times New Roman" w:hAnsi="Times New Roman" w:eastAsia="仿宋_GB2312" w:cs="Times New Roman"/>
          <w:b w:val="0"/>
          <w:bCs w:val="0"/>
          <w:snapToGrid w:val="0"/>
          <w:color w:val="000000"/>
          <w:spacing w:val="0"/>
          <w:w w:val="100"/>
          <w:kern w:val="0"/>
          <w:sz w:val="32"/>
          <w:szCs w:val="32"/>
        </w:rPr>
        <w:t>享受优惠的范围</w:t>
      </w:r>
    </w:p>
    <w:p w14:paraId="64B8518D">
      <w:pPr>
        <w:widowControl w:val="0"/>
        <w:spacing w:before="0" w:after="0" w:line="590" w:lineRule="exact"/>
        <w:ind w:firstLine="640" w:firstLineChars="200"/>
        <w:jc w:val="both"/>
        <w:rPr>
          <w:rFonts w:hint="default" w:ascii="Times New Roman" w:hAnsi="Times New Roman" w:eastAsia="仿宋_GB2312" w:cs="Times New Roman"/>
          <w:b w:val="0"/>
          <w:bCs w:val="0"/>
          <w:snapToGrid w:val="0"/>
          <w:color w:val="000000"/>
          <w:spacing w:val="0"/>
          <w:w w:val="100"/>
          <w:kern w:val="0"/>
          <w:sz w:val="32"/>
          <w:szCs w:val="32"/>
          <w:lang w:eastAsia="zh-CN"/>
        </w:rPr>
      </w:pPr>
      <w:r>
        <w:rPr>
          <w:rFonts w:hint="default" w:ascii="Times New Roman" w:hAnsi="Times New Roman" w:eastAsia="仿宋_GB2312" w:cs="Times New Roman"/>
          <w:b w:val="0"/>
          <w:bCs w:val="0"/>
          <w:snapToGrid w:val="0"/>
          <w:color w:val="000000"/>
          <w:spacing w:val="0"/>
          <w:w w:val="100"/>
          <w:kern w:val="0"/>
          <w:sz w:val="32"/>
          <w:szCs w:val="32"/>
        </w:rPr>
        <w:t>1</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工业厂房项目按规划建筑面积</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征收标准为40元/平方米，工业项目</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含新型产业用地及政府明确参照工业厂房征收标准执行的项目</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利用地下空间解决停车、人防设施部分，按照40元/平方米标准征收城市基础设施配套费。办公楼、宿舍楼、</w:t>
      </w:r>
      <w:r>
        <w:rPr>
          <w:rFonts w:hint="default" w:ascii="Times New Roman" w:hAnsi="Times New Roman" w:eastAsia="仿宋_GB2312" w:cs="Times New Roman"/>
          <w:b w:val="0"/>
          <w:bCs w:val="0"/>
          <w:snapToGrid w:val="0"/>
          <w:color w:val="000000"/>
          <w:spacing w:val="4"/>
          <w:w w:val="100"/>
          <w:kern w:val="0"/>
          <w:sz w:val="32"/>
          <w:szCs w:val="32"/>
        </w:rPr>
        <w:t>餐厅、研发中心配套服务设施及其地下空间按120元/平方米标</w:t>
      </w:r>
      <w:r>
        <w:rPr>
          <w:rFonts w:hint="default" w:ascii="Times New Roman" w:hAnsi="Times New Roman" w:eastAsia="仿宋_GB2312" w:cs="Times New Roman"/>
          <w:b w:val="0"/>
          <w:bCs w:val="0"/>
          <w:snapToGrid w:val="0"/>
          <w:color w:val="000000"/>
          <w:spacing w:val="2"/>
          <w:w w:val="100"/>
          <w:kern w:val="0"/>
          <w:sz w:val="32"/>
          <w:szCs w:val="32"/>
        </w:rPr>
        <w:t>准征收。企业制造工艺需使用热力、燃气，燃气按使用设备日</w:t>
      </w:r>
      <w:r>
        <w:rPr>
          <w:rFonts w:hint="default" w:ascii="Times New Roman" w:hAnsi="Times New Roman" w:eastAsia="仿宋_GB2312" w:cs="Times New Roman"/>
          <w:b w:val="0"/>
          <w:bCs w:val="0"/>
          <w:snapToGrid w:val="0"/>
          <w:color w:val="000000"/>
          <w:spacing w:val="0"/>
          <w:w w:val="100"/>
          <w:kern w:val="0"/>
          <w:sz w:val="32"/>
          <w:szCs w:val="32"/>
        </w:rPr>
        <w:t>用气量500元/立方米征收，蒸汽和高温热水按小时最大用量计算，蒸汽按35万元/吨征收，高温热水按3.5万元/吨征收。供热、供气单位应将管网建设至用户建筑区划红线，项目的具体</w:t>
      </w:r>
      <w:r>
        <w:rPr>
          <w:rFonts w:hint="default" w:ascii="Times New Roman" w:hAnsi="Times New Roman" w:eastAsia="仿宋_GB2312" w:cs="Times New Roman"/>
          <w:b w:val="0"/>
          <w:bCs w:val="0"/>
          <w:snapToGrid w:val="0"/>
          <w:color w:val="000000"/>
          <w:spacing w:val="2"/>
          <w:w w:val="100"/>
          <w:kern w:val="0"/>
          <w:sz w:val="32"/>
          <w:szCs w:val="32"/>
        </w:rPr>
        <w:t>用气、用热量由供气、供热企业核定后，征收部门按标准进行征</w:t>
      </w:r>
      <w:r>
        <w:rPr>
          <w:rFonts w:hint="default" w:ascii="Times New Roman" w:hAnsi="Times New Roman" w:eastAsia="仿宋_GB2312" w:cs="Times New Roman"/>
          <w:b w:val="0"/>
          <w:bCs w:val="0"/>
          <w:snapToGrid w:val="0"/>
          <w:color w:val="000000"/>
          <w:spacing w:val="0"/>
          <w:w w:val="100"/>
          <w:kern w:val="0"/>
          <w:sz w:val="32"/>
          <w:szCs w:val="32"/>
        </w:rPr>
        <w:t>缴。</w:t>
      </w:r>
    </w:p>
    <w:p w14:paraId="2A3117F2">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r>
        <w:rPr>
          <w:rFonts w:hint="default" w:ascii="Times New Roman" w:hAnsi="Times New Roman" w:eastAsia="仿宋_GB2312" w:cs="Times New Roman"/>
          <w:b w:val="0"/>
          <w:bCs w:val="0"/>
          <w:snapToGrid w:val="0"/>
          <w:color w:val="000000"/>
          <w:spacing w:val="0"/>
          <w:w w:val="100"/>
          <w:kern w:val="0"/>
          <w:sz w:val="32"/>
          <w:szCs w:val="32"/>
        </w:rPr>
        <w:t>2</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20</w:t>
      </w:r>
      <w:r>
        <w:rPr>
          <w:rFonts w:hint="default" w:ascii="Times New Roman" w:hAnsi="Times New Roman" w:eastAsia="仿宋_GB2312" w:cs="Times New Roman"/>
          <w:b w:val="0"/>
          <w:bCs w:val="0"/>
          <w:snapToGrid w:val="0"/>
          <w:color w:val="000000"/>
          <w:spacing w:val="0"/>
          <w:w w:val="100"/>
          <w:kern w:val="0"/>
          <w:sz w:val="32"/>
          <w:szCs w:val="32"/>
          <w:lang w:eastAsia="zh-CN"/>
        </w:rPr>
        <w:t>21</w:t>
      </w:r>
      <w:r>
        <w:rPr>
          <w:rFonts w:hint="default" w:ascii="Times New Roman" w:hAnsi="Times New Roman" w:eastAsia="仿宋_GB2312" w:cs="Times New Roman"/>
          <w:b w:val="0"/>
          <w:bCs w:val="0"/>
          <w:snapToGrid w:val="0"/>
          <w:color w:val="000000"/>
          <w:spacing w:val="0"/>
          <w:w w:val="100"/>
          <w:kern w:val="0"/>
          <w:sz w:val="32"/>
          <w:szCs w:val="32"/>
        </w:rPr>
        <w:t>年</w:t>
      </w:r>
      <w:r>
        <w:rPr>
          <w:rFonts w:hint="default" w:ascii="Times New Roman" w:hAnsi="Times New Roman" w:eastAsia="仿宋_GB2312" w:cs="Times New Roman"/>
          <w:b w:val="0"/>
          <w:bCs w:val="0"/>
          <w:snapToGrid w:val="0"/>
          <w:color w:val="000000"/>
          <w:spacing w:val="0"/>
          <w:w w:val="100"/>
          <w:kern w:val="0"/>
          <w:sz w:val="32"/>
          <w:szCs w:val="32"/>
          <w:lang w:eastAsia="zh-CN"/>
        </w:rPr>
        <w:t>3</w:t>
      </w:r>
      <w:r>
        <w:rPr>
          <w:rFonts w:hint="default" w:ascii="Times New Roman" w:hAnsi="Times New Roman" w:eastAsia="仿宋_GB2312" w:cs="Times New Roman"/>
          <w:b w:val="0"/>
          <w:bCs w:val="0"/>
          <w:snapToGrid w:val="0"/>
          <w:color w:val="000000"/>
          <w:spacing w:val="0"/>
          <w:w w:val="100"/>
          <w:kern w:val="0"/>
          <w:sz w:val="32"/>
          <w:szCs w:val="32"/>
        </w:rPr>
        <w:t>月1日前办理《建筑工程施工许可证》的建设项目，在办理供热、供气等入网手续时，由供热、供气企业参照原标准与用户签订协议，相关费用由供热、供气企业自行收取。20</w:t>
      </w:r>
      <w:r>
        <w:rPr>
          <w:rFonts w:hint="default" w:ascii="Times New Roman" w:hAnsi="Times New Roman" w:eastAsia="仿宋_GB2312" w:cs="Times New Roman"/>
          <w:b w:val="0"/>
          <w:bCs w:val="0"/>
          <w:snapToGrid w:val="0"/>
          <w:color w:val="000000"/>
          <w:spacing w:val="0"/>
          <w:w w:val="100"/>
          <w:kern w:val="0"/>
          <w:sz w:val="32"/>
          <w:szCs w:val="32"/>
          <w:lang w:eastAsia="zh-CN"/>
        </w:rPr>
        <w:t>21</w:t>
      </w:r>
      <w:r>
        <w:rPr>
          <w:rFonts w:hint="default" w:ascii="Times New Roman" w:hAnsi="Times New Roman" w:eastAsia="仿宋_GB2312" w:cs="Times New Roman"/>
          <w:b w:val="0"/>
          <w:bCs w:val="0"/>
          <w:snapToGrid w:val="0"/>
          <w:color w:val="000000"/>
          <w:spacing w:val="0"/>
          <w:w w:val="100"/>
          <w:kern w:val="0"/>
          <w:sz w:val="32"/>
          <w:szCs w:val="32"/>
        </w:rPr>
        <w:t>年</w:t>
      </w:r>
      <w:r>
        <w:rPr>
          <w:rFonts w:hint="default" w:ascii="Times New Roman" w:hAnsi="Times New Roman" w:eastAsia="仿宋_GB2312" w:cs="Times New Roman"/>
          <w:b w:val="0"/>
          <w:bCs w:val="0"/>
          <w:snapToGrid w:val="0"/>
          <w:color w:val="000000"/>
          <w:spacing w:val="0"/>
          <w:w w:val="100"/>
          <w:kern w:val="0"/>
          <w:sz w:val="32"/>
          <w:szCs w:val="32"/>
          <w:lang w:eastAsia="zh-CN"/>
        </w:rPr>
        <w:t>3</w:t>
      </w:r>
      <w:r>
        <w:rPr>
          <w:rFonts w:hint="default" w:ascii="Times New Roman" w:hAnsi="Times New Roman" w:eastAsia="仿宋_GB2312" w:cs="Times New Roman"/>
          <w:b w:val="0"/>
          <w:bCs w:val="0"/>
          <w:snapToGrid w:val="0"/>
          <w:color w:val="000000"/>
          <w:spacing w:val="0"/>
          <w:w w:val="100"/>
          <w:kern w:val="0"/>
          <w:sz w:val="32"/>
          <w:szCs w:val="32"/>
        </w:rPr>
        <w:t>月1日前已按原标准缴纳燃气、热力初装费，分期规划建设的建设项目，在办理《建筑工程施工许可证》时，由供热、供气企业核对出具意见，</w:t>
      </w:r>
      <w:r>
        <w:rPr>
          <w:rFonts w:hint="default" w:ascii="Times New Roman" w:hAnsi="Times New Roman" w:eastAsia="仿宋_GB2312" w:cs="Times New Roman"/>
          <w:b w:val="0"/>
          <w:bCs w:val="0"/>
          <w:snapToGrid w:val="0"/>
          <w:color w:val="000000"/>
          <w:spacing w:val="0"/>
          <w:w w:val="100"/>
          <w:kern w:val="0"/>
          <w:sz w:val="32"/>
          <w:szCs w:val="32"/>
          <w:lang w:val="en-US" w:eastAsia="zh-CN"/>
        </w:rPr>
        <w:t>区</w:t>
      </w:r>
      <w:r>
        <w:rPr>
          <w:rFonts w:hint="default" w:ascii="Times New Roman" w:hAnsi="Times New Roman" w:eastAsia="仿宋_GB2312" w:cs="Times New Roman"/>
          <w:b w:val="0"/>
          <w:bCs w:val="0"/>
          <w:snapToGrid w:val="0"/>
          <w:color w:val="000000"/>
          <w:spacing w:val="0"/>
          <w:w w:val="100"/>
          <w:kern w:val="0"/>
          <w:sz w:val="32"/>
          <w:szCs w:val="32"/>
        </w:rPr>
        <w:t>财政局审核后扣除已缴纳部分，征收部门在征收时相应扣减。</w:t>
      </w:r>
    </w:p>
    <w:p w14:paraId="0A6AA3A1">
      <w:pPr>
        <w:keepNext w:val="0"/>
        <w:keepLines w:val="0"/>
        <w:pageBreakBefore w:val="0"/>
        <w:widowControl w:val="0"/>
        <w:kinsoku/>
        <w:wordWrap/>
        <w:overflowPunct/>
        <w:topLinePunct w:val="0"/>
        <w:autoSpaceDE/>
        <w:autoSpaceDN/>
        <w:bidi w:val="0"/>
        <w:adjustRightInd w:val="0"/>
        <w:snapToGrid w:val="0"/>
        <w:spacing w:beforeAutospacing="0" w:afterAutospacing="0" w:line="626"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2"/>
          <w:w w:val="100"/>
          <w:kern w:val="0"/>
          <w:sz w:val="32"/>
          <w:szCs w:val="32"/>
        </w:rPr>
      </w:pPr>
      <w:r>
        <w:rPr>
          <w:rFonts w:hint="default" w:ascii="Times New Roman" w:hAnsi="Times New Roman" w:eastAsia="黑体" w:cs="Times New Roman"/>
          <w:b w:val="0"/>
          <w:bCs w:val="0"/>
          <w:snapToGrid w:val="0"/>
          <w:color w:val="000000"/>
          <w:spacing w:val="0"/>
          <w:w w:val="100"/>
          <w:kern w:val="0"/>
          <w:sz w:val="32"/>
          <w:szCs w:val="32"/>
        </w:rPr>
        <w:t>第十一条　</w:t>
      </w:r>
      <w:r>
        <w:rPr>
          <w:rFonts w:hint="default" w:ascii="Times New Roman" w:hAnsi="Times New Roman" w:eastAsia="仿宋_GB2312" w:cs="Times New Roman"/>
          <w:b w:val="0"/>
          <w:bCs w:val="0"/>
          <w:snapToGrid w:val="0"/>
          <w:color w:val="000000"/>
          <w:spacing w:val="0"/>
          <w:w w:val="100"/>
          <w:kern w:val="0"/>
          <w:sz w:val="32"/>
          <w:szCs w:val="32"/>
        </w:rPr>
        <w:t>享受国务院、省政府、市政府规定的城市基础设施配套费缓缴政策的建设项目，须与征收部门签订《缓期缴纳城市</w:t>
      </w:r>
      <w:r>
        <w:rPr>
          <w:rFonts w:hint="default" w:ascii="Times New Roman" w:hAnsi="Times New Roman" w:eastAsia="仿宋_GB2312" w:cs="Times New Roman"/>
          <w:b w:val="0"/>
          <w:bCs w:val="0"/>
          <w:snapToGrid w:val="0"/>
          <w:color w:val="000000"/>
          <w:spacing w:val="2"/>
          <w:w w:val="100"/>
          <w:kern w:val="0"/>
          <w:sz w:val="32"/>
          <w:szCs w:val="32"/>
        </w:rPr>
        <w:t>基础设施配套费承诺书》</w:t>
      </w:r>
      <w:r>
        <w:rPr>
          <w:rFonts w:hint="default" w:ascii="Times New Roman" w:hAnsi="Times New Roman" w:eastAsia="仿宋_GB2312" w:cs="Times New Roman"/>
          <w:b w:val="0"/>
          <w:bCs w:val="0"/>
          <w:snapToGrid w:val="0"/>
          <w:color w:val="000000"/>
          <w:spacing w:val="2"/>
          <w:w w:val="100"/>
          <w:kern w:val="0"/>
          <w:sz w:val="32"/>
          <w:szCs w:val="32"/>
          <w:lang w:eastAsia="zh-CN"/>
        </w:rPr>
        <w:t>，</w:t>
      </w:r>
      <w:r>
        <w:rPr>
          <w:rFonts w:hint="default" w:ascii="Times New Roman" w:hAnsi="Times New Roman" w:eastAsia="仿宋_GB2312" w:cs="Times New Roman"/>
          <w:b w:val="0"/>
          <w:bCs w:val="0"/>
          <w:snapToGrid w:val="0"/>
          <w:color w:val="000000"/>
          <w:spacing w:val="2"/>
          <w:w w:val="100"/>
          <w:kern w:val="0"/>
          <w:sz w:val="32"/>
          <w:szCs w:val="32"/>
        </w:rPr>
        <w:t>承诺在规定期限内缴纳城市基础设</w:t>
      </w:r>
      <w:r>
        <w:rPr>
          <w:rFonts w:hint="default" w:ascii="Times New Roman" w:hAnsi="Times New Roman" w:eastAsia="仿宋_GB2312" w:cs="Times New Roman"/>
          <w:b w:val="0"/>
          <w:bCs w:val="0"/>
          <w:snapToGrid w:val="0"/>
          <w:color w:val="000000"/>
          <w:spacing w:val="-4"/>
          <w:w w:val="100"/>
          <w:kern w:val="0"/>
          <w:sz w:val="32"/>
          <w:szCs w:val="32"/>
        </w:rPr>
        <w:t>施配套费。逾期未缴的，自违约之日起按日加收万分之五的滞纳金。</w:t>
      </w:r>
    </w:p>
    <w:p w14:paraId="3549D46C">
      <w:pPr>
        <w:keepNext w:val="0"/>
        <w:keepLines w:val="0"/>
        <w:pageBreakBefore w:val="0"/>
        <w:widowControl w:val="0"/>
        <w:kinsoku/>
        <w:wordWrap/>
        <w:overflowPunct/>
        <w:topLinePunct w:val="0"/>
        <w:autoSpaceDE/>
        <w:autoSpaceDN/>
        <w:bidi w:val="0"/>
        <w:adjustRightInd w:val="0"/>
        <w:snapToGrid w:val="0"/>
        <w:spacing w:beforeAutospacing="0" w:afterAutospacing="0" w:line="626"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u w:val="none"/>
        </w:rPr>
      </w:pPr>
      <w:r>
        <w:rPr>
          <w:rFonts w:hint="default" w:ascii="Times New Roman" w:hAnsi="Times New Roman" w:eastAsia="黑体" w:cs="Times New Roman"/>
          <w:b w:val="0"/>
          <w:bCs w:val="0"/>
          <w:snapToGrid w:val="0"/>
          <w:color w:val="000000"/>
          <w:spacing w:val="0"/>
          <w:w w:val="100"/>
          <w:kern w:val="0"/>
          <w:sz w:val="32"/>
          <w:szCs w:val="32"/>
        </w:rPr>
        <w:t>第十二条　</w:t>
      </w:r>
      <w:r>
        <w:rPr>
          <w:rFonts w:hint="default" w:ascii="Times New Roman" w:hAnsi="Times New Roman" w:eastAsia="仿宋_GB2312" w:cs="Times New Roman"/>
          <w:b w:val="0"/>
          <w:bCs w:val="0"/>
          <w:snapToGrid w:val="0"/>
          <w:color w:val="000000"/>
          <w:spacing w:val="0"/>
          <w:w w:val="100"/>
          <w:kern w:val="0"/>
          <w:sz w:val="32"/>
          <w:szCs w:val="32"/>
        </w:rPr>
        <w:t>特殊情况申请减免或缓缴程序。特殊情况确需减免或缓缴的项目，由项目业主</w:t>
      </w:r>
      <w:r>
        <w:rPr>
          <w:rFonts w:hint="default" w:ascii="Times New Roman" w:hAnsi="Times New Roman" w:eastAsia="仿宋_GB2312" w:cs="Times New Roman"/>
          <w:b w:val="0"/>
          <w:bCs w:val="0"/>
          <w:snapToGrid w:val="0"/>
          <w:color w:val="000000"/>
          <w:spacing w:val="0"/>
          <w:w w:val="100"/>
          <w:kern w:val="0"/>
          <w:sz w:val="32"/>
          <w:szCs w:val="32"/>
          <w:lang w:val="en-US" w:eastAsia="zh-CN"/>
        </w:rPr>
        <w:t>单位</w:t>
      </w:r>
      <w:r>
        <w:rPr>
          <w:rFonts w:hint="default" w:ascii="Times New Roman" w:hAnsi="Times New Roman" w:eastAsia="仿宋_GB2312" w:cs="Times New Roman"/>
          <w:b w:val="0"/>
          <w:bCs w:val="0"/>
          <w:snapToGrid w:val="0"/>
          <w:color w:val="000000"/>
          <w:spacing w:val="0"/>
          <w:w w:val="100"/>
          <w:kern w:val="0"/>
          <w:sz w:val="32"/>
          <w:szCs w:val="32"/>
        </w:rPr>
        <w:t>报</w:t>
      </w:r>
      <w:r>
        <w:rPr>
          <w:rFonts w:hint="default" w:ascii="Times New Roman" w:hAnsi="Times New Roman" w:eastAsia="仿宋_GB2312" w:cs="Times New Roman"/>
          <w:b w:val="0"/>
          <w:bCs w:val="0"/>
          <w:snapToGrid w:val="0"/>
          <w:color w:val="000000"/>
          <w:spacing w:val="0"/>
          <w:w w:val="100"/>
          <w:kern w:val="0"/>
          <w:sz w:val="32"/>
          <w:szCs w:val="32"/>
          <w:lang w:val="en-US" w:eastAsia="zh-CN"/>
        </w:rPr>
        <w:t>区</w:t>
      </w:r>
      <w:r>
        <w:rPr>
          <w:rFonts w:hint="default" w:ascii="Times New Roman" w:hAnsi="Times New Roman" w:eastAsia="仿宋_GB2312" w:cs="Times New Roman"/>
          <w:b w:val="0"/>
          <w:bCs w:val="0"/>
          <w:snapToGrid w:val="0"/>
          <w:color w:val="000000"/>
          <w:spacing w:val="0"/>
          <w:w w:val="100"/>
          <w:kern w:val="0"/>
          <w:sz w:val="32"/>
          <w:szCs w:val="32"/>
        </w:rPr>
        <w:t>住房</w:t>
      </w:r>
      <w:r>
        <w:rPr>
          <w:rFonts w:hint="default" w:ascii="Times New Roman" w:hAnsi="Times New Roman" w:eastAsia="仿宋_GB2312" w:cs="Times New Roman"/>
          <w:b w:val="0"/>
          <w:bCs w:val="0"/>
          <w:snapToGrid w:val="0"/>
          <w:color w:val="000000"/>
          <w:spacing w:val="0"/>
          <w:w w:val="100"/>
          <w:kern w:val="0"/>
          <w:sz w:val="32"/>
          <w:szCs w:val="32"/>
          <w:lang w:val="en-US" w:eastAsia="zh-CN"/>
        </w:rPr>
        <w:t>和</w:t>
      </w:r>
      <w:r>
        <w:rPr>
          <w:rFonts w:hint="default" w:ascii="Times New Roman" w:hAnsi="Times New Roman" w:eastAsia="仿宋_GB2312" w:cs="Times New Roman"/>
          <w:b w:val="0"/>
          <w:bCs w:val="0"/>
          <w:snapToGrid w:val="0"/>
          <w:color w:val="000000"/>
          <w:spacing w:val="0"/>
          <w:w w:val="100"/>
          <w:kern w:val="0"/>
          <w:sz w:val="32"/>
          <w:szCs w:val="32"/>
        </w:rPr>
        <w:t>城乡建设局研究后，</w:t>
      </w:r>
      <w:r>
        <w:rPr>
          <w:rFonts w:hint="default" w:ascii="Times New Roman" w:hAnsi="Times New Roman" w:eastAsia="仿宋_GB2312" w:cs="Times New Roman"/>
          <w:b w:val="0"/>
          <w:bCs w:val="0"/>
          <w:snapToGrid w:val="0"/>
          <w:color w:val="000000"/>
          <w:spacing w:val="0"/>
          <w:w w:val="100"/>
          <w:kern w:val="0"/>
          <w:sz w:val="32"/>
          <w:szCs w:val="32"/>
          <w:lang w:val="en-US" w:eastAsia="zh-CN"/>
        </w:rPr>
        <w:t>区</w:t>
      </w:r>
      <w:r>
        <w:rPr>
          <w:rFonts w:hint="default" w:ascii="Times New Roman" w:hAnsi="Times New Roman" w:eastAsia="仿宋_GB2312" w:cs="Times New Roman"/>
          <w:b w:val="0"/>
          <w:bCs w:val="0"/>
          <w:snapToGrid w:val="0"/>
          <w:color w:val="000000"/>
          <w:spacing w:val="0"/>
          <w:w w:val="100"/>
          <w:kern w:val="0"/>
          <w:sz w:val="32"/>
          <w:szCs w:val="32"/>
        </w:rPr>
        <w:t>住房</w:t>
      </w:r>
      <w:r>
        <w:rPr>
          <w:rFonts w:hint="default" w:ascii="Times New Roman" w:hAnsi="Times New Roman" w:eastAsia="仿宋_GB2312" w:cs="Times New Roman"/>
          <w:b w:val="0"/>
          <w:bCs w:val="0"/>
          <w:snapToGrid w:val="0"/>
          <w:color w:val="000000"/>
          <w:spacing w:val="0"/>
          <w:w w:val="100"/>
          <w:kern w:val="0"/>
          <w:sz w:val="32"/>
          <w:szCs w:val="32"/>
          <w:lang w:val="en-US" w:eastAsia="zh-CN"/>
        </w:rPr>
        <w:t>和</w:t>
      </w:r>
      <w:r>
        <w:rPr>
          <w:rFonts w:hint="default" w:ascii="Times New Roman" w:hAnsi="Times New Roman" w:eastAsia="仿宋_GB2312" w:cs="Times New Roman"/>
          <w:b w:val="0"/>
          <w:bCs w:val="0"/>
          <w:snapToGrid w:val="0"/>
          <w:color w:val="000000"/>
          <w:spacing w:val="0"/>
          <w:w w:val="100"/>
          <w:kern w:val="0"/>
          <w:sz w:val="32"/>
          <w:szCs w:val="32"/>
        </w:rPr>
        <w:t>城乡建设局按程序提请</w:t>
      </w:r>
      <w:r>
        <w:rPr>
          <w:rFonts w:hint="default" w:ascii="Times New Roman" w:hAnsi="Times New Roman" w:eastAsia="仿宋_GB2312" w:cs="Times New Roman"/>
          <w:b w:val="0"/>
          <w:bCs w:val="0"/>
          <w:snapToGrid w:val="0"/>
          <w:color w:val="000000"/>
          <w:spacing w:val="0"/>
          <w:w w:val="100"/>
          <w:kern w:val="0"/>
          <w:sz w:val="32"/>
          <w:szCs w:val="32"/>
          <w:lang w:val="en-US" w:eastAsia="zh-CN"/>
        </w:rPr>
        <w:t>区</w:t>
      </w:r>
      <w:r>
        <w:rPr>
          <w:rFonts w:hint="default" w:ascii="Times New Roman" w:hAnsi="Times New Roman" w:eastAsia="仿宋_GB2312" w:cs="Times New Roman"/>
          <w:b w:val="0"/>
          <w:bCs w:val="0"/>
          <w:snapToGrid w:val="0"/>
          <w:color w:val="000000"/>
          <w:spacing w:val="0"/>
          <w:w w:val="100"/>
          <w:kern w:val="0"/>
          <w:sz w:val="32"/>
          <w:szCs w:val="32"/>
        </w:rPr>
        <w:t>政府常务会审议。</w:t>
      </w:r>
      <w:r>
        <w:rPr>
          <w:rFonts w:hint="default" w:ascii="Times New Roman" w:hAnsi="Times New Roman" w:eastAsia="仿宋_GB2312" w:cs="Times New Roman"/>
          <w:b w:val="0"/>
          <w:bCs w:val="0"/>
          <w:snapToGrid w:val="0"/>
          <w:color w:val="000000"/>
          <w:spacing w:val="0"/>
          <w:w w:val="100"/>
          <w:kern w:val="0"/>
          <w:sz w:val="32"/>
          <w:szCs w:val="32"/>
          <w:u w:val="none"/>
        </w:rPr>
        <w:t>申请单位凭区政府常务会议纪要</w:t>
      </w:r>
      <w:r>
        <w:rPr>
          <w:rFonts w:hint="default" w:ascii="Times New Roman" w:hAnsi="Times New Roman" w:eastAsia="仿宋_GB2312" w:cs="Times New Roman"/>
          <w:b w:val="0"/>
          <w:bCs w:val="0"/>
          <w:snapToGrid w:val="0"/>
          <w:color w:val="000000"/>
          <w:spacing w:val="0"/>
          <w:w w:val="100"/>
          <w:kern w:val="0"/>
          <w:sz w:val="32"/>
          <w:szCs w:val="32"/>
          <w:u w:val="none"/>
          <w:lang w:val="en-US" w:eastAsia="zh-CN"/>
        </w:rPr>
        <w:t>到</w:t>
      </w:r>
      <w:r>
        <w:rPr>
          <w:rFonts w:hint="default" w:ascii="Times New Roman" w:hAnsi="Times New Roman" w:eastAsia="仿宋_GB2312" w:cs="Times New Roman"/>
          <w:b w:val="0"/>
          <w:bCs w:val="0"/>
          <w:snapToGrid w:val="0"/>
          <w:color w:val="000000"/>
          <w:spacing w:val="0"/>
          <w:w w:val="100"/>
          <w:kern w:val="0"/>
          <w:sz w:val="32"/>
          <w:szCs w:val="32"/>
          <w:u w:val="none"/>
        </w:rPr>
        <w:t>代征部门办理相关手续。</w:t>
      </w:r>
    </w:p>
    <w:p w14:paraId="77C933AF">
      <w:pPr>
        <w:keepNext w:val="0"/>
        <w:keepLines w:val="0"/>
        <w:pageBreakBefore w:val="0"/>
        <w:widowControl w:val="0"/>
        <w:kinsoku/>
        <w:wordWrap/>
        <w:overflowPunct/>
        <w:topLinePunct w:val="0"/>
        <w:autoSpaceDE/>
        <w:autoSpaceDN/>
        <w:bidi w:val="0"/>
        <w:adjustRightInd w:val="0"/>
        <w:snapToGrid w:val="0"/>
        <w:spacing w:beforeAutospacing="0" w:afterAutospacing="0" w:line="626"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r>
        <w:rPr>
          <w:rFonts w:hint="default" w:ascii="Times New Roman" w:hAnsi="Times New Roman" w:eastAsia="黑体" w:cs="Times New Roman"/>
          <w:b w:val="0"/>
          <w:bCs w:val="0"/>
          <w:snapToGrid w:val="0"/>
          <w:color w:val="000000"/>
          <w:spacing w:val="0"/>
          <w:w w:val="100"/>
          <w:kern w:val="0"/>
          <w:sz w:val="32"/>
          <w:szCs w:val="32"/>
          <w:u w:val="none"/>
        </w:rPr>
        <w:t>第十三条　</w:t>
      </w:r>
      <w:r>
        <w:rPr>
          <w:rFonts w:hint="default" w:ascii="Times New Roman" w:hAnsi="Times New Roman" w:eastAsia="仿宋_GB2312" w:cs="Times New Roman"/>
          <w:b w:val="0"/>
          <w:bCs w:val="0"/>
          <w:snapToGrid w:val="0"/>
          <w:color w:val="000000"/>
          <w:spacing w:val="0"/>
          <w:w w:val="100"/>
          <w:kern w:val="0"/>
          <w:sz w:val="32"/>
          <w:szCs w:val="32"/>
        </w:rPr>
        <w:t>对已享受优惠政策，但建成后擅自改变原批准建设用途的建设项目，应当依法处罚并完善相关手续后，按现行标准补缴城市基础设施配套费。未经批准擅自建设的项目，经行政执法部门处罚后予以保留的，应完善相关手续，并按照现行标准补缴城市基础设施配套费。</w:t>
      </w:r>
    </w:p>
    <w:p w14:paraId="404F3E42">
      <w:pPr>
        <w:keepNext w:val="0"/>
        <w:keepLines w:val="0"/>
        <w:pageBreakBefore w:val="0"/>
        <w:widowControl w:val="0"/>
        <w:kinsoku/>
        <w:wordWrap/>
        <w:overflowPunct/>
        <w:topLinePunct w:val="0"/>
        <w:autoSpaceDE/>
        <w:autoSpaceDN/>
        <w:bidi w:val="0"/>
        <w:adjustRightInd w:val="0"/>
        <w:snapToGrid w:val="0"/>
        <w:spacing w:beforeAutospacing="0" w:afterAutospacing="0" w:line="626" w:lineRule="exact"/>
        <w:ind w:left="0" w:leftChars="0" w:right="0" w:rightChars="0" w:firstLine="640" w:firstLineChars="200"/>
        <w:jc w:val="both"/>
        <w:textAlignment w:val="auto"/>
        <w:rPr>
          <w:rFonts w:hint="default" w:ascii="Times New Roman" w:hAnsi="Times New Roman" w:eastAsia="仿宋_GB2312" w:cs="Times New Roman"/>
          <w:b w:val="0"/>
          <w:bCs w:val="0"/>
          <w:snapToGrid w:val="0"/>
          <w:color w:val="000000"/>
          <w:spacing w:val="0"/>
          <w:w w:val="100"/>
          <w:kern w:val="0"/>
          <w:sz w:val="32"/>
          <w:szCs w:val="32"/>
          <w:u w:val="none"/>
          <w:lang w:val="en-US" w:eastAsia="zh-CN"/>
        </w:rPr>
      </w:pPr>
      <w:r>
        <w:rPr>
          <w:rFonts w:hint="default" w:ascii="Times New Roman" w:hAnsi="Times New Roman" w:eastAsia="黑体" w:cs="Times New Roman"/>
          <w:b w:val="0"/>
          <w:bCs w:val="0"/>
          <w:snapToGrid w:val="0"/>
          <w:color w:val="000000"/>
          <w:spacing w:val="0"/>
          <w:w w:val="100"/>
          <w:kern w:val="0"/>
          <w:sz w:val="32"/>
          <w:szCs w:val="32"/>
        </w:rPr>
        <w:t>第十四条　</w:t>
      </w:r>
      <w:r>
        <w:rPr>
          <w:rFonts w:hint="default" w:ascii="Times New Roman" w:hAnsi="Times New Roman" w:eastAsia="仿宋_GB2312" w:cs="Times New Roman"/>
          <w:b w:val="0"/>
          <w:bCs w:val="0"/>
          <w:snapToGrid w:val="0"/>
          <w:color w:val="000000"/>
          <w:spacing w:val="0"/>
          <w:w w:val="100"/>
          <w:kern w:val="0"/>
          <w:sz w:val="32"/>
          <w:szCs w:val="32"/>
          <w:u w:val="none"/>
          <w:lang w:val="en-US" w:eastAsia="zh-CN"/>
        </w:rPr>
        <w:t>工业项目因制造工艺或生产产品发生改变，需要增加使用热力、燃气的建设项目，具体用气、用热量由供气、供热企业核定后，按现行标准补缴城市基础设施配套费。</w:t>
      </w:r>
    </w:p>
    <w:p w14:paraId="08300432">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0" w:firstLineChars="0"/>
        <w:jc w:val="center"/>
        <w:textAlignment w:val="auto"/>
        <w:rPr>
          <w:rFonts w:hint="default" w:ascii="Times New Roman" w:hAnsi="Times New Roman" w:eastAsia="黑体" w:cs="Times New Roman"/>
          <w:b w:val="0"/>
          <w:bCs w:val="0"/>
          <w:snapToGrid w:val="0"/>
          <w:color w:val="000000"/>
          <w:spacing w:val="0"/>
          <w:w w:val="100"/>
          <w:kern w:val="0"/>
          <w:sz w:val="32"/>
          <w:szCs w:val="32"/>
        </w:rPr>
      </w:pPr>
      <w:r>
        <w:rPr>
          <w:rFonts w:hint="default" w:ascii="Times New Roman" w:hAnsi="Times New Roman" w:eastAsia="黑体" w:cs="Times New Roman"/>
          <w:b w:val="0"/>
          <w:bCs w:val="0"/>
          <w:snapToGrid w:val="0"/>
          <w:color w:val="000000"/>
          <w:spacing w:val="0"/>
          <w:w w:val="100"/>
          <w:kern w:val="0"/>
          <w:sz w:val="32"/>
          <w:szCs w:val="32"/>
          <w:lang w:val="en-US" w:eastAsia="zh-CN"/>
        </w:rPr>
        <w:t>第四章　</w:t>
      </w:r>
      <w:r>
        <w:rPr>
          <w:rFonts w:hint="default" w:ascii="Times New Roman" w:hAnsi="Times New Roman" w:eastAsia="黑体" w:cs="Times New Roman"/>
          <w:b w:val="0"/>
          <w:bCs w:val="0"/>
          <w:snapToGrid w:val="0"/>
          <w:color w:val="000000"/>
          <w:spacing w:val="0"/>
          <w:w w:val="100"/>
          <w:kern w:val="0"/>
          <w:sz w:val="32"/>
          <w:szCs w:val="32"/>
        </w:rPr>
        <w:t>监督管理</w:t>
      </w:r>
    </w:p>
    <w:p w14:paraId="4C0543FD">
      <w:pPr>
        <w:pStyle w:val="2"/>
        <w:keepNext w:val="0"/>
        <w:keepLines w:val="0"/>
        <w:pageBreakBefore w:val="0"/>
        <w:widowControl w:val="0"/>
        <w:kinsoku/>
        <w:wordWrap/>
        <w:overflowPunct/>
        <w:topLinePunct w:val="0"/>
        <w:autoSpaceDE/>
        <w:autoSpaceDN/>
        <w:bidi w:val="0"/>
        <w:spacing w:line="590" w:lineRule="exact"/>
        <w:ind w:left="0" w:leftChars="0" w:right="0" w:rightChars="0"/>
        <w:textAlignment w:val="auto"/>
        <w:rPr>
          <w:rFonts w:hint="default" w:ascii="Times New Roman" w:hAnsi="Times New Roman" w:cs="Times New Roman"/>
        </w:rPr>
      </w:pPr>
    </w:p>
    <w:p w14:paraId="1D070E3F">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r>
        <w:rPr>
          <w:rFonts w:hint="default" w:ascii="Times New Roman" w:hAnsi="Times New Roman" w:eastAsia="黑体" w:cs="Times New Roman"/>
          <w:b w:val="0"/>
          <w:bCs w:val="0"/>
          <w:snapToGrid w:val="0"/>
          <w:color w:val="000000"/>
          <w:spacing w:val="0"/>
          <w:w w:val="100"/>
          <w:kern w:val="0"/>
          <w:sz w:val="32"/>
          <w:szCs w:val="32"/>
        </w:rPr>
        <w:t>第十五条　</w:t>
      </w:r>
      <w:r>
        <w:rPr>
          <w:rFonts w:hint="default" w:ascii="Times New Roman" w:hAnsi="Times New Roman" w:eastAsia="仿宋_GB2312" w:cs="Times New Roman"/>
          <w:b w:val="0"/>
          <w:bCs w:val="0"/>
          <w:snapToGrid w:val="0"/>
          <w:color w:val="000000"/>
          <w:spacing w:val="0"/>
          <w:w w:val="100"/>
          <w:kern w:val="0"/>
          <w:sz w:val="32"/>
          <w:szCs w:val="32"/>
        </w:rPr>
        <w:t>征收部门要在收费场所显著位置，对收费项目和收费标准进行公示，接受社会和群众监督。</w:t>
      </w:r>
    </w:p>
    <w:p w14:paraId="61335E01">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r>
        <w:rPr>
          <w:rFonts w:hint="default" w:ascii="Times New Roman" w:hAnsi="Times New Roman" w:eastAsia="黑体" w:cs="Times New Roman"/>
          <w:b w:val="0"/>
          <w:bCs w:val="0"/>
          <w:snapToGrid w:val="0"/>
          <w:color w:val="000000"/>
          <w:spacing w:val="0"/>
          <w:w w:val="100"/>
          <w:kern w:val="0"/>
          <w:sz w:val="32"/>
          <w:szCs w:val="32"/>
        </w:rPr>
        <w:t>第十六条　</w:t>
      </w:r>
      <w:r>
        <w:rPr>
          <w:rFonts w:hint="default" w:ascii="Times New Roman" w:hAnsi="Times New Roman" w:eastAsia="仿宋_GB2312" w:cs="Times New Roman"/>
          <w:b w:val="0"/>
          <w:bCs w:val="0"/>
          <w:snapToGrid w:val="0"/>
          <w:color w:val="000000"/>
          <w:spacing w:val="0"/>
          <w:w w:val="100"/>
          <w:kern w:val="0"/>
          <w:sz w:val="32"/>
          <w:szCs w:val="32"/>
        </w:rPr>
        <w:t>征收部门收取城市基础设施配套费，应使用财政部门监制的政府非税收入票据，所征收的资金按规定纳入</w:t>
      </w:r>
      <w:r>
        <w:rPr>
          <w:rFonts w:hint="default" w:ascii="Times New Roman" w:hAnsi="Times New Roman" w:eastAsia="仿宋_GB2312" w:cs="Times New Roman"/>
          <w:b w:val="0"/>
          <w:bCs w:val="0"/>
          <w:snapToGrid w:val="0"/>
          <w:color w:val="000000"/>
          <w:spacing w:val="0"/>
          <w:w w:val="100"/>
          <w:kern w:val="0"/>
          <w:sz w:val="32"/>
          <w:szCs w:val="32"/>
          <w:lang w:val="en-US" w:eastAsia="zh-CN"/>
        </w:rPr>
        <w:t>区</w:t>
      </w:r>
      <w:r>
        <w:rPr>
          <w:rFonts w:hint="default" w:ascii="Times New Roman" w:hAnsi="Times New Roman" w:eastAsia="仿宋_GB2312" w:cs="Times New Roman"/>
          <w:b w:val="0"/>
          <w:bCs w:val="0"/>
          <w:snapToGrid w:val="0"/>
          <w:color w:val="000000"/>
          <w:spacing w:val="0"/>
          <w:w w:val="100"/>
          <w:kern w:val="0"/>
          <w:sz w:val="32"/>
          <w:szCs w:val="32"/>
        </w:rPr>
        <w:t>级国库，实行</w:t>
      </w:r>
      <w:r>
        <w:rPr>
          <w:rFonts w:hint="default" w:ascii="Times New Roman" w:hAnsi="Times New Roman" w:eastAsia="仿宋_GB2312" w:cs="Times New Roman"/>
          <w:b w:val="0"/>
          <w:bCs w:val="0"/>
          <w:snapToGrid w:val="0"/>
          <w:color w:val="000000"/>
          <w:spacing w:val="0"/>
          <w:w w:val="100"/>
          <w:kern w:val="0"/>
          <w:sz w:val="32"/>
          <w:szCs w:val="32"/>
        </w:rPr>
        <w:t>“</w:t>
      </w:r>
      <w:r>
        <w:rPr>
          <w:rFonts w:hint="default" w:ascii="Times New Roman" w:hAnsi="Times New Roman" w:eastAsia="仿宋_GB2312" w:cs="Times New Roman"/>
          <w:b w:val="0"/>
          <w:bCs w:val="0"/>
          <w:snapToGrid w:val="0"/>
          <w:color w:val="000000"/>
          <w:spacing w:val="0"/>
          <w:w w:val="100"/>
          <w:kern w:val="0"/>
          <w:sz w:val="32"/>
          <w:szCs w:val="32"/>
        </w:rPr>
        <w:t>收支两条线</w:t>
      </w:r>
      <w:r>
        <w:rPr>
          <w:rFonts w:hint="default" w:ascii="Times New Roman" w:hAnsi="Times New Roman" w:eastAsia="仿宋_GB2312" w:cs="Times New Roman"/>
          <w:b w:val="0"/>
          <w:bCs w:val="0"/>
          <w:snapToGrid w:val="0"/>
          <w:color w:val="000000"/>
          <w:spacing w:val="0"/>
          <w:w w:val="100"/>
          <w:kern w:val="0"/>
          <w:sz w:val="32"/>
          <w:szCs w:val="32"/>
        </w:rPr>
        <w:t>”</w:t>
      </w:r>
      <w:r>
        <w:rPr>
          <w:rFonts w:hint="default" w:ascii="Times New Roman" w:hAnsi="Times New Roman" w:eastAsia="仿宋_GB2312" w:cs="Times New Roman"/>
          <w:b w:val="0"/>
          <w:bCs w:val="0"/>
          <w:snapToGrid w:val="0"/>
          <w:color w:val="000000"/>
          <w:spacing w:val="0"/>
          <w:w w:val="100"/>
          <w:kern w:val="0"/>
          <w:sz w:val="32"/>
          <w:szCs w:val="32"/>
        </w:rPr>
        <w:t>管理，专款专用，不得隐瞒、截留、坐支和挪用。</w:t>
      </w:r>
    </w:p>
    <w:p w14:paraId="354AB7B3">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u w:val="none"/>
          <w:lang w:val="en-US" w:eastAsia="zh-CN"/>
        </w:rPr>
      </w:pPr>
      <w:r>
        <w:rPr>
          <w:rFonts w:hint="default" w:ascii="Times New Roman" w:hAnsi="Times New Roman" w:eastAsia="黑体" w:cs="Times New Roman"/>
          <w:b w:val="0"/>
          <w:bCs w:val="0"/>
          <w:snapToGrid w:val="0"/>
          <w:color w:val="000000"/>
          <w:spacing w:val="0"/>
          <w:w w:val="100"/>
          <w:kern w:val="0"/>
          <w:sz w:val="32"/>
          <w:szCs w:val="32"/>
        </w:rPr>
        <w:t>第十七条　</w:t>
      </w:r>
      <w:r>
        <w:rPr>
          <w:rFonts w:hint="default" w:ascii="Times New Roman" w:hAnsi="Times New Roman" w:eastAsia="仿宋_GB2312" w:cs="Times New Roman"/>
          <w:b w:val="0"/>
          <w:bCs w:val="0"/>
          <w:snapToGrid w:val="0"/>
          <w:color w:val="000000"/>
          <w:spacing w:val="0"/>
          <w:w w:val="100"/>
          <w:kern w:val="0"/>
          <w:sz w:val="32"/>
          <w:szCs w:val="32"/>
          <w:u w:val="none"/>
          <w:lang w:val="en-US" w:eastAsia="zh-CN"/>
        </w:rPr>
        <w:t>为保证城市</w:t>
      </w:r>
      <w:r>
        <w:rPr>
          <w:rFonts w:hint="default" w:ascii="Times New Roman" w:hAnsi="Times New Roman" w:eastAsia="仿宋_GB2312" w:cs="Times New Roman"/>
          <w:b w:val="0"/>
          <w:bCs w:val="0"/>
          <w:snapToGrid w:val="0"/>
          <w:color w:val="000000"/>
          <w:spacing w:val="0"/>
          <w:w w:val="100"/>
          <w:kern w:val="0"/>
          <w:sz w:val="32"/>
          <w:szCs w:val="32"/>
          <w:u w:val="none"/>
          <w:lang w:val="en-US" w:eastAsia="zh-CN"/>
        </w:rPr>
        <w:t>基础设施</w:t>
      </w:r>
      <w:r>
        <w:rPr>
          <w:rFonts w:hint="default" w:ascii="Times New Roman" w:hAnsi="Times New Roman" w:eastAsia="仿宋_GB2312" w:cs="Times New Roman"/>
          <w:b w:val="0"/>
          <w:bCs w:val="0"/>
          <w:snapToGrid w:val="0"/>
          <w:color w:val="000000"/>
          <w:spacing w:val="0"/>
          <w:w w:val="100"/>
          <w:kern w:val="0"/>
          <w:sz w:val="32"/>
          <w:szCs w:val="32"/>
          <w:u w:val="none"/>
          <w:lang w:val="en-US" w:eastAsia="zh-CN"/>
        </w:rPr>
        <w:t>配套费征收工作正常开展，按照</w:t>
      </w:r>
      <w:r>
        <w:rPr>
          <w:rFonts w:hint="default" w:ascii="Times New Roman" w:hAnsi="Times New Roman" w:eastAsia="仿宋_GB2312" w:cs="Times New Roman"/>
          <w:b w:val="0"/>
          <w:bCs w:val="0"/>
          <w:snapToGrid w:val="0"/>
          <w:color w:val="000000"/>
          <w:spacing w:val="0"/>
          <w:w w:val="100"/>
          <w:kern w:val="0"/>
          <w:sz w:val="32"/>
          <w:szCs w:val="32"/>
          <w:u w:val="none"/>
          <w:lang w:val="en-US" w:eastAsia="zh-CN"/>
        </w:rPr>
        <w:t>“</w:t>
      </w:r>
      <w:r>
        <w:rPr>
          <w:rFonts w:hint="default" w:ascii="Times New Roman" w:hAnsi="Times New Roman" w:eastAsia="仿宋_GB2312" w:cs="Times New Roman"/>
          <w:b w:val="0"/>
          <w:bCs w:val="0"/>
          <w:snapToGrid w:val="0"/>
          <w:color w:val="000000"/>
          <w:spacing w:val="0"/>
          <w:w w:val="100"/>
          <w:kern w:val="0"/>
          <w:sz w:val="32"/>
          <w:szCs w:val="32"/>
          <w:u w:val="none"/>
          <w:lang w:val="en-US" w:eastAsia="zh-CN"/>
        </w:rPr>
        <w:t>收支两条线</w:t>
      </w:r>
      <w:r>
        <w:rPr>
          <w:rFonts w:hint="default" w:ascii="Times New Roman" w:hAnsi="Times New Roman" w:eastAsia="仿宋_GB2312" w:cs="Times New Roman"/>
          <w:b w:val="0"/>
          <w:bCs w:val="0"/>
          <w:snapToGrid w:val="0"/>
          <w:color w:val="000000"/>
          <w:spacing w:val="0"/>
          <w:w w:val="100"/>
          <w:kern w:val="0"/>
          <w:sz w:val="32"/>
          <w:szCs w:val="32"/>
          <w:u w:val="none"/>
          <w:lang w:val="en-US" w:eastAsia="zh-CN"/>
        </w:rPr>
        <w:t>”</w:t>
      </w:r>
      <w:r>
        <w:rPr>
          <w:rFonts w:hint="default" w:ascii="Times New Roman" w:hAnsi="Times New Roman" w:eastAsia="仿宋_GB2312" w:cs="Times New Roman"/>
          <w:b w:val="0"/>
          <w:bCs w:val="0"/>
          <w:snapToGrid w:val="0"/>
          <w:color w:val="000000"/>
          <w:spacing w:val="0"/>
          <w:w w:val="100"/>
          <w:kern w:val="0"/>
          <w:sz w:val="32"/>
          <w:szCs w:val="32"/>
          <w:u w:val="none"/>
          <w:lang w:val="en-US" w:eastAsia="zh-CN"/>
        </w:rPr>
        <w:t>管理，区财政局按征收额度总量的一定比例拨付给代征部门，作为代征部门在征收过程中的业务开支。</w:t>
      </w:r>
    </w:p>
    <w:p w14:paraId="057F559F">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r>
        <w:rPr>
          <w:rFonts w:hint="default" w:ascii="Times New Roman" w:hAnsi="Times New Roman" w:eastAsia="黑体" w:cs="Times New Roman"/>
          <w:b w:val="0"/>
          <w:bCs w:val="0"/>
          <w:snapToGrid w:val="0"/>
          <w:color w:val="000000"/>
          <w:spacing w:val="0"/>
          <w:w w:val="100"/>
          <w:kern w:val="0"/>
          <w:sz w:val="32"/>
          <w:szCs w:val="32"/>
          <w:u w:val="none"/>
          <w:lang w:val="en-US" w:eastAsia="zh-CN"/>
        </w:rPr>
        <w:t>第十八条　</w:t>
      </w:r>
      <w:r>
        <w:rPr>
          <w:rFonts w:hint="default" w:ascii="Times New Roman" w:hAnsi="Times New Roman" w:eastAsia="仿宋_GB2312" w:cs="Times New Roman"/>
          <w:b w:val="0"/>
          <w:bCs w:val="0"/>
          <w:snapToGrid w:val="0"/>
          <w:color w:val="000000"/>
          <w:spacing w:val="0"/>
          <w:w w:val="100"/>
          <w:kern w:val="0"/>
          <w:sz w:val="32"/>
          <w:szCs w:val="32"/>
        </w:rPr>
        <w:t>征收部门要严格按规定的收费范围、标准、程序收取城市基础设施配套费，不得随意提高或降低收费标准、自立收费项目、扩大或缩小收费范围。对违反规定擅自征收、减免、缓收城市基础设施配套费的，将依法依规严肃追究相关单位和人员责任。</w:t>
      </w:r>
    </w:p>
    <w:p w14:paraId="4D78E685">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r>
        <w:rPr>
          <w:rFonts w:hint="default" w:ascii="Times New Roman" w:hAnsi="Times New Roman" w:eastAsia="黑体" w:cs="Times New Roman"/>
          <w:b w:val="0"/>
          <w:bCs w:val="0"/>
          <w:snapToGrid w:val="0"/>
          <w:color w:val="000000"/>
          <w:spacing w:val="0"/>
          <w:w w:val="100"/>
          <w:kern w:val="0"/>
          <w:sz w:val="32"/>
          <w:szCs w:val="32"/>
        </w:rPr>
        <w:t>第十九条　</w:t>
      </w:r>
      <w:r>
        <w:rPr>
          <w:rFonts w:hint="default" w:ascii="Times New Roman" w:hAnsi="Times New Roman" w:eastAsia="仿宋_GB2312" w:cs="Times New Roman"/>
          <w:b w:val="0"/>
          <w:bCs w:val="0"/>
          <w:snapToGrid w:val="0"/>
          <w:color w:val="000000"/>
          <w:spacing w:val="0"/>
          <w:w w:val="100"/>
          <w:kern w:val="0"/>
          <w:sz w:val="32"/>
          <w:szCs w:val="32"/>
        </w:rPr>
        <w:t>建设单位或个人未按本办法第六条规定缴纳城市基础设施配套费，应当在规定期限内予以补缴。逾期未补缴的由征收部门予以追缴</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含滞纳金</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并由相关部门依法实施惩戒。</w:t>
      </w:r>
    </w:p>
    <w:p w14:paraId="240C9D33">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r>
        <w:rPr>
          <w:rFonts w:hint="default" w:ascii="Times New Roman" w:hAnsi="Times New Roman" w:eastAsia="黑体" w:cs="Times New Roman"/>
          <w:b w:val="0"/>
          <w:bCs w:val="0"/>
          <w:snapToGrid w:val="0"/>
          <w:color w:val="000000"/>
          <w:spacing w:val="0"/>
          <w:w w:val="100"/>
          <w:kern w:val="0"/>
          <w:sz w:val="32"/>
          <w:szCs w:val="32"/>
        </w:rPr>
        <w:t>第二十条　</w:t>
      </w:r>
      <w:r>
        <w:rPr>
          <w:rFonts w:hint="default" w:ascii="Times New Roman" w:hAnsi="Times New Roman" w:eastAsia="仿宋_GB2312" w:cs="Times New Roman"/>
          <w:b w:val="0"/>
          <w:bCs w:val="0"/>
          <w:snapToGrid w:val="0"/>
          <w:color w:val="000000"/>
          <w:spacing w:val="0"/>
          <w:w w:val="100"/>
          <w:kern w:val="0"/>
          <w:sz w:val="32"/>
          <w:szCs w:val="32"/>
        </w:rPr>
        <w:t>建设项目缴纳的城市基础设施配套费，应计入建设工程造价。商品房项目缴纳的城市基础设施配套费，应计入房屋销售价格，开发商及其他单位和个人不得在房价外向购房者另行加收任何费用。</w:t>
      </w:r>
    </w:p>
    <w:p w14:paraId="0678942F">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仿宋_GB2312" w:cs="Times New Roman"/>
          <w:b w:val="0"/>
          <w:bCs w:val="0"/>
          <w:snapToGrid w:val="0"/>
          <w:color w:val="000000"/>
          <w:spacing w:val="0"/>
          <w:w w:val="100"/>
          <w:kern w:val="0"/>
          <w:sz w:val="32"/>
          <w:szCs w:val="32"/>
          <w:lang w:eastAsia="zh-CN"/>
        </w:rPr>
      </w:pPr>
      <w:r>
        <w:rPr>
          <w:rFonts w:hint="default" w:ascii="Times New Roman" w:hAnsi="Times New Roman" w:eastAsia="黑体" w:cs="Times New Roman"/>
          <w:b w:val="0"/>
          <w:bCs w:val="0"/>
          <w:snapToGrid w:val="0"/>
          <w:color w:val="000000"/>
          <w:spacing w:val="0"/>
          <w:w w:val="100"/>
          <w:kern w:val="0"/>
          <w:sz w:val="32"/>
          <w:szCs w:val="32"/>
        </w:rPr>
        <w:t>第二十一条　</w:t>
      </w:r>
      <w:r>
        <w:rPr>
          <w:rFonts w:hint="default" w:ascii="Times New Roman" w:hAnsi="Times New Roman" w:eastAsia="仿宋_GB2312" w:cs="Times New Roman"/>
          <w:b w:val="0"/>
          <w:bCs w:val="0"/>
          <w:snapToGrid w:val="0"/>
          <w:color w:val="000000"/>
          <w:spacing w:val="0"/>
          <w:w w:val="100"/>
          <w:kern w:val="0"/>
          <w:sz w:val="32"/>
          <w:szCs w:val="32"/>
          <w:lang w:val="en-US" w:eastAsia="zh-CN"/>
        </w:rPr>
        <w:t>区</w:t>
      </w:r>
      <w:r>
        <w:rPr>
          <w:rFonts w:hint="default" w:ascii="Times New Roman" w:hAnsi="Times New Roman" w:eastAsia="仿宋_GB2312" w:cs="Times New Roman"/>
          <w:b w:val="0"/>
          <w:bCs w:val="0"/>
          <w:snapToGrid w:val="0"/>
          <w:color w:val="000000"/>
          <w:spacing w:val="0"/>
          <w:w w:val="100"/>
          <w:kern w:val="0"/>
          <w:sz w:val="32"/>
          <w:szCs w:val="32"/>
        </w:rPr>
        <w:t>住建、财政、自然资源和规划、发改、审计等部门应加强对城市基础设施配套费征收管理的监督检查，建立健全规章制度，保证城市基础设施配套费专项用于城市基础设施建设及</w:t>
      </w:r>
      <w:r>
        <w:rPr>
          <w:rFonts w:hint="default" w:ascii="Times New Roman" w:hAnsi="Times New Roman" w:eastAsia="仿宋_GB2312" w:cs="Times New Roman"/>
          <w:b w:val="0"/>
          <w:bCs w:val="0"/>
          <w:snapToGrid w:val="0"/>
          <w:color w:val="000000"/>
          <w:spacing w:val="0"/>
          <w:w w:val="100"/>
          <w:kern w:val="0"/>
          <w:sz w:val="32"/>
          <w:szCs w:val="32"/>
          <w:lang w:val="en-US" w:eastAsia="zh-CN"/>
        </w:rPr>
        <w:t>区</w:t>
      </w:r>
      <w:r>
        <w:rPr>
          <w:rFonts w:hint="default" w:ascii="Times New Roman" w:hAnsi="Times New Roman" w:eastAsia="仿宋_GB2312" w:cs="Times New Roman"/>
          <w:b w:val="0"/>
          <w:bCs w:val="0"/>
          <w:snapToGrid w:val="0"/>
          <w:color w:val="000000"/>
          <w:spacing w:val="0"/>
          <w:w w:val="100"/>
          <w:kern w:val="0"/>
          <w:sz w:val="32"/>
          <w:szCs w:val="32"/>
        </w:rPr>
        <w:t>政府特定项目建设。要联合建立沟通协调机制，由</w:t>
      </w:r>
      <w:r>
        <w:rPr>
          <w:rFonts w:hint="default" w:ascii="Times New Roman" w:hAnsi="Times New Roman" w:eastAsia="仿宋_GB2312" w:cs="Times New Roman"/>
          <w:b w:val="0"/>
          <w:bCs w:val="0"/>
          <w:snapToGrid w:val="0"/>
          <w:color w:val="000000"/>
          <w:spacing w:val="0"/>
          <w:w w:val="100"/>
          <w:kern w:val="0"/>
          <w:sz w:val="32"/>
          <w:szCs w:val="32"/>
          <w:lang w:val="en-US" w:eastAsia="zh-CN"/>
        </w:rPr>
        <w:t>区</w:t>
      </w:r>
      <w:r>
        <w:rPr>
          <w:rFonts w:hint="default" w:ascii="Times New Roman" w:hAnsi="Times New Roman" w:eastAsia="仿宋_GB2312" w:cs="Times New Roman"/>
          <w:b w:val="0"/>
          <w:bCs w:val="0"/>
          <w:snapToGrid w:val="0"/>
          <w:color w:val="000000"/>
          <w:spacing w:val="0"/>
          <w:w w:val="100"/>
          <w:kern w:val="0"/>
          <w:sz w:val="32"/>
          <w:szCs w:val="32"/>
        </w:rPr>
        <w:t>住房</w:t>
      </w:r>
      <w:r>
        <w:rPr>
          <w:rFonts w:hint="default" w:ascii="Times New Roman" w:hAnsi="Times New Roman" w:eastAsia="仿宋_GB2312" w:cs="Times New Roman"/>
          <w:b w:val="0"/>
          <w:bCs w:val="0"/>
          <w:snapToGrid w:val="0"/>
          <w:color w:val="000000"/>
          <w:spacing w:val="0"/>
          <w:w w:val="100"/>
          <w:kern w:val="0"/>
          <w:sz w:val="32"/>
          <w:szCs w:val="32"/>
          <w:lang w:val="en-US" w:eastAsia="zh-CN"/>
        </w:rPr>
        <w:t>和</w:t>
      </w:r>
      <w:r>
        <w:rPr>
          <w:rFonts w:hint="default" w:ascii="Times New Roman" w:hAnsi="Times New Roman" w:eastAsia="仿宋_GB2312" w:cs="Times New Roman"/>
          <w:b w:val="0"/>
          <w:bCs w:val="0"/>
          <w:snapToGrid w:val="0"/>
          <w:color w:val="000000"/>
          <w:spacing w:val="0"/>
          <w:w w:val="100"/>
          <w:kern w:val="0"/>
          <w:sz w:val="32"/>
          <w:szCs w:val="32"/>
        </w:rPr>
        <w:t>城乡建设局牵头，及时对城市基础设施配套费征收运行工作中出现的新情况、新问题进行集体研究解决。</w:t>
      </w:r>
    </w:p>
    <w:p w14:paraId="342F2CB8">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p>
    <w:p w14:paraId="2890FA9A">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0" w:firstLineChars="0"/>
        <w:jc w:val="center"/>
        <w:textAlignment w:val="auto"/>
        <w:rPr>
          <w:rFonts w:hint="default" w:ascii="Times New Roman" w:hAnsi="Times New Roman" w:eastAsia="黑体" w:cs="Times New Roman"/>
          <w:b w:val="0"/>
          <w:bCs w:val="0"/>
          <w:snapToGrid w:val="0"/>
          <w:color w:val="000000"/>
          <w:spacing w:val="0"/>
          <w:w w:val="100"/>
          <w:kern w:val="0"/>
          <w:sz w:val="32"/>
          <w:szCs w:val="32"/>
        </w:rPr>
      </w:pPr>
      <w:r>
        <w:rPr>
          <w:rFonts w:hint="default" w:ascii="Times New Roman" w:hAnsi="Times New Roman" w:eastAsia="黑体" w:cs="Times New Roman"/>
          <w:b w:val="0"/>
          <w:bCs w:val="0"/>
          <w:snapToGrid w:val="0"/>
          <w:color w:val="000000"/>
          <w:spacing w:val="0"/>
          <w:w w:val="100"/>
          <w:kern w:val="0"/>
          <w:sz w:val="32"/>
          <w:szCs w:val="32"/>
          <w:lang w:val="en-US" w:eastAsia="zh-CN"/>
        </w:rPr>
        <w:t>第五章　</w:t>
      </w:r>
      <w:r>
        <w:rPr>
          <w:rFonts w:hint="default" w:ascii="Times New Roman" w:hAnsi="Times New Roman" w:eastAsia="黑体" w:cs="Times New Roman"/>
          <w:b w:val="0"/>
          <w:bCs w:val="0"/>
          <w:snapToGrid w:val="0"/>
          <w:color w:val="000000"/>
          <w:spacing w:val="0"/>
          <w:w w:val="100"/>
          <w:kern w:val="0"/>
          <w:sz w:val="32"/>
          <w:szCs w:val="32"/>
        </w:rPr>
        <w:t>附</w:t>
      </w:r>
      <w:r>
        <w:rPr>
          <w:rFonts w:hint="default" w:ascii="Times New Roman" w:hAnsi="Times New Roman" w:eastAsia="黑体" w:cs="Times New Roman"/>
          <w:b w:val="0"/>
          <w:bCs w:val="0"/>
          <w:snapToGrid w:val="0"/>
          <w:color w:val="000000"/>
          <w:spacing w:val="0"/>
          <w:w w:val="100"/>
          <w:kern w:val="0"/>
          <w:sz w:val="32"/>
          <w:szCs w:val="32"/>
          <w:lang w:val="en-US" w:eastAsia="zh-CN"/>
        </w:rPr>
        <w:t xml:space="preserve">  </w:t>
      </w:r>
      <w:r>
        <w:rPr>
          <w:rFonts w:hint="default" w:ascii="Times New Roman" w:hAnsi="Times New Roman" w:eastAsia="黑体" w:cs="Times New Roman"/>
          <w:b w:val="0"/>
          <w:bCs w:val="0"/>
          <w:snapToGrid w:val="0"/>
          <w:color w:val="000000"/>
          <w:spacing w:val="0"/>
          <w:w w:val="100"/>
          <w:kern w:val="0"/>
          <w:sz w:val="32"/>
          <w:szCs w:val="32"/>
        </w:rPr>
        <w:t>则</w:t>
      </w:r>
    </w:p>
    <w:p w14:paraId="1476CE92">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p>
    <w:p w14:paraId="028DC792">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黑体" w:cs="Times New Roman"/>
          <w:b w:val="0"/>
          <w:bCs w:val="0"/>
          <w:snapToGrid w:val="0"/>
          <w:color w:val="000000"/>
          <w:spacing w:val="0"/>
          <w:w w:val="100"/>
          <w:kern w:val="0"/>
          <w:sz w:val="32"/>
          <w:szCs w:val="32"/>
        </w:rPr>
      </w:pPr>
      <w:r>
        <w:rPr>
          <w:rFonts w:hint="default" w:ascii="Times New Roman" w:hAnsi="Times New Roman" w:eastAsia="黑体" w:cs="Times New Roman"/>
          <w:b w:val="0"/>
          <w:bCs w:val="0"/>
          <w:snapToGrid w:val="0"/>
          <w:color w:val="000000"/>
          <w:spacing w:val="0"/>
          <w:w w:val="100"/>
          <w:kern w:val="0"/>
          <w:sz w:val="32"/>
          <w:szCs w:val="32"/>
        </w:rPr>
        <w:t>第二十二条　</w:t>
      </w:r>
      <w:r>
        <w:rPr>
          <w:rFonts w:hint="default" w:ascii="Times New Roman" w:hAnsi="Times New Roman" w:eastAsia="仿宋_GB2312" w:cs="Times New Roman"/>
          <w:b w:val="0"/>
          <w:bCs w:val="0"/>
          <w:snapToGrid w:val="0"/>
          <w:color w:val="000000"/>
          <w:spacing w:val="0"/>
          <w:w w:val="100"/>
          <w:kern w:val="0"/>
          <w:sz w:val="32"/>
          <w:szCs w:val="32"/>
        </w:rPr>
        <w:t>本办法自公布之日起施行，有效期5年，我区在</w:t>
      </w:r>
      <w:r>
        <w:rPr>
          <w:rFonts w:hint="default" w:ascii="Times New Roman" w:hAnsi="Times New Roman" w:eastAsia="仿宋_GB2312" w:cs="Times New Roman"/>
          <w:b w:val="0"/>
          <w:bCs w:val="0"/>
          <w:snapToGrid w:val="0"/>
          <w:color w:val="000000"/>
          <w:spacing w:val="2"/>
          <w:w w:val="100"/>
          <w:kern w:val="0"/>
          <w:sz w:val="32"/>
          <w:szCs w:val="32"/>
        </w:rPr>
        <w:t>区划调整过渡期结束后，结合区财政体制调整情况，另行研究</w:t>
      </w:r>
      <w:r>
        <w:rPr>
          <w:rFonts w:hint="default" w:ascii="Times New Roman" w:hAnsi="Times New Roman" w:eastAsia="仿宋_GB2312" w:cs="Times New Roman"/>
          <w:b w:val="0"/>
          <w:bCs w:val="0"/>
          <w:snapToGrid w:val="0"/>
          <w:color w:val="000000"/>
          <w:spacing w:val="0"/>
          <w:w w:val="100"/>
          <w:kern w:val="0"/>
          <w:sz w:val="32"/>
          <w:szCs w:val="32"/>
        </w:rPr>
        <w:t>确定。原《洛阳市偃师区人民政府办公室关于</w:t>
      </w:r>
      <w:r>
        <w:rPr>
          <w:rFonts w:hint="default" w:ascii="Times New Roman" w:hAnsi="Times New Roman" w:eastAsia="仿宋_GB2312" w:cs="Times New Roman"/>
          <w:b w:val="0"/>
          <w:bCs w:val="0"/>
          <w:snapToGrid w:val="0"/>
          <w:color w:val="000000"/>
          <w:spacing w:val="0"/>
          <w:w w:val="100"/>
          <w:kern w:val="0"/>
          <w:sz w:val="32"/>
          <w:szCs w:val="32"/>
          <w:lang w:val="en-US" w:eastAsia="zh-CN"/>
        </w:rPr>
        <w:t>印发</w:t>
      </w:r>
      <w:r>
        <w:rPr>
          <w:rFonts w:hint="default" w:ascii="Times New Roman" w:hAnsi="Times New Roman" w:eastAsia="仿宋_GB2312" w:cs="Times New Roman"/>
          <w:b w:val="0"/>
          <w:bCs w:val="0"/>
          <w:snapToGrid w:val="0"/>
          <w:color w:val="000000"/>
          <w:spacing w:val="0"/>
          <w:w w:val="100"/>
          <w:kern w:val="0"/>
          <w:sz w:val="32"/>
          <w:szCs w:val="32"/>
        </w:rPr>
        <w:t>偃师区城市基础设施配套费征收细则</w:t>
      </w:r>
      <w:r>
        <w:rPr>
          <w:rFonts w:hint="default" w:ascii="Times New Roman" w:hAnsi="Times New Roman" w:eastAsia="仿宋_GB2312" w:cs="Times New Roman"/>
          <w:b w:val="0"/>
          <w:bCs w:val="0"/>
          <w:snapToGrid w:val="0"/>
          <w:color w:val="000000"/>
          <w:spacing w:val="0"/>
          <w:w w:val="100"/>
          <w:kern w:val="0"/>
          <w:sz w:val="32"/>
          <w:szCs w:val="32"/>
          <w:lang w:val="en-US" w:eastAsia="zh-CN"/>
        </w:rPr>
        <w:t>的通知</w:t>
      </w:r>
      <w:r>
        <w:rPr>
          <w:rFonts w:hint="default" w:ascii="Times New Roman" w:hAnsi="Times New Roman" w:eastAsia="仿宋_GB2312" w:cs="Times New Roman"/>
          <w:b w:val="0"/>
          <w:bCs w:val="0"/>
          <w:snapToGrid w:val="0"/>
          <w:color w:val="000000"/>
          <w:spacing w:val="0"/>
          <w:w w:val="100"/>
          <w:kern w:val="0"/>
          <w:sz w:val="32"/>
          <w:szCs w:val="32"/>
        </w:rPr>
        <w:t>》</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偃政办〔2021〕13号</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和《洛阳市偃师区人民政府办公室关于修订偃师区城市基础设施配套费征收细则部分内容的通知》</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偃政办〔2021〕23号</w:t>
      </w:r>
      <w:r>
        <w:rPr>
          <w:rFonts w:hint="default" w:ascii="Times New Roman" w:hAnsi="Times New Roman" w:eastAsia="仿宋_GB2312" w:cs="Times New Roman"/>
          <w:b w:val="0"/>
          <w:bCs w:val="0"/>
          <w:snapToGrid w:val="0"/>
          <w:color w:val="000000"/>
          <w:spacing w:val="0"/>
          <w:w w:val="100"/>
          <w:kern w:val="0"/>
          <w:sz w:val="32"/>
          <w:szCs w:val="32"/>
          <w:lang w:eastAsia="zh-CN"/>
        </w:rPr>
        <w:t>）</w:t>
      </w:r>
      <w:r>
        <w:rPr>
          <w:rFonts w:hint="default" w:ascii="Times New Roman" w:hAnsi="Times New Roman" w:eastAsia="仿宋_GB2312" w:cs="Times New Roman"/>
          <w:b w:val="0"/>
          <w:bCs w:val="0"/>
          <w:snapToGrid w:val="0"/>
          <w:color w:val="000000"/>
          <w:spacing w:val="0"/>
          <w:w w:val="100"/>
          <w:kern w:val="0"/>
          <w:sz w:val="32"/>
          <w:szCs w:val="32"/>
        </w:rPr>
        <w:t>同时废止。</w:t>
      </w:r>
    </w:p>
    <w:p w14:paraId="6E899DBE">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snapToGrid/>
        <w:spacing w:before="0" w:after="0" w:line="590" w:lineRule="exact"/>
        <w:ind w:left="0" w:leftChars="0" w:right="0" w:rightChars="0" w:firstLine="640" w:firstLineChars="200"/>
        <w:jc w:val="both"/>
        <w:textAlignment w:val="auto"/>
        <w:outlineLvl w:val="9"/>
        <w:rPr>
          <w:rFonts w:hint="default" w:ascii="Times New Roman" w:hAnsi="Times New Roman" w:eastAsia="仿宋_GB2312" w:cs="Times New Roman"/>
          <w:snapToGrid w:val="0"/>
          <w:color w:val="000000"/>
          <w:spacing w:val="0"/>
          <w:w w:val="100"/>
          <w:kern w:val="0"/>
          <w:sz w:val="32"/>
          <w:szCs w:val="32"/>
          <w:shd w:val="clear" w:color="auto" w:fill="auto"/>
          <w:lang w:val="en-US" w:eastAsia="zh-CN"/>
        </w:rPr>
      </w:pPr>
      <w:r>
        <w:rPr>
          <w:rFonts w:hint="default" w:ascii="Times New Roman" w:hAnsi="Times New Roman" w:eastAsia="黑体" w:cs="Times New Roman"/>
          <w:b w:val="0"/>
          <w:bCs w:val="0"/>
          <w:snapToGrid w:val="0"/>
          <w:color w:val="000000"/>
          <w:spacing w:val="0"/>
          <w:w w:val="100"/>
          <w:kern w:val="0"/>
          <w:sz w:val="32"/>
          <w:szCs w:val="32"/>
        </w:rPr>
        <w:t>第二十三条　</w:t>
      </w:r>
      <w:r>
        <w:rPr>
          <w:rFonts w:hint="default" w:ascii="Times New Roman" w:hAnsi="Times New Roman" w:eastAsia="仿宋_GB2312" w:cs="Times New Roman"/>
          <w:b w:val="0"/>
          <w:bCs w:val="0"/>
          <w:snapToGrid w:val="0"/>
          <w:color w:val="000000"/>
          <w:spacing w:val="0"/>
          <w:w w:val="100"/>
          <w:kern w:val="0"/>
          <w:sz w:val="32"/>
          <w:szCs w:val="32"/>
        </w:rPr>
        <w:t>原有规定与本办法不一致的，以本办法为准。</w:t>
      </w:r>
    </w:p>
    <w:p w14:paraId="76797137">
      <w:pPr>
        <w:pStyle w:val="9"/>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spacing w:line="590" w:lineRule="exact"/>
        <w:ind w:left="0" w:leftChars="0" w:right="0" w:rightChars="0"/>
        <w:textAlignment w:val="auto"/>
        <w:rPr>
          <w:rFonts w:hint="default" w:ascii="Times New Roman" w:hAnsi="Times New Roman" w:eastAsia="仿宋_GB2312" w:cs="Times New Roman"/>
          <w:color w:val="000000"/>
          <w:sz w:val="32"/>
          <w:szCs w:val="32"/>
          <w:shd w:val="clear" w:color="auto" w:fill="auto"/>
          <w:lang w:val="en-US" w:eastAsia="zh-CN"/>
        </w:rPr>
      </w:pPr>
    </w:p>
    <w:p w14:paraId="48025933">
      <w:pPr>
        <w:pStyle w:val="9"/>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spacing w:line="590" w:lineRule="exact"/>
        <w:ind w:left="0" w:leftChars="0" w:right="0" w:rightChars="0"/>
        <w:textAlignment w:val="auto"/>
        <w:rPr>
          <w:rFonts w:hint="default" w:ascii="Times New Roman" w:hAnsi="Times New Roman" w:eastAsia="仿宋_GB2312" w:cs="Times New Roman"/>
          <w:color w:val="000000"/>
          <w:sz w:val="32"/>
          <w:szCs w:val="32"/>
          <w:shd w:val="clear" w:color="auto" w:fill="auto"/>
          <w:lang w:val="en-US" w:eastAsia="zh-CN"/>
        </w:rPr>
      </w:pPr>
    </w:p>
    <w:p w14:paraId="63FF0682">
      <w:pPr>
        <w:pStyle w:val="9"/>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spacing w:line="590" w:lineRule="exact"/>
        <w:ind w:left="0" w:leftChars="0" w:right="0" w:rightChars="0"/>
        <w:textAlignment w:val="auto"/>
        <w:rPr>
          <w:rFonts w:hint="default" w:ascii="Times New Roman" w:hAnsi="Times New Roman" w:eastAsia="仿宋_GB2312" w:cs="Times New Roman"/>
          <w:color w:val="000000"/>
          <w:sz w:val="32"/>
          <w:szCs w:val="32"/>
          <w:shd w:val="clear" w:color="auto" w:fill="auto"/>
          <w:lang w:val="en-US" w:eastAsia="zh-CN"/>
        </w:rPr>
      </w:pPr>
    </w:p>
    <w:p w14:paraId="30C0C90E">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spacing w:before="0" w:after="0" w:line="594" w:lineRule="exact"/>
        <w:ind w:left="0" w:leftChars="0" w:right="0" w:rightChars="0" w:firstLine="0" w:firstLineChars="0"/>
        <w:jc w:val="both"/>
        <w:textAlignment w:val="auto"/>
        <w:rPr>
          <w:rFonts w:hint="default" w:ascii="Times New Roman" w:hAnsi="Times New Roman" w:eastAsia="仿宋_GB2312" w:cs="Times New Roman"/>
          <w:b w:val="0"/>
          <w:bCs w:val="0"/>
          <w:snapToGrid w:val="0"/>
          <w:color w:val="000000"/>
          <w:w w:val="100"/>
          <w:kern w:val="0"/>
          <w:sz w:val="32"/>
          <w:szCs w:val="32"/>
          <w:shd w:val="clear" w:color="auto" w:fill="auto"/>
          <w:lang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871" w:right="1463" w:bottom="1701" w:left="1587" w:header="851" w:footer="1389" w:gutter="0"/>
      <w:lnNumType w:countBy="0" w:restart="continuous"/>
      <w:pgNumType w:fmt="decimal"/>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F77FCD">
    <w:pPr>
      <w:pStyle w:val="9"/>
      <w:ind w:left="252" w:leftChars="120" w:right="252" w:rightChars="120" w:firstLine="0" w:firstLineChars="0"/>
      <w:jc w:val="right"/>
      <w:rPr>
        <w:rFonts w:hint="eastAsia" w:ascii="宋体" w:hAnsi="宋体" w:eastAsia="宋体" w:cs="宋体"/>
        <w:sz w:val="28"/>
        <w:lang w:val="en-US"/>
      </w:rPr>
    </w:pPr>
    <w:r>
      <w:rPr>
        <w:rFonts w:hint="eastAsia" w:ascii="宋体" w:hAnsi="宋体" w:eastAsia="宋体" w:cs="宋体"/>
        <w:sz w:val="28"/>
        <w:lang w:val="en-US" w:eastAsia="zh-CN"/>
      </w:rPr>
      <w:t xml:space="preserve">— </w:t>
    </w:r>
    <w:r>
      <w:rPr>
        <w:rFonts w:hint="eastAsia" w:ascii="宋体" w:hAnsi="宋体" w:eastAsia="宋体" w:cs="宋体"/>
        <w:sz w:val="28"/>
        <w:lang w:val="en-US"/>
      </w:rPr>
      <w:fldChar w:fldCharType="begin"/>
    </w:r>
    <w:r>
      <w:rPr>
        <w:rFonts w:hint="eastAsia" w:ascii="宋体" w:hAnsi="宋体" w:eastAsia="宋体" w:cs="宋体"/>
        <w:sz w:val="28"/>
        <w:lang w:val="en-US"/>
      </w:rPr>
      <w:instrText xml:space="preserve"> PAGE  \* MERGEFORMAT </w:instrText>
    </w:r>
    <w:r>
      <w:rPr>
        <w:rFonts w:hint="eastAsia" w:ascii="宋体" w:hAnsi="宋体" w:eastAsia="宋体" w:cs="宋体"/>
        <w:sz w:val="28"/>
        <w:lang w:val="en-US"/>
      </w:rPr>
      <w:fldChar w:fldCharType="separate"/>
    </w:r>
    <w:r>
      <w:rPr>
        <w:rFonts w:hint="eastAsia" w:ascii="宋体" w:hAnsi="宋体" w:eastAsia="宋体" w:cs="宋体"/>
        <w:sz w:val="28"/>
        <w:lang w:val="en-US"/>
      </w:rPr>
      <w:t>1</w:t>
    </w:r>
    <w:r>
      <w:rPr>
        <w:rFonts w:hint="eastAsia" w:ascii="宋体" w:hAnsi="宋体" w:eastAsia="宋体" w:cs="宋体"/>
        <w:sz w:val="28"/>
        <w:lang w:val="en-US"/>
      </w:rPr>
      <w:fldChar w:fldCharType="end"/>
    </w:r>
    <w:r>
      <w:rPr>
        <w:rFonts w:hint="eastAsia" w:ascii="宋体" w:hAnsi="宋体" w:eastAsia="宋体" w:cs="宋体"/>
        <w:sz w:val="28"/>
        <w:lang w:val="en-US"/>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9753A">
    <w:pPr>
      <w:pStyle w:val="9"/>
      <w:ind w:left="252" w:leftChars="120" w:right="252" w:rightChars="120" w:firstLine="0" w:firstLineChars="0"/>
      <w:jc w:val="left"/>
      <w:rPr>
        <w:rFonts w:hint="eastAsia" w:ascii="宋体" w:hAnsi="宋体" w:eastAsia="宋体" w:cs="宋体"/>
        <w:sz w:val="28"/>
      </w:rPr>
    </w:pPr>
    <w:r>
      <w:rPr>
        <w:rFonts w:hint="eastAsia" w:ascii="宋体" w:hAnsi="宋体" w:eastAsia="宋体" w:cs="宋体"/>
        <w:sz w:val="28"/>
        <w:lang w:eastAsia="zh-CN"/>
      </w:rPr>
      <w:t xml:space="preserve">— </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2</w:t>
    </w:r>
    <w:r>
      <w:rPr>
        <w:rFonts w:hint="eastAsia" w:ascii="宋体" w:hAnsi="宋体" w:eastAsia="宋体" w:cs="宋体"/>
        <w:sz w:val="28"/>
      </w:rPr>
      <w:fldChar w:fldCharType="end"/>
    </w:r>
    <w:r>
      <w:rPr>
        <w:rFonts w:hint="eastAsia" w:ascii="宋体" w:hAnsi="宋体" w:eastAsia="宋体" w:cs="宋体"/>
        <w:sz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823C15">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171DA">
    <w:pPr>
      <w:pStyle w:val="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7EDA4D">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05C9C">
    <w:pPr>
      <w:pStyle w:val="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mirrorMargins w:val="1"/>
  <w:bordersDoNotSurroundHeader w:val="1"/>
  <w:bordersDoNotSurroundFooter w:val="1"/>
  <w:documentProtection w:edit="readOnly" w:enforcement="0"/>
  <w:defaultTabStop w:val="420"/>
  <w:evenAndOddHeaders w:val="1"/>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E7391"/>
    <w:rsid w:val="0175164F"/>
    <w:rsid w:val="019A461F"/>
    <w:rsid w:val="01BA74A9"/>
    <w:rsid w:val="01FD48BE"/>
    <w:rsid w:val="0314617A"/>
    <w:rsid w:val="03F63D1C"/>
    <w:rsid w:val="0450566F"/>
    <w:rsid w:val="047D3E4F"/>
    <w:rsid w:val="04D817D2"/>
    <w:rsid w:val="055732FD"/>
    <w:rsid w:val="059A49E6"/>
    <w:rsid w:val="065C41B6"/>
    <w:rsid w:val="07014CC9"/>
    <w:rsid w:val="07F93D7E"/>
    <w:rsid w:val="08390114"/>
    <w:rsid w:val="085E3F28"/>
    <w:rsid w:val="088E4664"/>
    <w:rsid w:val="08A15949"/>
    <w:rsid w:val="08C956D3"/>
    <w:rsid w:val="09167D40"/>
    <w:rsid w:val="09D60706"/>
    <w:rsid w:val="0A4E677B"/>
    <w:rsid w:val="0A941BA3"/>
    <w:rsid w:val="0B0E32A4"/>
    <w:rsid w:val="0B120106"/>
    <w:rsid w:val="0B1942FD"/>
    <w:rsid w:val="0BCD1AB6"/>
    <w:rsid w:val="0CAF46F3"/>
    <w:rsid w:val="0D1B59D8"/>
    <w:rsid w:val="0D4E63B9"/>
    <w:rsid w:val="0D9C346B"/>
    <w:rsid w:val="0E052AAC"/>
    <w:rsid w:val="0E090CD1"/>
    <w:rsid w:val="0E2367DB"/>
    <w:rsid w:val="0E3F498D"/>
    <w:rsid w:val="0E8B7121"/>
    <w:rsid w:val="0F1028FB"/>
    <w:rsid w:val="0F250C2A"/>
    <w:rsid w:val="0F966B8B"/>
    <w:rsid w:val="1005726E"/>
    <w:rsid w:val="11551569"/>
    <w:rsid w:val="11696A86"/>
    <w:rsid w:val="12642504"/>
    <w:rsid w:val="126C71D7"/>
    <w:rsid w:val="12766455"/>
    <w:rsid w:val="12D33E0B"/>
    <w:rsid w:val="12D54C79"/>
    <w:rsid w:val="144F6315"/>
    <w:rsid w:val="14F263C7"/>
    <w:rsid w:val="15343958"/>
    <w:rsid w:val="15AA6F86"/>
    <w:rsid w:val="15DC756D"/>
    <w:rsid w:val="15F10A53"/>
    <w:rsid w:val="16095EAA"/>
    <w:rsid w:val="161F3F2E"/>
    <w:rsid w:val="162A080D"/>
    <w:rsid w:val="173C2830"/>
    <w:rsid w:val="178459EA"/>
    <w:rsid w:val="17CF0D3C"/>
    <w:rsid w:val="188D573F"/>
    <w:rsid w:val="18914036"/>
    <w:rsid w:val="18F90638"/>
    <w:rsid w:val="19102765"/>
    <w:rsid w:val="19C330B9"/>
    <w:rsid w:val="1A272513"/>
    <w:rsid w:val="1AAD11D0"/>
    <w:rsid w:val="1AC7072B"/>
    <w:rsid w:val="1ADB5109"/>
    <w:rsid w:val="1B3F3055"/>
    <w:rsid w:val="1B844F66"/>
    <w:rsid w:val="1BE321F6"/>
    <w:rsid w:val="1BF03DAB"/>
    <w:rsid w:val="1BF53DB5"/>
    <w:rsid w:val="1C276350"/>
    <w:rsid w:val="1CDF60F9"/>
    <w:rsid w:val="1CE90329"/>
    <w:rsid w:val="1D230CC8"/>
    <w:rsid w:val="1DAD23D5"/>
    <w:rsid w:val="1E0E4CB5"/>
    <w:rsid w:val="1E717E4D"/>
    <w:rsid w:val="1F1B140E"/>
    <w:rsid w:val="1F763E4B"/>
    <w:rsid w:val="1F9D7EF4"/>
    <w:rsid w:val="1FAD11D5"/>
    <w:rsid w:val="1FAE75EA"/>
    <w:rsid w:val="1FB21F80"/>
    <w:rsid w:val="1FB35D4F"/>
    <w:rsid w:val="1FBD0FFE"/>
    <w:rsid w:val="1FEF572F"/>
    <w:rsid w:val="204C0795"/>
    <w:rsid w:val="20664E3A"/>
    <w:rsid w:val="20C932CD"/>
    <w:rsid w:val="20E62929"/>
    <w:rsid w:val="20F4278E"/>
    <w:rsid w:val="21270E3B"/>
    <w:rsid w:val="217E2814"/>
    <w:rsid w:val="21825BCE"/>
    <w:rsid w:val="2184595E"/>
    <w:rsid w:val="2196143C"/>
    <w:rsid w:val="220A4F69"/>
    <w:rsid w:val="226876E2"/>
    <w:rsid w:val="23CF4A8E"/>
    <w:rsid w:val="23E151CD"/>
    <w:rsid w:val="23E8383B"/>
    <w:rsid w:val="24335784"/>
    <w:rsid w:val="24817D77"/>
    <w:rsid w:val="24FF66F2"/>
    <w:rsid w:val="25077F8F"/>
    <w:rsid w:val="252E54B2"/>
    <w:rsid w:val="259913DE"/>
    <w:rsid w:val="268C6D96"/>
    <w:rsid w:val="268F5134"/>
    <w:rsid w:val="26941400"/>
    <w:rsid w:val="27166A26"/>
    <w:rsid w:val="27173A01"/>
    <w:rsid w:val="273A2BF6"/>
    <w:rsid w:val="2772631F"/>
    <w:rsid w:val="27976AE8"/>
    <w:rsid w:val="27B92F72"/>
    <w:rsid w:val="27CA5330"/>
    <w:rsid w:val="288B1D33"/>
    <w:rsid w:val="28DD39BC"/>
    <w:rsid w:val="28F35DA2"/>
    <w:rsid w:val="29B87038"/>
    <w:rsid w:val="29D3170D"/>
    <w:rsid w:val="2A0D6FC2"/>
    <w:rsid w:val="2A3F754E"/>
    <w:rsid w:val="2A58590D"/>
    <w:rsid w:val="2A875671"/>
    <w:rsid w:val="2AED1DB8"/>
    <w:rsid w:val="2BE96EEA"/>
    <w:rsid w:val="2C2F6966"/>
    <w:rsid w:val="2C6C1E73"/>
    <w:rsid w:val="2DAFDD9E"/>
    <w:rsid w:val="2DF3423B"/>
    <w:rsid w:val="2E624BD8"/>
    <w:rsid w:val="2EC87972"/>
    <w:rsid w:val="2F420646"/>
    <w:rsid w:val="2F596435"/>
    <w:rsid w:val="2FBD0F6D"/>
    <w:rsid w:val="302C2C6A"/>
    <w:rsid w:val="30C36F47"/>
    <w:rsid w:val="31586912"/>
    <w:rsid w:val="31C71D77"/>
    <w:rsid w:val="320044D6"/>
    <w:rsid w:val="324937EC"/>
    <w:rsid w:val="32E82C41"/>
    <w:rsid w:val="33455913"/>
    <w:rsid w:val="334D2125"/>
    <w:rsid w:val="337260B9"/>
    <w:rsid w:val="33AE4BF0"/>
    <w:rsid w:val="33ED56FB"/>
    <w:rsid w:val="344931B9"/>
    <w:rsid w:val="349E1E83"/>
    <w:rsid w:val="34DF106C"/>
    <w:rsid w:val="35342086"/>
    <w:rsid w:val="35971DB5"/>
    <w:rsid w:val="35C30625"/>
    <w:rsid w:val="35EE3785"/>
    <w:rsid w:val="362F5D11"/>
    <w:rsid w:val="376A0976"/>
    <w:rsid w:val="37867BBC"/>
    <w:rsid w:val="37C83F47"/>
    <w:rsid w:val="39194A6B"/>
    <w:rsid w:val="39412E6E"/>
    <w:rsid w:val="398C4BD6"/>
    <w:rsid w:val="39D50B25"/>
    <w:rsid w:val="39E17654"/>
    <w:rsid w:val="3ACF0E9B"/>
    <w:rsid w:val="3B08044E"/>
    <w:rsid w:val="3B19771B"/>
    <w:rsid w:val="3BE307DA"/>
    <w:rsid w:val="3C1C5965"/>
    <w:rsid w:val="3C460F61"/>
    <w:rsid w:val="3D1B57FE"/>
    <w:rsid w:val="3DAE4CDD"/>
    <w:rsid w:val="3DBB6E92"/>
    <w:rsid w:val="3DDDB6DB"/>
    <w:rsid w:val="3E05404B"/>
    <w:rsid w:val="3E495434"/>
    <w:rsid w:val="3E727ED5"/>
    <w:rsid w:val="3E8F1FCC"/>
    <w:rsid w:val="3EA12336"/>
    <w:rsid w:val="3ED10927"/>
    <w:rsid w:val="3EFE0693"/>
    <w:rsid w:val="3F1E34D2"/>
    <w:rsid w:val="3F2664D8"/>
    <w:rsid w:val="3FA926D5"/>
    <w:rsid w:val="402B63DE"/>
    <w:rsid w:val="405701E5"/>
    <w:rsid w:val="4068122B"/>
    <w:rsid w:val="41290C9B"/>
    <w:rsid w:val="41414041"/>
    <w:rsid w:val="415A38CC"/>
    <w:rsid w:val="41694ECF"/>
    <w:rsid w:val="41BE7ED8"/>
    <w:rsid w:val="41FB509F"/>
    <w:rsid w:val="42466E27"/>
    <w:rsid w:val="429F71D0"/>
    <w:rsid w:val="42DE62C5"/>
    <w:rsid w:val="43142D05"/>
    <w:rsid w:val="436177B7"/>
    <w:rsid w:val="443B3406"/>
    <w:rsid w:val="451F1F80"/>
    <w:rsid w:val="456559EC"/>
    <w:rsid w:val="46484D51"/>
    <w:rsid w:val="4669535C"/>
    <w:rsid w:val="466C6E67"/>
    <w:rsid w:val="47DF1C18"/>
    <w:rsid w:val="480A67B6"/>
    <w:rsid w:val="482B6B71"/>
    <w:rsid w:val="49DE50AA"/>
    <w:rsid w:val="4A217D89"/>
    <w:rsid w:val="4A400CBB"/>
    <w:rsid w:val="4A5B150F"/>
    <w:rsid w:val="4ADD47C7"/>
    <w:rsid w:val="4B012A07"/>
    <w:rsid w:val="4B927E54"/>
    <w:rsid w:val="4C0E7541"/>
    <w:rsid w:val="4C136D4E"/>
    <w:rsid w:val="4CC8408F"/>
    <w:rsid w:val="4D906A5D"/>
    <w:rsid w:val="4DA01111"/>
    <w:rsid w:val="4E533F6E"/>
    <w:rsid w:val="4EA65CF6"/>
    <w:rsid w:val="4EF725E3"/>
    <w:rsid w:val="4FAC0D3A"/>
    <w:rsid w:val="507752D3"/>
    <w:rsid w:val="508D6825"/>
    <w:rsid w:val="509A5FF6"/>
    <w:rsid w:val="50DF5539"/>
    <w:rsid w:val="51FF6591"/>
    <w:rsid w:val="525433B7"/>
    <w:rsid w:val="53716BC7"/>
    <w:rsid w:val="548F400B"/>
    <w:rsid w:val="55834B4E"/>
    <w:rsid w:val="55AF2A2D"/>
    <w:rsid w:val="55F72E9E"/>
    <w:rsid w:val="565160D8"/>
    <w:rsid w:val="566D31BC"/>
    <w:rsid w:val="56C27C2A"/>
    <w:rsid w:val="56F1421E"/>
    <w:rsid w:val="571D4053"/>
    <w:rsid w:val="572C4E9E"/>
    <w:rsid w:val="57FE3C60"/>
    <w:rsid w:val="5818188A"/>
    <w:rsid w:val="58462E07"/>
    <w:rsid w:val="58C5210E"/>
    <w:rsid w:val="58E34E42"/>
    <w:rsid w:val="58FA4F48"/>
    <w:rsid w:val="59615E1F"/>
    <w:rsid w:val="5A874FFF"/>
    <w:rsid w:val="5AE201C4"/>
    <w:rsid w:val="5B804A5A"/>
    <w:rsid w:val="5B9906A3"/>
    <w:rsid w:val="5C0C7000"/>
    <w:rsid w:val="5C1C14FD"/>
    <w:rsid w:val="5C3A30D8"/>
    <w:rsid w:val="5C486959"/>
    <w:rsid w:val="5C4913DD"/>
    <w:rsid w:val="5C4D0ADB"/>
    <w:rsid w:val="5C6D546A"/>
    <w:rsid w:val="5C97125A"/>
    <w:rsid w:val="5CFA1F10"/>
    <w:rsid w:val="5D1D3D31"/>
    <w:rsid w:val="5D3A492B"/>
    <w:rsid w:val="5D97453E"/>
    <w:rsid w:val="5DBD34A7"/>
    <w:rsid w:val="5DF7250F"/>
    <w:rsid w:val="5E113DF5"/>
    <w:rsid w:val="5E2E19DF"/>
    <w:rsid w:val="5E4B0625"/>
    <w:rsid w:val="5EA730F0"/>
    <w:rsid w:val="5EC75B87"/>
    <w:rsid w:val="5F0C7034"/>
    <w:rsid w:val="5F7F25CE"/>
    <w:rsid w:val="60252C36"/>
    <w:rsid w:val="609E4BF2"/>
    <w:rsid w:val="61070203"/>
    <w:rsid w:val="61D402F2"/>
    <w:rsid w:val="621067D7"/>
    <w:rsid w:val="62A37A67"/>
    <w:rsid w:val="62B649F6"/>
    <w:rsid w:val="62F227F8"/>
    <w:rsid w:val="646E5744"/>
    <w:rsid w:val="6480631B"/>
    <w:rsid w:val="64BF5159"/>
    <w:rsid w:val="64F36F8B"/>
    <w:rsid w:val="6560758E"/>
    <w:rsid w:val="65977C1D"/>
    <w:rsid w:val="66413188"/>
    <w:rsid w:val="66675D06"/>
    <w:rsid w:val="66923FF4"/>
    <w:rsid w:val="6692748D"/>
    <w:rsid w:val="672047E0"/>
    <w:rsid w:val="67EE4A07"/>
    <w:rsid w:val="67FC00B8"/>
    <w:rsid w:val="684E3481"/>
    <w:rsid w:val="68777868"/>
    <w:rsid w:val="68B340CF"/>
    <w:rsid w:val="68D81312"/>
    <w:rsid w:val="697E6327"/>
    <w:rsid w:val="698B3637"/>
    <w:rsid w:val="69A96F76"/>
    <w:rsid w:val="69EE6B03"/>
    <w:rsid w:val="6A241AC0"/>
    <w:rsid w:val="6A294847"/>
    <w:rsid w:val="6A645EF4"/>
    <w:rsid w:val="6AA71C4C"/>
    <w:rsid w:val="6AE74257"/>
    <w:rsid w:val="6B444E58"/>
    <w:rsid w:val="6BA15E78"/>
    <w:rsid w:val="6BB868FC"/>
    <w:rsid w:val="6C121A5B"/>
    <w:rsid w:val="6C564073"/>
    <w:rsid w:val="6DA01611"/>
    <w:rsid w:val="6DAE1F9A"/>
    <w:rsid w:val="6E394489"/>
    <w:rsid w:val="6E496153"/>
    <w:rsid w:val="6EA25BFF"/>
    <w:rsid w:val="6ED275A1"/>
    <w:rsid w:val="6EE32995"/>
    <w:rsid w:val="6F4B05C2"/>
    <w:rsid w:val="6F514520"/>
    <w:rsid w:val="6FE86842"/>
    <w:rsid w:val="70F5413A"/>
    <w:rsid w:val="714A315F"/>
    <w:rsid w:val="71C3190D"/>
    <w:rsid w:val="720133AE"/>
    <w:rsid w:val="723C6AB8"/>
    <w:rsid w:val="72AC440A"/>
    <w:rsid w:val="72D118F6"/>
    <w:rsid w:val="73AE10B4"/>
    <w:rsid w:val="747043AB"/>
    <w:rsid w:val="75211541"/>
    <w:rsid w:val="755B3785"/>
    <w:rsid w:val="7592235E"/>
    <w:rsid w:val="75C50760"/>
    <w:rsid w:val="75D81465"/>
    <w:rsid w:val="764D0386"/>
    <w:rsid w:val="7661101A"/>
    <w:rsid w:val="76CB1FD3"/>
    <w:rsid w:val="76F47155"/>
    <w:rsid w:val="77091C79"/>
    <w:rsid w:val="77DC5862"/>
    <w:rsid w:val="77EC0B70"/>
    <w:rsid w:val="78302731"/>
    <w:rsid w:val="789B36BF"/>
    <w:rsid w:val="78EC2FB3"/>
    <w:rsid w:val="79512B69"/>
    <w:rsid w:val="7A2D6D5B"/>
    <w:rsid w:val="7A486189"/>
    <w:rsid w:val="7BA42A55"/>
    <w:rsid w:val="7C184936"/>
    <w:rsid w:val="7C264CF7"/>
    <w:rsid w:val="7C386441"/>
    <w:rsid w:val="7C655CAD"/>
    <w:rsid w:val="7D083A12"/>
    <w:rsid w:val="7D0B0C9F"/>
    <w:rsid w:val="7E193587"/>
    <w:rsid w:val="7E29215A"/>
    <w:rsid w:val="7E847F4C"/>
    <w:rsid w:val="7EDC55BF"/>
    <w:rsid w:val="7EEB2F6F"/>
    <w:rsid w:val="7F0C380F"/>
    <w:rsid w:val="7FF5234A"/>
    <w:rsid w:val="B7C7E30F"/>
    <w:rsid w:val="F8F7F85E"/>
    <w:rsid w:val="FFEBCC3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3">
    <w:name w:val="heading 1"/>
    <w:basedOn w:val="1"/>
    <w:next w:val="1"/>
    <w:qFormat/>
    <w:uiPriority w:val="9"/>
    <w:pPr>
      <w:spacing w:before="100" w:beforeLines="0" w:beforeAutospacing="1" w:after="100" w:afterLines="0" w:afterAutospacing="1"/>
      <w:jc w:val="left"/>
      <w:outlineLvl w:val="0"/>
    </w:pPr>
    <w:rPr>
      <w:rFonts w:hint="eastAsia" w:ascii="宋体" w:hAnsi="宋体" w:eastAsia="宋体" w:cs="宋体"/>
      <w:b/>
      <w:bCs/>
      <w:kern w:val="44"/>
      <w:sz w:val="48"/>
      <w:szCs w:val="48"/>
      <w:lang w:val="en-US" w:eastAsia="zh-CN" w:bidi="ar"/>
    </w:rPr>
  </w:style>
  <w:style w:type="paragraph" w:styleId="4">
    <w:name w:val="heading 2"/>
    <w:basedOn w:val="1"/>
    <w:next w:val="1"/>
    <w:unhideWhenUsed/>
    <w:qFormat/>
    <w:uiPriority w:val="0"/>
    <w:pPr>
      <w:keepNext/>
      <w:keepLines/>
      <w:spacing w:beforeLines="0" w:beforeAutospacing="0" w:afterLines="0" w:afterAutospacing="0" w:line="560" w:lineRule="exact"/>
      <w:ind w:firstLine="880" w:firstLineChars="200"/>
      <w:outlineLvl w:val="1"/>
    </w:pPr>
    <w:rPr>
      <w:rFonts w:ascii="Arial" w:hAnsi="Arial" w:eastAsia="黑体"/>
      <w:sz w:val="32"/>
    </w:rPr>
  </w:style>
  <w:style w:type="paragraph" w:styleId="5">
    <w:name w:val="heading 3"/>
    <w:basedOn w:val="1"/>
    <w:next w:val="1"/>
    <w:link w:val="29"/>
    <w:qFormat/>
    <w:uiPriority w:val="9"/>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unhideWhenUsed/>
    <w:qFormat/>
    <w:uiPriority w:val="99"/>
    <w:tblPr>
      <w:tblCellMar>
        <w:top w:w="0" w:type="dxa"/>
        <w:left w:w="108" w:type="dxa"/>
        <w:bottom w:w="0" w:type="dxa"/>
        <w:right w:w="108" w:type="dxa"/>
      </w:tblCellMar>
    </w:tblPr>
  </w:style>
  <w:style w:type="paragraph" w:styleId="2">
    <w:name w:val="footnote text"/>
    <w:basedOn w:val="1"/>
    <w:qFormat/>
    <w:uiPriority w:val="0"/>
    <w:pPr>
      <w:snapToGrid w:val="0"/>
      <w:jc w:val="left"/>
    </w:pPr>
    <w:rPr>
      <w:sz w:val="18"/>
    </w:rPr>
  </w:style>
  <w:style w:type="paragraph" w:styleId="6">
    <w:name w:val="Normal Indent"/>
    <w:basedOn w:val="1"/>
    <w:next w:val="1"/>
    <w:unhideWhenUsed/>
    <w:qFormat/>
    <w:uiPriority w:val="99"/>
    <w:pPr>
      <w:ind w:firstLine="420" w:firstLineChars="200"/>
    </w:pPr>
    <w:rPr>
      <w:rFonts w:hint="eastAsia" w:cs="Times New Roman"/>
    </w:rPr>
  </w:style>
  <w:style w:type="paragraph" w:styleId="7">
    <w:name w:val="Body Text"/>
    <w:basedOn w:val="1"/>
    <w:next w:val="1"/>
    <w:qFormat/>
    <w:uiPriority w:val="0"/>
    <w:pPr>
      <w:ind w:left="325"/>
      <w:jc w:val="left"/>
    </w:pPr>
    <w:rPr>
      <w:rFonts w:ascii="宋体" w:hAnsi="宋体"/>
      <w:kern w:val="0"/>
      <w:sz w:val="31"/>
      <w:szCs w:val="31"/>
      <w:lang w:eastAsia="en-US"/>
    </w:rPr>
  </w:style>
  <w:style w:type="paragraph" w:styleId="8">
    <w:name w:val="Body Text Indent"/>
    <w:basedOn w:val="1"/>
    <w:next w:val="6"/>
    <w:qFormat/>
    <w:uiPriority w:val="0"/>
    <w:pPr>
      <w:adjustRightInd w:val="0"/>
      <w:snapToGrid w:val="0"/>
      <w:spacing w:line="348" w:lineRule="auto"/>
      <w:ind w:firstLine="640" w:firstLineChars="200"/>
      <w:textAlignment w:val="bottom"/>
    </w:pPr>
    <w:rPr>
      <w:rFonts w:ascii="仿宋_GB2312" w:eastAsia="仿宋_GB2312"/>
      <w:kern w:val="0"/>
      <w:sz w:val="32"/>
      <w:szCs w:val="32"/>
    </w:rPr>
  </w:style>
  <w:style w:type="paragraph" w:styleId="9">
    <w:name w:val="footer"/>
    <w:basedOn w:val="1"/>
    <w:qFormat/>
    <w:uiPriority w:val="0"/>
    <w:pPr>
      <w:pBdr>
        <w:top w:val="none" w:color="auto" w:sz="0" w:space="0"/>
      </w:pBd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Subtitle"/>
    <w:basedOn w:val="1"/>
    <w:next w:val="1"/>
    <w:qFormat/>
    <w:uiPriority w:val="0"/>
    <w:pPr>
      <w:widowControl/>
      <w:wordWrap w:val="0"/>
      <w:spacing w:before="0" w:after="60" w:line="240" w:lineRule="auto"/>
      <w:ind w:left="0" w:firstLine="0"/>
      <w:jc w:val="center"/>
    </w:pPr>
    <w:rPr>
      <w:rFonts w:ascii="Times New Roman" w:hAnsi="Times New Roman" w:eastAsia="宋体" w:cs="Times New Roman"/>
      <w:sz w:val="24"/>
    </w:rPr>
  </w:style>
  <w:style w:type="paragraph" w:styleId="12">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3">
    <w:name w:val="Title"/>
    <w:basedOn w:val="1"/>
    <w:next w:val="1"/>
    <w:qFormat/>
    <w:uiPriority w:val="0"/>
    <w:pPr>
      <w:widowControl/>
      <w:adjustRightInd/>
      <w:snapToGrid/>
      <w:spacing w:before="240" w:after="60" w:line="240" w:lineRule="auto"/>
      <w:jc w:val="center"/>
      <w:outlineLvl w:val="0"/>
    </w:pPr>
    <w:rPr>
      <w:rFonts w:ascii="Cambria" w:hAnsi="Cambria" w:eastAsia="宋体" w:cs="Times New Roman"/>
      <w:b/>
      <w:bCs/>
      <w:kern w:val="28"/>
      <w:szCs w:val="32"/>
      <w:lang w:eastAsia="en-US"/>
    </w:rPr>
  </w:style>
  <w:style w:type="paragraph" w:styleId="14">
    <w:name w:val="Body Text First Indent"/>
    <w:basedOn w:val="7"/>
    <w:next w:val="1"/>
    <w:qFormat/>
    <w:uiPriority w:val="0"/>
    <w:pPr>
      <w:spacing w:after="0"/>
      <w:ind w:firstLine="420" w:firstLineChars="100"/>
    </w:pPr>
  </w:style>
  <w:style w:type="paragraph" w:styleId="15">
    <w:name w:val="Body Text First Indent 2"/>
    <w:basedOn w:val="8"/>
    <w:next w:val="1"/>
    <w:qFormat/>
    <w:uiPriority w:val="0"/>
    <w:pPr>
      <w:ind w:firstLine="420" w:firstLineChars="200"/>
    </w:pPr>
  </w:style>
  <w:style w:type="table" w:styleId="17">
    <w:name w:val="Table Grid"/>
    <w:basedOn w:val="1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paragraph" w:customStyle="1" w:styleId="20">
    <w:name w:val="Default"/>
    <w:next w:val="11"/>
    <w:qFormat/>
    <w:uiPriority w:val="0"/>
    <w:pPr>
      <w:widowControl w:val="0"/>
      <w:autoSpaceDE w:val="0"/>
      <w:autoSpaceDN w:val="0"/>
      <w:adjustRightInd w:val="0"/>
    </w:pPr>
    <w:rPr>
      <w:rFonts w:hint="eastAsia" w:ascii="仿宋_GB2312" w:hAnsi="Calibri" w:eastAsia="仿宋_GB2312" w:cs="Times New Roman"/>
      <w:color w:val="000000"/>
      <w:sz w:val="24"/>
      <w:szCs w:val="22"/>
      <w:lang w:val="en-US" w:eastAsia="zh-CN" w:bidi="ar-SA"/>
    </w:rPr>
  </w:style>
  <w:style w:type="character" w:customStyle="1" w:styleId="21">
    <w:name w:val="NormalCharacter"/>
    <w:semiHidden/>
    <w:qFormat/>
    <w:uiPriority w:val="0"/>
  </w:style>
  <w:style w:type="paragraph" w:customStyle="1" w:styleId="22">
    <w:name w:val="BodyText1I2"/>
    <w:basedOn w:val="23"/>
    <w:qFormat/>
    <w:uiPriority w:val="0"/>
    <w:pPr>
      <w:spacing w:after="120"/>
      <w:ind w:left="420" w:leftChars="200" w:firstLine="420" w:firstLineChars="200"/>
      <w:jc w:val="both"/>
      <w:textAlignment w:val="baseline"/>
    </w:pPr>
  </w:style>
  <w:style w:type="paragraph" w:customStyle="1" w:styleId="23">
    <w:name w:val="BodyTextIndent"/>
    <w:basedOn w:val="1"/>
    <w:next w:val="24"/>
    <w:qFormat/>
    <w:uiPriority w:val="0"/>
    <w:pPr>
      <w:spacing w:after="120"/>
      <w:ind w:left="420" w:leftChars="200"/>
      <w:jc w:val="both"/>
      <w:textAlignment w:val="baseline"/>
    </w:pPr>
  </w:style>
  <w:style w:type="paragraph" w:customStyle="1" w:styleId="24">
    <w:name w:val="NormalIndent"/>
    <w:basedOn w:val="1"/>
    <w:qFormat/>
    <w:uiPriority w:val="0"/>
    <w:pPr>
      <w:ind w:firstLine="420" w:firstLineChars="200"/>
      <w:jc w:val="both"/>
      <w:textAlignment w:val="baseline"/>
    </w:pPr>
    <w:rPr>
      <w:rFonts w:ascii="Calibri" w:hAnsi="Calibri" w:eastAsia="仿宋"/>
      <w:kern w:val="2"/>
      <w:sz w:val="32"/>
      <w:lang w:val="en-US" w:eastAsia="zh-CN"/>
    </w:rPr>
  </w:style>
  <w:style w:type="paragraph" w:customStyle="1" w:styleId="25">
    <w:name w:val="Heading 1"/>
    <w:basedOn w:val="1"/>
    <w:qFormat/>
    <w:uiPriority w:val="1"/>
    <w:pPr>
      <w:spacing w:before="38"/>
      <w:ind w:right="762"/>
      <w:jc w:val="center"/>
      <w:outlineLvl w:val="1"/>
    </w:pPr>
    <w:rPr>
      <w:rFonts w:ascii="宋体" w:hAnsi="宋体" w:eastAsia="宋体" w:cs="宋体"/>
      <w:sz w:val="44"/>
      <w:szCs w:val="44"/>
      <w:lang w:val="en-US" w:eastAsia="zh-CN" w:bidi="ar-SA"/>
    </w:rPr>
  </w:style>
  <w:style w:type="paragraph" w:customStyle="1" w:styleId="26">
    <w:name w:val="List Paragraph"/>
    <w:basedOn w:val="1"/>
    <w:qFormat/>
    <w:uiPriority w:val="1"/>
    <w:pPr>
      <w:spacing w:before="184"/>
      <w:ind w:left="131" w:firstLine="639"/>
    </w:pPr>
    <w:rPr>
      <w:rFonts w:ascii="宋体" w:hAnsi="宋体" w:eastAsia="宋体" w:cs="宋体"/>
      <w:lang w:val="en-US" w:eastAsia="zh-CN" w:bidi="ar-SA"/>
    </w:rPr>
  </w:style>
  <w:style w:type="paragraph" w:customStyle="1" w:styleId="27">
    <w:name w:val="Table Paragraph"/>
    <w:basedOn w:val="1"/>
    <w:qFormat/>
    <w:uiPriority w:val="1"/>
    <w:pPr>
      <w:spacing w:before="110"/>
      <w:jc w:val="center"/>
    </w:pPr>
    <w:rPr>
      <w:rFonts w:ascii="宋体" w:hAnsi="宋体" w:eastAsia="宋体" w:cs="宋体"/>
      <w:lang w:val="en-US" w:eastAsia="zh-CN" w:bidi="ar-SA"/>
    </w:rPr>
  </w:style>
  <w:style w:type="paragraph" w:customStyle="1" w:styleId="28">
    <w:name w:val="4 正文 仿宋2312"/>
    <w:basedOn w:val="1"/>
    <w:qFormat/>
    <w:uiPriority w:val="0"/>
    <w:pPr>
      <w:widowControl w:val="0"/>
      <w:spacing w:line="600" w:lineRule="exact"/>
      <w:ind w:firstLine="640" w:firstLineChars="200"/>
      <w:jc w:val="both"/>
    </w:pPr>
    <w:rPr>
      <w:rFonts w:hint="eastAsia" w:ascii="Times New Roman" w:hAnsi="Times New Roman" w:eastAsia="仿宋_GB2312" w:cs="Times New Roman"/>
      <w:sz w:val="32"/>
      <w:szCs w:val="40"/>
    </w:rPr>
  </w:style>
  <w:style w:type="character" w:customStyle="1" w:styleId="29">
    <w:name w:val="标题 3 Char"/>
    <w:link w:val="5"/>
    <w:qFormat/>
    <w:uiPriority w:val="0"/>
    <w:rPr>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2745</Words>
  <Characters>2770</Characters>
  <Lines>0</Lines>
  <Paragraphs>0</Paragraphs>
  <TotalTime>55</TotalTime>
  <ScaleCrop>false</ScaleCrop>
  <LinksUpToDate>false</LinksUpToDate>
  <CharactersWithSpaces>2800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2021-08-26T19:08:00Z</dcterms:created>
  <dc:creator>阳啊阳</dc:creator>
  <cp:lastModifiedBy>涛</cp:lastModifiedBy>
  <cp:lastPrinted>2025-12-26T12:43:00Z</cp:lastPrinted>
  <dcterms:modified xsi:type="dcterms:W3CDTF">2025-12-31T02:51:41Z</dcterms:modified>
  <dc:title>洛阳市偃师区人民政府</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C046437081284A07BA6E12565BBBC5A4_13</vt:lpwstr>
  </property>
  <property fmtid="{D5CDD505-2E9C-101B-9397-08002B2CF9AE}" pid="4" name="KSOTemplateDocerSaveRecord">
    <vt:lpwstr>eyJoZGlkIjoiYTlhMmIyZTI0MDczODBkMTgzYmQ3MTJjOTYwYmRlYjUiLCJ1c2VySWQiOiI3MTA4NTc4NTUifQ==</vt:lpwstr>
  </property>
</Properties>
</file>