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val="0"/>
        <w:kinsoku/>
        <w:wordWrap/>
        <w:overflowPunct/>
        <w:topLinePunct w:val="0"/>
        <w:autoSpaceDE/>
        <w:autoSpaceDN/>
        <w:bidi w:val="0"/>
        <w:textAlignment w:val="auto"/>
        <w:rPr>
          <w:rFonts w:hint="eastAsia" w:ascii="Times New Roman" w:hAnsi="Times New Roman" w:eastAsia="仿宋_GB2312" w:cs="仿宋_GB2312"/>
          <w:b w:val="0"/>
          <w:bCs w:val="0"/>
          <w:snapToGrid w:val="0"/>
          <w:color w:val="000000"/>
          <w:w w:val="100"/>
          <w:kern w:val="0"/>
          <w:sz w:val="32"/>
          <w:szCs w:val="44"/>
          <w:shd w:val="clear" w:color="auto" w:fill="auto"/>
          <w:lang w:eastAsia="zh-CN"/>
        </w:rPr>
      </w:pP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0" w:after="0" w:line="440" w:lineRule="exact"/>
        <w:ind w:right="0" w:rightChars="0"/>
        <w:jc w:val="both"/>
        <w:textAlignment w:val="auto"/>
        <w:rPr>
          <w:rFonts w:hint="eastAsia" w:ascii="Times New Roman" w:hAnsi="Times New Roman" w:eastAsia="仿宋_GB2312" w:cs="仿宋_GB2312"/>
          <w:b w:val="0"/>
          <w:bCs w:val="0"/>
          <w:snapToGrid w:val="0"/>
          <w:color w:val="000000"/>
          <w:w w:val="100"/>
          <w:kern w:val="0"/>
          <w:sz w:val="32"/>
          <w:szCs w:val="44"/>
          <w:shd w:val="clear" w:color="auto" w:fill="auto"/>
          <w:lang w:eastAsia="zh-CN"/>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洛阳市偃师区人民政府办公室</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关于印发</w:t>
      </w:r>
      <w:r>
        <w:rPr>
          <w:rFonts w:hint="eastAsia" w:ascii="Times New Roman" w:hAnsi="Times New Roman" w:eastAsia="方正小标宋_GBK" w:cs="Times New Roman"/>
          <w:sz w:val="44"/>
          <w:szCs w:val="44"/>
          <w:lang w:eastAsia="zh-CN"/>
        </w:rPr>
        <w:t>洛阳市</w:t>
      </w:r>
      <w:r>
        <w:rPr>
          <w:rFonts w:hint="default" w:ascii="Times New Roman" w:hAnsi="Times New Roman" w:eastAsia="方正小标宋_GBK" w:cs="Times New Roman"/>
          <w:sz w:val="44"/>
          <w:szCs w:val="44"/>
          <w:lang w:eastAsia="zh-CN"/>
        </w:rPr>
        <w:t>偃师区消防安全重点单位包保联系工作机制实施细则（试行）</w:t>
      </w:r>
      <w:r>
        <w:rPr>
          <w:rFonts w:hint="eastAsia" w:ascii="Times New Roman" w:hAnsi="Times New Roman" w:eastAsia="方正小标宋_GBK" w:cs="Times New Roman"/>
          <w:sz w:val="44"/>
          <w:szCs w:val="44"/>
          <w:lang w:eastAsia="zh-CN"/>
        </w:rPr>
        <w:t>的通知</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0" w:after="0" w:line="502" w:lineRule="exact"/>
        <w:ind w:left="0" w:leftChars="0" w:right="0" w:rightChars="0" w:firstLine="0" w:firstLineChars="0"/>
        <w:jc w:val="center"/>
        <w:textAlignment w:val="auto"/>
        <w:outlineLvl w:val="9"/>
        <w:rPr>
          <w:rFonts w:hint="eastAsia" w:ascii="Times New Roman" w:hAnsi="Times New Roman" w:eastAsia="仿宋_GB2312" w:cs="仿宋_GB2312"/>
          <w:b w:val="0"/>
          <w:bCs w:val="0"/>
          <w:snapToGrid w:val="0"/>
          <w:color w:val="000000"/>
          <w:w w:val="100"/>
          <w:kern w:val="0"/>
          <w:sz w:val="32"/>
          <w:szCs w:val="32"/>
          <w:shd w:val="clear" w:color="auto" w:fill="auto"/>
          <w:lang w:val="en-US" w:eastAsia="zh-CN"/>
        </w:rPr>
      </w:pPr>
      <w:r>
        <w:rPr>
          <w:rFonts w:hint="eastAsia" w:ascii="Times New Roman" w:hAnsi="Times New Roman" w:eastAsia="仿宋_GB2312" w:cs="仿宋_GB2312"/>
          <w:b w:val="0"/>
          <w:bCs w:val="0"/>
          <w:snapToGrid w:val="0"/>
          <w:color w:val="000000"/>
          <w:w w:val="100"/>
          <w:kern w:val="0"/>
          <w:sz w:val="32"/>
          <w:szCs w:val="32"/>
          <w:shd w:val="clear" w:color="auto" w:fill="auto"/>
        </w:rPr>
        <w:t>偃政</w:t>
      </w:r>
      <w:r>
        <w:rPr>
          <w:rFonts w:hint="eastAsia" w:ascii="Times New Roman" w:hAnsi="Times New Roman" w:eastAsia="仿宋_GB2312" w:cs="仿宋_GB2312"/>
          <w:b w:val="0"/>
          <w:bCs w:val="0"/>
          <w:snapToGrid w:val="0"/>
          <w:color w:val="000000"/>
          <w:w w:val="100"/>
          <w:kern w:val="0"/>
          <w:sz w:val="32"/>
          <w:szCs w:val="32"/>
          <w:shd w:val="clear" w:color="auto" w:fill="auto"/>
          <w:lang w:val="en-US" w:eastAsia="zh-CN"/>
        </w:rPr>
        <w:t>办</w:t>
      </w:r>
      <w:r>
        <w:rPr>
          <w:rFonts w:hint="eastAsia" w:ascii="Times New Roman" w:hAnsi="Times New Roman" w:eastAsia="仿宋_GB2312" w:cs="仿宋_GB2312"/>
          <w:b w:val="0"/>
          <w:bCs w:val="0"/>
          <w:snapToGrid w:val="0"/>
          <w:color w:val="000000"/>
          <w:w w:val="100"/>
          <w:kern w:val="0"/>
          <w:sz w:val="32"/>
          <w:szCs w:val="32"/>
          <w:shd w:val="clear" w:color="auto" w:fill="auto"/>
        </w:rPr>
        <w:t>〔</w:t>
      </w:r>
      <w:r>
        <w:rPr>
          <w:rFonts w:hint="eastAsia" w:ascii="仿宋_GB2312" w:hAnsi="仿宋_GB2312" w:eastAsia="仿宋_GB2312" w:cs="仿宋_GB2312"/>
          <w:b w:val="0"/>
          <w:bCs w:val="0"/>
          <w:snapToGrid w:val="0"/>
          <w:color w:val="000000"/>
          <w:w w:val="100"/>
          <w:kern w:val="0"/>
          <w:sz w:val="32"/>
          <w:szCs w:val="32"/>
          <w:shd w:val="clear" w:color="auto" w:fill="auto"/>
        </w:rPr>
        <w:t>20</w:t>
      </w:r>
      <w:r>
        <w:rPr>
          <w:rFonts w:hint="eastAsia" w:ascii="仿宋_GB2312" w:hAnsi="仿宋_GB2312" w:eastAsia="仿宋_GB2312" w:cs="仿宋_GB2312"/>
          <w:b w:val="0"/>
          <w:bCs w:val="0"/>
          <w:snapToGrid w:val="0"/>
          <w:color w:val="000000"/>
          <w:w w:val="100"/>
          <w:kern w:val="0"/>
          <w:sz w:val="32"/>
          <w:szCs w:val="32"/>
          <w:shd w:val="clear" w:color="auto" w:fill="auto"/>
          <w:lang w:val="en-US" w:eastAsia="zh-CN"/>
        </w:rPr>
        <w:t>2</w:t>
      </w:r>
      <w:r>
        <w:rPr>
          <w:rFonts w:hint="default" w:ascii="仿宋_GB2312" w:hAnsi="仿宋_GB2312" w:eastAsia="仿宋_GB2312" w:cs="仿宋_GB2312"/>
          <w:b w:val="0"/>
          <w:bCs w:val="0"/>
          <w:snapToGrid w:val="0"/>
          <w:color w:val="000000"/>
          <w:w w:val="100"/>
          <w:kern w:val="0"/>
          <w:sz w:val="32"/>
          <w:szCs w:val="32"/>
          <w:shd w:val="clear" w:color="auto" w:fill="auto"/>
          <w:lang w:val="en-US" w:eastAsia="zh-CN"/>
        </w:rPr>
        <w:t>5</w:t>
      </w:r>
      <w:r>
        <w:rPr>
          <w:rFonts w:hint="eastAsia" w:ascii="Times New Roman" w:hAnsi="Times New Roman" w:eastAsia="仿宋_GB2312" w:cs="仿宋_GB2312"/>
          <w:b w:val="0"/>
          <w:bCs w:val="0"/>
          <w:snapToGrid w:val="0"/>
          <w:color w:val="000000"/>
          <w:w w:val="100"/>
          <w:kern w:val="0"/>
          <w:sz w:val="32"/>
          <w:szCs w:val="32"/>
          <w:shd w:val="clear" w:color="auto" w:fill="auto"/>
        </w:rPr>
        <w:t>〕</w:t>
      </w:r>
      <w:r>
        <w:rPr>
          <w:rFonts w:hint="default" w:ascii="仿宋_GB2312" w:hAnsi="仿宋_GB2312" w:eastAsia="仿宋_GB2312" w:cs="仿宋_GB2312"/>
          <w:b w:val="0"/>
          <w:bCs w:val="0"/>
          <w:snapToGrid w:val="0"/>
          <w:color w:val="000000"/>
          <w:w w:val="100"/>
          <w:kern w:val="0"/>
          <w:sz w:val="32"/>
          <w:szCs w:val="32"/>
          <w:shd w:val="clear" w:color="auto" w:fill="auto"/>
          <w:lang w:val="en-US" w:eastAsia="zh-CN"/>
        </w:rPr>
        <w:t>8</w:t>
      </w:r>
      <w:r>
        <w:rPr>
          <w:rFonts w:hint="eastAsia" w:ascii="Times New Roman" w:hAnsi="Times New Roman" w:eastAsia="仿宋_GB2312" w:cs="仿宋_GB2312"/>
          <w:b w:val="0"/>
          <w:bCs w:val="0"/>
          <w:snapToGrid w:val="0"/>
          <w:color w:val="000000"/>
          <w:w w:val="100"/>
          <w:kern w:val="0"/>
          <w:sz w:val="32"/>
          <w:szCs w:val="32"/>
          <w:shd w:val="clear" w:color="auto" w:fill="auto"/>
        </w:rPr>
        <w:t>号</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
          <w:sz w:val="32"/>
          <w:szCs w:val="32"/>
          <w:lang w:eastAsia="zh-CN"/>
        </w:rPr>
        <w:t>各镇人民政府，各街道办事处，区人民政府有关部门，各有关单位：</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《洛阳市</w:t>
      </w:r>
      <w:r>
        <w:rPr>
          <w:rFonts w:hint="eastAsia" w:ascii="仿宋_GB2312" w:hAnsi="仿宋_GB2312" w:eastAsia="仿宋_GB2312" w:cs="仿宋_GB2312"/>
          <w:sz w:val="32"/>
          <w:szCs w:val="32"/>
          <w:lang w:eastAsia="zh-CN"/>
        </w:rPr>
        <w:t>偃师区消防安全重点单位包保联系工作机制实施细则（试行）</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snapToGrid w:val="0"/>
          <w:color w:val="000000"/>
          <w:spacing w:val="0"/>
          <w:w w:val="100"/>
          <w:kern w:val="0"/>
          <w:sz w:val="32"/>
          <w:szCs w:val="32"/>
          <w:shd w:val="clear" w:color="auto" w:fill="auto"/>
          <w:lang w:val="en-US" w:eastAsia="zh-CN"/>
        </w:rPr>
        <w:t>已经区政府第54次常务会议研究同意，现印发给你们，请结合实际，认真贯彻落实。</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0" w:lineRule="exact"/>
        <w:ind w:left="0" w:leftChars="0" w:right="0" w:rightChars="0" w:firstLine="0" w:firstLineChars="0"/>
        <w:jc w:val="center"/>
        <w:textAlignment w:val="auto"/>
        <w:rPr>
          <w:rFonts w:hint="eastAsia" w:ascii="方正小标宋简体" w:hAnsi="方正小标宋简体" w:eastAsia="方正小标宋简体" w:cs="方正小标宋简体"/>
          <w:snapToGrid w:val="0"/>
          <w:color w:val="000000"/>
          <w:spacing w:val="0"/>
          <w:w w:val="100"/>
          <w:kern w:val="0"/>
          <w:sz w:val="44"/>
          <w:szCs w:val="44"/>
          <w:lang w:eastAsia="zh-CN"/>
        </w:rPr>
      </w:pPr>
    </w:p>
    <w:p>
      <w:pPr>
        <w:pStyle w:val="8"/>
        <w:keepNext w:val="0"/>
        <w:keepLines w:val="0"/>
        <w:pageBreakBefore w:val="0"/>
        <w:widowControl w:val="0"/>
        <w:kinsoku/>
        <w:wordWrap/>
        <w:overflowPunct/>
        <w:topLinePunct w:val="0"/>
        <w:autoSpaceDE/>
        <w:autoSpaceDN/>
        <w:bidi w:val="0"/>
        <w:spacing w:line="590" w:lineRule="exact"/>
        <w:ind w:left="0" w:leftChars="0" w:right="0" w:rightChars="0"/>
        <w:textAlignment w:val="auto"/>
        <w:rPr>
          <w:rFonts w:hint="eastAsia" w:ascii="方正小标宋简体" w:hAnsi="方正小标宋简体" w:eastAsia="方正小标宋简体" w:cs="方正小标宋简体"/>
          <w:snapToGrid w:val="0"/>
          <w:color w:val="000000"/>
          <w:spacing w:val="0"/>
          <w:w w:val="100"/>
          <w:kern w:val="0"/>
          <w:sz w:val="44"/>
          <w:szCs w:val="44"/>
          <w:lang w:eastAsia="zh-CN"/>
        </w:rPr>
      </w:pPr>
    </w:p>
    <w:p>
      <w:pPr>
        <w:pStyle w:val="8"/>
        <w:keepNext w:val="0"/>
        <w:keepLines w:val="0"/>
        <w:pageBreakBefore w:val="0"/>
        <w:widowControl w:val="0"/>
        <w:kinsoku/>
        <w:wordWrap/>
        <w:overflowPunct/>
        <w:topLinePunct w:val="0"/>
        <w:autoSpaceDE/>
        <w:autoSpaceDN/>
        <w:bidi w:val="0"/>
        <w:spacing w:line="590" w:lineRule="exact"/>
        <w:ind w:left="0" w:leftChars="0" w:right="0" w:rightChars="0" w:firstLine="5120" w:firstLineChars="1600"/>
        <w:textAlignment w:val="auto"/>
        <w:rPr>
          <w:rFonts w:hint="eastAsia" w:ascii="方正小标宋简体" w:hAnsi="方正小标宋简体" w:eastAsia="方正小标宋简体" w:cs="方正小标宋简体"/>
          <w:snapToGrid w:val="0"/>
          <w:color w:val="000000"/>
          <w:spacing w:val="0"/>
          <w:w w:val="100"/>
          <w:kern w:val="0"/>
          <w:sz w:val="44"/>
          <w:szCs w:val="44"/>
          <w:lang w:eastAsia="zh-CN"/>
        </w:rPr>
      </w:pPr>
      <w:r>
        <w:rPr>
          <w:rFonts w:hint="default" w:ascii="仿宋_GB2312" w:hAnsi="仿宋_GB2312" w:eastAsia="仿宋_GB2312" w:cs="仿宋_GB2312"/>
          <w:sz w:val="32"/>
          <w:szCs w:val="32"/>
          <w:lang w:val="en-US" w:eastAsia="zh-CN"/>
        </w:rPr>
        <w:t>2025年</w:t>
      </w: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月15日</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洛阳市</w:t>
      </w:r>
      <w:r>
        <w:rPr>
          <w:rFonts w:hint="default" w:ascii="Times New Roman" w:hAnsi="Times New Roman" w:eastAsia="方正小标宋_GBK" w:cs="Times New Roman"/>
          <w:sz w:val="44"/>
          <w:szCs w:val="44"/>
          <w:lang w:eastAsia="zh-CN"/>
        </w:rPr>
        <w:t>偃师区消防安全重点单位包保联系</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工作机制实施细则（试行）</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90" w:lineRule="exact"/>
        <w:ind w:firstLine="640" w:firstLineChars="200"/>
        <w:jc w:val="center"/>
        <w:textAlignment w:val="auto"/>
        <w:rPr>
          <w:rFonts w:hint="default" w:ascii="Times New Roman" w:hAnsi="Times New Roman" w:eastAsia="方正黑体_GBK" w:cs="Times New Roman"/>
          <w:b w:val="0"/>
          <w:bCs w:val="0"/>
          <w:sz w:val="32"/>
          <w:szCs w:val="32"/>
          <w:lang w:val="en-US" w:eastAsia="zh-CN"/>
        </w:rPr>
      </w:pPr>
      <w:r>
        <w:rPr>
          <w:rFonts w:hint="eastAsia" w:ascii="Times New Roman" w:hAnsi="Times New Roman" w:eastAsia="方正黑体_GBK" w:cs="Times New Roman"/>
          <w:b w:val="0"/>
          <w:bCs w:val="0"/>
          <w:sz w:val="32"/>
          <w:szCs w:val="32"/>
          <w:lang w:val="en-US" w:eastAsia="zh-CN"/>
        </w:rPr>
        <w:t xml:space="preserve"> </w:t>
      </w:r>
      <w:r>
        <w:rPr>
          <w:rFonts w:hint="default" w:ascii="Times New Roman" w:hAnsi="Times New Roman" w:eastAsia="方正黑体_GBK" w:cs="Times New Roman"/>
          <w:b w:val="0"/>
          <w:bCs w:val="0"/>
          <w:sz w:val="32"/>
          <w:szCs w:val="32"/>
          <w:lang w:val="en-US" w:eastAsia="zh-CN"/>
        </w:rPr>
        <w:t>总 则</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jc w:val="both"/>
        <w:textAlignment w:val="auto"/>
        <w:rPr>
          <w:rFonts w:hint="default" w:ascii="Times New Roman" w:hAnsi="Times New Roman" w:eastAsia="方正黑体_GBK" w:cs="Times New Roman"/>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方正黑体_GBK" w:cs="Times New Roman"/>
          <w:b w:val="0"/>
          <w:bCs w:val="0"/>
          <w:sz w:val="32"/>
          <w:szCs w:val="32"/>
        </w:rPr>
        <w:t>第一条</w:t>
      </w:r>
      <w:r>
        <w:rPr>
          <w:rFonts w:hint="default"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lang w:val="en-US" w:eastAsia="zh-CN"/>
        </w:rPr>
        <w:t xml:space="preserve"> </w:t>
      </w:r>
      <w:r>
        <w:rPr>
          <w:rFonts w:hint="default" w:ascii="仿宋_GB2312" w:hAnsi="仿宋_GB2312" w:eastAsia="仿宋_GB2312" w:cs="仿宋_GB2312"/>
          <w:sz w:val="32"/>
          <w:szCs w:val="32"/>
          <w:lang w:eastAsia="zh-CN"/>
        </w:rPr>
        <w:t>为加强对消防安全重点单位</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以下简称重点单位</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的精准指导服务，推动重点单位落实消防安全主体责任，形成消防安全行业主管部门、属地政府、监管部门及重点单位齐抓共管的良好局面，根据《</w:t>
      </w:r>
      <w:r>
        <w:rPr>
          <w:rFonts w:hint="eastAsia" w:ascii="仿宋_GB2312" w:hAnsi="仿宋_GB2312" w:eastAsia="仿宋_GB2312" w:cs="仿宋_GB2312"/>
          <w:sz w:val="32"/>
          <w:szCs w:val="32"/>
          <w:lang w:eastAsia="zh-CN"/>
        </w:rPr>
        <w:t>河南省人民政府办公厅关于印发河南省</w:t>
      </w:r>
      <w:r>
        <w:rPr>
          <w:rFonts w:hint="default" w:ascii="仿宋_GB2312" w:hAnsi="仿宋_GB2312" w:eastAsia="仿宋_GB2312" w:cs="仿宋_GB2312"/>
          <w:sz w:val="32"/>
          <w:szCs w:val="32"/>
          <w:lang w:eastAsia="zh-CN"/>
        </w:rPr>
        <w:t>消防安全重点单位包保联系工作机制实施办法</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试行</w:t>
      </w:r>
      <w:r>
        <w:rPr>
          <w:rFonts w:hint="eastAsia" w:ascii="仿宋_GB2312" w:hAnsi="仿宋_GB2312" w:eastAsia="仿宋_GB2312" w:cs="仿宋_GB2312"/>
          <w:sz w:val="32"/>
          <w:szCs w:val="32"/>
          <w:lang w:eastAsia="zh-CN"/>
        </w:rPr>
        <w:t>）的通知</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eastAsia="zh-CN"/>
        </w:rPr>
        <w:t>（豫</w:t>
      </w:r>
      <w:r>
        <w:rPr>
          <w:rFonts w:hint="default" w:ascii="仿宋_GB2312" w:hAnsi="仿宋_GB2312" w:eastAsia="仿宋_GB2312" w:cs="仿宋_GB2312"/>
          <w:sz w:val="32"/>
          <w:szCs w:val="32"/>
          <w:lang w:eastAsia="zh-CN"/>
        </w:rPr>
        <w:t>政办</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4〕58</w:t>
      </w:r>
      <w:r>
        <w:rPr>
          <w:rFonts w:hint="default" w:ascii="仿宋_GB2312" w:hAnsi="仿宋_GB2312" w:eastAsia="仿宋_GB2312" w:cs="仿宋_GB2312"/>
          <w:sz w:val="32"/>
          <w:szCs w:val="32"/>
          <w:lang w:eastAsia="zh-CN"/>
        </w:rPr>
        <w:t>号</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eastAsia="zh-CN"/>
        </w:rPr>
        <w:t>洛阳市人民政府办公室关于印发洛阳市</w:t>
      </w:r>
      <w:r>
        <w:rPr>
          <w:rFonts w:hint="default" w:ascii="仿宋_GB2312" w:hAnsi="仿宋_GB2312" w:eastAsia="仿宋_GB2312" w:cs="仿宋_GB2312"/>
          <w:sz w:val="32"/>
          <w:szCs w:val="32"/>
          <w:lang w:eastAsia="zh-CN"/>
        </w:rPr>
        <w:t>消防安全重点单位包保联系工作机制实施</w:t>
      </w:r>
      <w:r>
        <w:rPr>
          <w:rFonts w:hint="eastAsia" w:ascii="仿宋_GB2312" w:hAnsi="仿宋_GB2312" w:eastAsia="仿宋_GB2312" w:cs="仿宋_GB2312"/>
          <w:sz w:val="32"/>
          <w:szCs w:val="32"/>
          <w:lang w:eastAsia="zh-CN"/>
        </w:rPr>
        <w:t>细则（</w:t>
      </w:r>
      <w:r>
        <w:rPr>
          <w:rFonts w:hint="default" w:ascii="仿宋_GB2312" w:hAnsi="仿宋_GB2312" w:eastAsia="仿宋_GB2312" w:cs="仿宋_GB2312"/>
          <w:sz w:val="32"/>
          <w:szCs w:val="32"/>
          <w:lang w:eastAsia="zh-CN"/>
        </w:rPr>
        <w:t>试行</w:t>
      </w:r>
      <w:r>
        <w:rPr>
          <w:rFonts w:hint="eastAsia" w:ascii="仿宋_GB2312" w:hAnsi="仿宋_GB2312" w:eastAsia="仿宋_GB2312" w:cs="仿宋_GB2312"/>
          <w:sz w:val="32"/>
          <w:szCs w:val="32"/>
          <w:lang w:eastAsia="zh-CN"/>
        </w:rPr>
        <w:t>）的通知》（洛</w:t>
      </w:r>
      <w:r>
        <w:rPr>
          <w:rFonts w:hint="default" w:ascii="仿宋_GB2312" w:hAnsi="仿宋_GB2312" w:eastAsia="仿宋_GB2312" w:cs="仿宋_GB2312"/>
          <w:sz w:val="32"/>
          <w:szCs w:val="32"/>
          <w:lang w:eastAsia="zh-CN"/>
        </w:rPr>
        <w:t>政办</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5〕6</w:t>
      </w:r>
      <w:r>
        <w:rPr>
          <w:rFonts w:hint="default" w:ascii="仿宋_GB2312" w:hAnsi="仿宋_GB2312" w:eastAsia="仿宋_GB2312" w:cs="仿宋_GB2312"/>
          <w:sz w:val="32"/>
          <w:szCs w:val="32"/>
          <w:lang w:eastAsia="zh-CN"/>
        </w:rPr>
        <w:t>号</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，结合我区实际，制定本细则。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eastAsia="zh-CN"/>
        </w:rPr>
      </w:pPr>
      <w:r>
        <w:rPr>
          <w:rFonts w:hint="default" w:ascii="Times New Roman" w:hAnsi="Times New Roman" w:eastAsia="方正黑体_GBK" w:cs="Times New Roman"/>
          <w:b w:val="0"/>
          <w:bCs w:val="0"/>
          <w:sz w:val="32"/>
          <w:szCs w:val="32"/>
        </w:rPr>
        <w:t>第二条</w:t>
      </w:r>
      <w:r>
        <w:rPr>
          <w:rFonts w:hint="default" w:ascii="Times New Roman" w:hAnsi="Times New Roman" w:eastAsia="方正黑体_GBK" w:cs="Times New Roman"/>
          <w:b/>
          <w:bCs/>
          <w:sz w:val="32"/>
          <w:szCs w:val="32"/>
          <w:lang w:val="en-US" w:eastAsia="zh-CN"/>
        </w:rPr>
        <w:t xml:space="preserve"> </w:t>
      </w:r>
      <w:r>
        <w:rPr>
          <w:rFonts w:hint="eastAsia" w:ascii="Times New Roman" w:hAnsi="Times New Roman" w:eastAsia="方正黑体_GBK" w:cs="Times New Roman"/>
          <w:b/>
          <w:bCs/>
          <w:sz w:val="32"/>
          <w:szCs w:val="32"/>
          <w:lang w:val="en-US" w:eastAsia="zh-CN"/>
        </w:rPr>
        <w:t xml:space="preserve"> </w:t>
      </w:r>
      <w:r>
        <w:rPr>
          <w:rFonts w:hint="default" w:ascii="Times New Roman" w:hAnsi="Times New Roman" w:eastAsia="仿宋" w:cs="Times New Roman"/>
          <w:sz w:val="32"/>
          <w:szCs w:val="32"/>
        </w:rPr>
        <w:t>重点</w:t>
      </w:r>
      <w:r>
        <w:rPr>
          <w:rFonts w:hint="default" w:ascii="仿宋_GB2312" w:hAnsi="仿宋_GB2312" w:eastAsia="仿宋_GB2312" w:cs="仿宋_GB2312"/>
          <w:sz w:val="32"/>
          <w:szCs w:val="32"/>
          <w:lang w:eastAsia="zh-CN"/>
        </w:rPr>
        <w:t>单位包保联系工作是行业主管部门、属地政府、公安派出所和消防部门在履行法定消防安全职责的基础上，为了进一步提升重点单位的消防安全管理能力水平，由包保联系人员开展的消防安全指导服务行为。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b w:val="0"/>
          <w:bCs w:val="0"/>
          <w:sz w:val="32"/>
          <w:szCs w:val="32"/>
        </w:rPr>
        <w:t>第三条</w:t>
      </w:r>
      <w:r>
        <w:rPr>
          <w:rFonts w:hint="eastAsia" w:ascii="Times New Roman" w:hAnsi="Times New Roman" w:eastAsia="方正黑体_GBK" w:cs="Times New Roman"/>
          <w:b w:val="0"/>
          <w:bCs w:val="0"/>
          <w:sz w:val="32"/>
          <w:szCs w:val="32"/>
          <w:lang w:val="en-US" w:eastAsia="zh-CN"/>
        </w:rPr>
        <w:t xml:space="preserve"> </w:t>
      </w:r>
      <w:r>
        <w:rPr>
          <w:rFonts w:hint="default" w:ascii="Times New Roman" w:hAnsi="Times New Roman" w:eastAsia="方正黑体_GBK" w:cs="Times New Roman"/>
          <w:b/>
          <w:bCs/>
          <w:sz w:val="32"/>
          <w:szCs w:val="32"/>
          <w:lang w:val="en-US" w:eastAsia="zh-CN"/>
        </w:rPr>
        <w:t xml:space="preserve"> </w:t>
      </w:r>
      <w:r>
        <w:rPr>
          <w:rFonts w:hint="default" w:ascii="仿宋_GB2312" w:hAnsi="仿宋_GB2312" w:eastAsia="仿宋_GB2312" w:cs="仿宋_GB2312"/>
          <w:sz w:val="32"/>
          <w:szCs w:val="32"/>
          <w:lang w:eastAsia="zh-CN"/>
        </w:rPr>
        <w:t>重点单位包保联系工作机制是指</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color w:val="auto"/>
          <w:sz w:val="32"/>
          <w:szCs w:val="32"/>
          <w:lang w:eastAsia="zh-CN"/>
        </w:rPr>
        <w:t>对二级重点单位</w:t>
      </w:r>
      <w:r>
        <w:rPr>
          <w:rFonts w:hint="default" w:ascii="仿宋_GB2312" w:hAnsi="仿宋_GB2312" w:eastAsia="仿宋_GB2312" w:cs="仿宋_GB2312"/>
          <w:sz w:val="32"/>
          <w:szCs w:val="32"/>
          <w:lang w:eastAsia="zh-CN"/>
        </w:rPr>
        <w:t>各明确1名行业主管部门工作人员、1名镇</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街道</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工作人员、1名消防部门监督执法干部和1名专业技术人员组成联合指导组，对三级重点单位各明确1名行业主管部门工作人员、1名镇</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街道</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工作人员、1名公安派出所民警、1名消防文员和1名专业技术人员组成联合指导组，开展分包联系指导工作。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b w:val="0"/>
          <w:bCs w:val="0"/>
          <w:sz w:val="32"/>
          <w:szCs w:val="32"/>
          <w:lang w:val="en-US" w:eastAsia="zh-CN"/>
        </w:rPr>
        <w:t>第四条</w:t>
      </w:r>
      <w:r>
        <w:rPr>
          <w:rFonts w:hint="default" w:ascii="Times New Roman" w:hAnsi="Times New Roman" w:eastAsia="方正黑体_GBK" w:cs="Times New Roman"/>
          <w:b/>
          <w:bCs/>
          <w:sz w:val="32"/>
          <w:szCs w:val="32"/>
          <w:lang w:val="en-US" w:eastAsia="zh-CN"/>
        </w:rPr>
        <w:t xml:space="preserve"> </w:t>
      </w:r>
      <w:r>
        <w:rPr>
          <w:rFonts w:hint="eastAsia" w:ascii="Times New Roman" w:hAnsi="Times New Roman" w:eastAsia="方正黑体_GBK" w:cs="Times New Roman"/>
          <w:b/>
          <w:bCs/>
          <w:sz w:val="32"/>
          <w:szCs w:val="32"/>
          <w:lang w:val="en-US" w:eastAsia="zh-CN"/>
        </w:rPr>
        <w:t xml:space="preserve"> </w:t>
      </w:r>
      <w:r>
        <w:rPr>
          <w:rFonts w:hint="default" w:ascii="仿宋_GB2312" w:hAnsi="仿宋_GB2312" w:eastAsia="仿宋_GB2312" w:cs="仿宋_GB2312"/>
          <w:sz w:val="32"/>
          <w:szCs w:val="32"/>
          <w:lang w:val="en-US" w:eastAsia="zh-CN"/>
        </w:rPr>
        <w:t>区消安委负责统筹确定包保联系人员，</w:t>
      </w:r>
      <w:r>
        <w:rPr>
          <w:rFonts w:hint="default" w:ascii="仿宋_GB2312" w:hAnsi="仿宋_GB2312" w:eastAsia="仿宋_GB2312" w:cs="仿宋_GB2312"/>
          <w:color w:val="auto"/>
          <w:sz w:val="32"/>
          <w:szCs w:val="32"/>
          <w:lang w:val="en-US" w:eastAsia="zh-CN"/>
        </w:rPr>
        <w:t>其中二级重</w:t>
      </w:r>
      <w:r>
        <w:rPr>
          <w:rFonts w:hint="default" w:ascii="仿宋_GB2312" w:hAnsi="仿宋_GB2312" w:eastAsia="仿宋_GB2312" w:cs="仿宋_GB2312"/>
          <w:sz w:val="32"/>
          <w:szCs w:val="32"/>
          <w:lang w:val="en-US" w:eastAsia="zh-CN"/>
        </w:rPr>
        <w:t>点单位由消防部门牵头，三级重点单位由公安部门牵头，分别会同有关部门和镇</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街道</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组织实施。行业主管部门、镇</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街道</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工作人员必须为在编在岗人员</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专业技术人员由重点单位负责明确，鼓励二、三级重点单位专业技术人员由一级注册消防工程师或高级消防设施操作员担任，没有自动消防设施或规模较小的重点单位也可由中级消防设施操作员或其他专家担任。原则上每名专业技术人员不得同时包保联系3家以上重点单位</w:t>
      </w:r>
      <w:r>
        <w:rPr>
          <w:rFonts w:hint="eastAsia" w:ascii="仿宋_GB2312" w:hAnsi="仿宋_GB2312" w:eastAsia="仿宋_GB2312" w:cs="仿宋_GB2312"/>
          <w:sz w:val="32"/>
          <w:szCs w:val="32"/>
          <w:lang w:val="en-US" w:eastAsia="zh-CN"/>
        </w:rPr>
        <w:t>；二、三级重点单</w:t>
      </w:r>
      <w:r>
        <w:rPr>
          <w:rFonts w:hint="eastAsia" w:ascii="仿宋_GB2312" w:hAnsi="仿宋_GB2312" w:eastAsia="仿宋_GB2312" w:cs="仿宋_GB2312"/>
          <w:color w:val="auto"/>
          <w:sz w:val="32"/>
          <w:szCs w:val="32"/>
          <w:lang w:val="en-US" w:eastAsia="zh-CN"/>
        </w:rPr>
        <w:t>位</w:t>
      </w:r>
      <w:r>
        <w:rPr>
          <w:rFonts w:hint="default" w:ascii="仿宋_GB2312" w:hAnsi="仿宋_GB2312" w:eastAsia="仿宋_GB2312" w:cs="仿宋_GB2312"/>
          <w:color w:val="auto"/>
          <w:sz w:val="32"/>
          <w:szCs w:val="32"/>
          <w:lang w:val="en-US" w:eastAsia="zh-CN"/>
        </w:rPr>
        <w:t>可以结合实际</w:t>
      </w:r>
      <w:r>
        <w:rPr>
          <w:rFonts w:hint="default" w:ascii="仿宋_GB2312" w:hAnsi="仿宋_GB2312" w:eastAsia="仿宋_GB2312" w:cs="仿宋_GB2312"/>
          <w:sz w:val="32"/>
          <w:szCs w:val="32"/>
          <w:lang w:val="en-US" w:eastAsia="zh-CN"/>
        </w:rPr>
        <w:t>采取购买公共服务、聘请注册消防工程师等方式进行。设有自动消防设施的重点单位，专业技术人员原则上不得由重点单位日常负责消防安全管理工作的人员兼任。</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b w:val="0"/>
          <w:bCs w:val="0"/>
          <w:sz w:val="32"/>
          <w:szCs w:val="32"/>
          <w:lang w:val="en-US" w:eastAsia="zh-CN"/>
        </w:rPr>
        <w:t>第五条</w:t>
      </w:r>
      <w:r>
        <w:rPr>
          <w:rFonts w:hint="default" w:ascii="Times New Roman" w:hAnsi="Times New Roman" w:eastAsia="方正黑体_GBK" w:cs="Times New Roman"/>
          <w:b/>
          <w:bCs/>
          <w:sz w:val="32"/>
          <w:szCs w:val="32"/>
          <w:lang w:val="en-US" w:eastAsia="zh-CN"/>
        </w:rPr>
        <w:t xml:space="preserve"> </w:t>
      </w:r>
      <w:r>
        <w:rPr>
          <w:rFonts w:hint="eastAsia" w:ascii="Times New Roman" w:hAnsi="Times New Roman" w:eastAsia="方正黑体_GBK" w:cs="Times New Roman"/>
          <w:b/>
          <w:bCs/>
          <w:sz w:val="32"/>
          <w:szCs w:val="32"/>
          <w:lang w:val="en-US" w:eastAsia="zh-CN"/>
        </w:rPr>
        <w:t xml:space="preserve"> </w:t>
      </w:r>
      <w:r>
        <w:rPr>
          <w:rFonts w:hint="default" w:ascii="仿宋_GB2312" w:hAnsi="仿宋_GB2312" w:eastAsia="仿宋_GB2312" w:cs="仿宋_GB2312"/>
          <w:sz w:val="32"/>
          <w:szCs w:val="32"/>
          <w:lang w:val="en-US" w:eastAsia="zh-CN"/>
        </w:rPr>
        <w:t>消防部门、行业主管部门、公安派出所及镇</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街道</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要明确1名班子成员和1名具体业务负责人，统一负责本部门、本级包保联系工作，组织开展督促指导，每半年听取1次包保工作汇报，推动工作落实。</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b w:val="0"/>
          <w:bCs w:val="0"/>
          <w:sz w:val="32"/>
          <w:szCs w:val="32"/>
          <w:lang w:val="en-US" w:eastAsia="zh-CN"/>
        </w:rPr>
        <w:t>第六条</w:t>
      </w:r>
      <w:r>
        <w:rPr>
          <w:rFonts w:hint="default"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lang w:val="en-US" w:eastAsia="zh-CN"/>
        </w:rPr>
        <w:t xml:space="preserve"> </w:t>
      </w:r>
      <w:r>
        <w:rPr>
          <w:rFonts w:hint="default" w:ascii="仿宋_GB2312" w:hAnsi="仿宋_GB2312" w:eastAsia="仿宋_GB2312" w:cs="仿宋_GB2312"/>
          <w:sz w:val="32"/>
          <w:szCs w:val="32"/>
          <w:lang w:val="en-US" w:eastAsia="zh-CN"/>
        </w:rPr>
        <w:t>对未明确行业主管部门的重点单位，按照职能靠近和业务相近的原则，坚持“谁为主谁分包、谁靠近谁分包”，确定分包行业部门。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b w:val="0"/>
          <w:bCs w:val="0"/>
          <w:sz w:val="32"/>
          <w:szCs w:val="32"/>
          <w:lang w:val="en-US" w:eastAsia="zh-CN"/>
        </w:rPr>
        <w:t>第七条</w:t>
      </w:r>
      <w:r>
        <w:rPr>
          <w:rFonts w:hint="default" w:ascii="Times New Roman" w:hAnsi="Times New Roman" w:eastAsia="方正黑体_GBK" w:cs="Times New Roman"/>
          <w:b/>
          <w:bCs/>
          <w:sz w:val="32"/>
          <w:szCs w:val="32"/>
          <w:lang w:val="en-US" w:eastAsia="zh-CN"/>
        </w:rPr>
        <w:t xml:space="preserve"> </w:t>
      </w:r>
      <w:r>
        <w:rPr>
          <w:rFonts w:hint="eastAsia" w:ascii="Times New Roman" w:hAnsi="Times New Roman" w:eastAsia="方正黑体_GBK" w:cs="Times New Roman"/>
          <w:b/>
          <w:bCs/>
          <w:sz w:val="32"/>
          <w:szCs w:val="32"/>
          <w:lang w:val="en-US" w:eastAsia="zh-CN"/>
        </w:rPr>
        <w:t xml:space="preserve"> </w:t>
      </w:r>
      <w:r>
        <w:rPr>
          <w:rFonts w:hint="default" w:ascii="仿宋_GB2312" w:hAnsi="仿宋_GB2312" w:eastAsia="仿宋_GB2312" w:cs="仿宋_GB2312"/>
          <w:sz w:val="32"/>
          <w:szCs w:val="32"/>
          <w:lang w:val="en-US" w:eastAsia="zh-CN"/>
        </w:rPr>
        <w:t>对行业主管部门实行省、市、县分级管理的重点单位，可按照分级管理范围确定行业主管部门包保联系人员，由本级行业主管部门明确包保联系人。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b w:val="0"/>
          <w:bCs w:val="0"/>
          <w:sz w:val="32"/>
          <w:szCs w:val="32"/>
          <w:lang w:val="en-US" w:eastAsia="zh-CN"/>
        </w:rPr>
        <w:t>第八条</w:t>
      </w:r>
      <w:r>
        <w:rPr>
          <w:rFonts w:hint="default" w:ascii="Times New Roman" w:hAnsi="Times New Roman" w:eastAsia="方正黑体_GBK" w:cs="Times New Roman"/>
          <w:b/>
          <w:bCs/>
          <w:sz w:val="32"/>
          <w:szCs w:val="32"/>
          <w:lang w:val="en-US" w:eastAsia="zh-CN"/>
        </w:rPr>
        <w:t xml:space="preserve"> </w:t>
      </w:r>
      <w:r>
        <w:rPr>
          <w:rFonts w:hint="eastAsia" w:ascii="Times New Roman" w:hAnsi="Times New Roman" w:eastAsia="方正黑体_GBK" w:cs="Times New Roman"/>
          <w:b/>
          <w:bCs/>
          <w:sz w:val="32"/>
          <w:szCs w:val="32"/>
          <w:lang w:val="en-US" w:eastAsia="zh-CN"/>
        </w:rPr>
        <w:t xml:space="preserve"> </w:t>
      </w:r>
      <w:r>
        <w:rPr>
          <w:rFonts w:hint="default" w:ascii="仿宋_GB2312" w:hAnsi="仿宋_GB2312" w:eastAsia="仿宋_GB2312" w:cs="仿宋_GB2312"/>
          <w:sz w:val="32"/>
          <w:szCs w:val="32"/>
          <w:lang w:val="en-US" w:eastAsia="zh-CN"/>
        </w:rPr>
        <w:t>包保联系人员确定后，包保联系人员所在单位应以正式文件形式报</w:t>
      </w:r>
      <w:r>
        <w:rPr>
          <w:rFonts w:hint="eastAsia" w:ascii="仿宋_GB2312" w:hAnsi="仿宋_GB2312" w:eastAsia="仿宋_GB2312" w:cs="仿宋_GB2312"/>
          <w:sz w:val="32"/>
          <w:szCs w:val="32"/>
          <w:lang w:val="en-US" w:eastAsia="zh-CN"/>
        </w:rPr>
        <w:t>区消安委办公室。</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b w:val="0"/>
          <w:bCs w:val="0"/>
          <w:sz w:val="32"/>
          <w:szCs w:val="32"/>
          <w:lang w:val="en-US" w:eastAsia="zh-CN"/>
        </w:rPr>
        <w:t>第九条</w:t>
      </w:r>
      <w:r>
        <w:rPr>
          <w:rFonts w:hint="eastAsia" w:ascii="Times New Roman" w:hAnsi="Times New Roman" w:eastAsia="方正黑体_GBK" w:cs="Times New Roman"/>
          <w:b w:val="0"/>
          <w:bCs w:val="0"/>
          <w:sz w:val="32"/>
          <w:szCs w:val="32"/>
          <w:lang w:val="en-US" w:eastAsia="zh-CN"/>
        </w:rPr>
        <w:t xml:space="preserve"> </w:t>
      </w:r>
      <w:r>
        <w:rPr>
          <w:rFonts w:hint="default" w:ascii="Times New Roman" w:hAnsi="Times New Roman" w:eastAsia="方正黑体_GBK" w:cs="Times New Roman"/>
          <w:b/>
          <w:bCs/>
          <w:sz w:val="32"/>
          <w:szCs w:val="32"/>
          <w:lang w:val="en-US" w:eastAsia="zh-CN"/>
        </w:rPr>
        <w:t xml:space="preserve"> </w:t>
      </w:r>
      <w:r>
        <w:rPr>
          <w:rFonts w:hint="default" w:ascii="仿宋_GB2312" w:hAnsi="仿宋_GB2312" w:eastAsia="仿宋_GB2312" w:cs="仿宋_GB2312"/>
          <w:sz w:val="32"/>
          <w:szCs w:val="32"/>
          <w:lang w:val="en-US" w:eastAsia="zh-CN"/>
        </w:rPr>
        <w:t>包保联系人员如遇工作调动、退休或长期外派、借调、公差等情况，由其所在单位明确其他分包人员，并报</w:t>
      </w:r>
      <w:r>
        <w:rPr>
          <w:rFonts w:hint="eastAsia" w:ascii="仿宋_GB2312" w:hAnsi="仿宋_GB2312" w:eastAsia="仿宋_GB2312" w:cs="仿宋_GB2312"/>
          <w:sz w:val="32"/>
          <w:szCs w:val="32"/>
          <w:lang w:val="en-US" w:eastAsia="zh-CN"/>
        </w:rPr>
        <w:t>区消安委办公室。</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pacing w:val="2"/>
          <w:sz w:val="32"/>
          <w:szCs w:val="32"/>
          <w:lang w:val="en-US" w:eastAsia="zh-CN"/>
        </w:rPr>
      </w:pPr>
      <w:r>
        <w:rPr>
          <w:rFonts w:hint="default" w:ascii="Times New Roman" w:hAnsi="Times New Roman" w:eastAsia="方正黑体_GBK" w:cs="Times New Roman"/>
          <w:b w:val="0"/>
          <w:bCs w:val="0"/>
          <w:sz w:val="32"/>
          <w:szCs w:val="32"/>
          <w:lang w:val="en-US" w:eastAsia="zh-CN"/>
        </w:rPr>
        <w:t>第十条</w:t>
      </w:r>
      <w:r>
        <w:rPr>
          <w:rFonts w:hint="default" w:ascii="Times New Roman" w:hAnsi="Times New Roman" w:eastAsia="方正黑体_GBK" w:cs="Times New Roman"/>
          <w:b/>
          <w:bCs/>
          <w:sz w:val="32"/>
          <w:szCs w:val="32"/>
          <w:lang w:val="en-US" w:eastAsia="zh-CN"/>
        </w:rPr>
        <w:t xml:space="preserve"> </w:t>
      </w:r>
      <w:r>
        <w:rPr>
          <w:rFonts w:hint="eastAsia" w:ascii="Times New Roman" w:hAnsi="Times New Roman" w:eastAsia="方正黑体_GBK" w:cs="Times New Roman"/>
          <w:b/>
          <w:bCs/>
          <w:sz w:val="32"/>
          <w:szCs w:val="32"/>
          <w:lang w:val="en-US" w:eastAsia="zh-CN"/>
        </w:rPr>
        <w:t xml:space="preserve"> </w:t>
      </w:r>
      <w:r>
        <w:rPr>
          <w:rFonts w:hint="default" w:ascii="仿宋_GB2312" w:hAnsi="仿宋_GB2312" w:eastAsia="仿宋_GB2312" w:cs="仿宋_GB2312"/>
          <w:spacing w:val="2"/>
          <w:sz w:val="32"/>
          <w:szCs w:val="32"/>
          <w:lang w:val="en-US" w:eastAsia="zh-CN"/>
        </w:rPr>
        <w:t>可根据实际情况制作</w:t>
      </w:r>
      <w:r>
        <w:rPr>
          <w:rFonts w:hint="eastAsia" w:ascii="仿宋_GB2312" w:hAnsi="仿宋_GB2312" w:eastAsia="仿宋_GB2312" w:cs="仿宋_GB2312"/>
          <w:spacing w:val="2"/>
          <w:sz w:val="32"/>
          <w:szCs w:val="32"/>
          <w:lang w:val="en-US" w:eastAsia="zh-CN"/>
        </w:rPr>
        <w:t>“</w:t>
      </w:r>
      <w:r>
        <w:rPr>
          <w:rFonts w:hint="default" w:ascii="仿宋_GB2312" w:hAnsi="仿宋_GB2312" w:eastAsia="仿宋_GB2312" w:cs="仿宋_GB2312"/>
          <w:spacing w:val="2"/>
          <w:sz w:val="32"/>
          <w:szCs w:val="32"/>
          <w:lang w:val="en-US" w:eastAsia="zh-CN"/>
        </w:rPr>
        <w:t>消防安全重点单位责任公示牌</w:t>
      </w:r>
      <w:r>
        <w:rPr>
          <w:rFonts w:hint="eastAsia" w:ascii="仿宋_GB2312" w:hAnsi="仿宋_GB2312" w:eastAsia="仿宋_GB2312" w:cs="仿宋_GB2312"/>
          <w:spacing w:val="2"/>
          <w:sz w:val="32"/>
          <w:szCs w:val="32"/>
          <w:lang w:val="en-US" w:eastAsia="zh-CN"/>
        </w:rPr>
        <w:t>”</w:t>
      </w:r>
      <w:r>
        <w:rPr>
          <w:rFonts w:hint="default" w:ascii="仿宋_GB2312" w:hAnsi="仿宋_GB2312" w:eastAsia="仿宋_GB2312" w:cs="仿宋_GB2312"/>
          <w:spacing w:val="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 xml:space="preserve">第二章 </w:t>
      </w:r>
      <w:r>
        <w:rPr>
          <w:rFonts w:hint="eastAsia" w:ascii="Times New Roman" w:hAnsi="Times New Roman" w:eastAsia="方正黑体_GBK" w:cs="Times New Roman"/>
          <w:sz w:val="32"/>
          <w:szCs w:val="32"/>
          <w:lang w:val="en-US" w:eastAsia="zh-CN"/>
        </w:rPr>
        <w:t xml:space="preserve"> </w:t>
      </w:r>
      <w:r>
        <w:rPr>
          <w:rFonts w:hint="default" w:ascii="Times New Roman" w:hAnsi="Times New Roman" w:eastAsia="方正黑体_GBK" w:cs="Times New Roman"/>
          <w:sz w:val="32"/>
          <w:szCs w:val="32"/>
          <w:lang w:val="en-US" w:eastAsia="zh-CN"/>
        </w:rPr>
        <w:t>工作职责</w:t>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b w:val="0"/>
          <w:bCs w:val="0"/>
          <w:sz w:val="32"/>
          <w:szCs w:val="32"/>
          <w:lang w:val="en-US" w:eastAsia="zh-CN"/>
        </w:rPr>
        <w:t>第十一条</w:t>
      </w:r>
      <w:r>
        <w:rPr>
          <w:rFonts w:hint="default" w:ascii="Times New Roman" w:hAnsi="Times New Roman" w:eastAsia="方正黑体_GBK" w:cs="Times New Roman"/>
          <w:b/>
          <w:bCs/>
          <w:sz w:val="32"/>
          <w:szCs w:val="32"/>
          <w:lang w:val="en-US" w:eastAsia="zh-CN"/>
        </w:rPr>
        <w:t xml:space="preserve"> </w:t>
      </w:r>
      <w:r>
        <w:rPr>
          <w:rFonts w:hint="eastAsia" w:ascii="Times New Roman" w:hAnsi="Times New Roman" w:eastAsia="方正黑体_GBK" w:cs="Times New Roman"/>
          <w:b/>
          <w:bCs/>
          <w:sz w:val="32"/>
          <w:szCs w:val="32"/>
          <w:lang w:val="en-US" w:eastAsia="zh-CN"/>
        </w:rPr>
        <w:t xml:space="preserve"> </w:t>
      </w:r>
      <w:r>
        <w:rPr>
          <w:rFonts w:hint="default" w:ascii="仿宋_GB2312" w:hAnsi="仿宋_GB2312" w:eastAsia="仿宋_GB2312" w:cs="仿宋_GB2312"/>
          <w:sz w:val="32"/>
          <w:szCs w:val="32"/>
          <w:lang w:val="en-US" w:eastAsia="zh-CN"/>
        </w:rPr>
        <w:t>包保联系人员共同负责指导重点单位履行消防安全主体责任，指导其加强防火巡查检查、消防培训演练、消防设施器材维护保养等工作，自查自纠消防安全突出风险，落实消防安全管控措施。包保联系人员应按照包保工作职责认真填写《消防安全重点单位工作指导记录表》，并经重点单位消防安全责任人或者管理人签字确认，一份送达重点单位留存，一份由指导人员留存。</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b w:val="0"/>
          <w:bCs w:val="0"/>
          <w:sz w:val="32"/>
          <w:szCs w:val="32"/>
          <w:lang w:val="en-US" w:eastAsia="zh-CN"/>
        </w:rPr>
        <w:t>第十二条</w:t>
      </w:r>
      <w:r>
        <w:rPr>
          <w:rFonts w:hint="default" w:ascii="Times New Roman" w:hAnsi="Times New Roman" w:eastAsia="方正黑体_GBK" w:cs="Times New Roman"/>
          <w:b/>
          <w:bCs/>
          <w:sz w:val="32"/>
          <w:szCs w:val="32"/>
          <w:lang w:val="en-US" w:eastAsia="zh-CN"/>
        </w:rPr>
        <w:t xml:space="preserve"> </w:t>
      </w:r>
      <w:r>
        <w:rPr>
          <w:rFonts w:hint="eastAsia" w:ascii="Times New Roman" w:hAnsi="Times New Roman" w:eastAsia="方正黑体_GBK" w:cs="Times New Roman"/>
          <w:b/>
          <w:bCs/>
          <w:sz w:val="32"/>
          <w:szCs w:val="32"/>
          <w:lang w:val="en-US" w:eastAsia="zh-CN"/>
        </w:rPr>
        <w:t xml:space="preserve"> </w:t>
      </w:r>
      <w:r>
        <w:rPr>
          <w:rFonts w:hint="default" w:ascii="仿宋_GB2312" w:hAnsi="仿宋_GB2312" w:eastAsia="仿宋_GB2312" w:cs="仿宋_GB2312"/>
          <w:sz w:val="32"/>
          <w:szCs w:val="32"/>
          <w:lang w:val="en-US" w:eastAsia="zh-CN"/>
        </w:rPr>
        <w:t>行业主管部门包保联系人员主要职责:</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（一）按照本部门、本系统消防安全工作的部署要求，督促指导重点单位辨识火灾风险，落实消防安全管控措施和消防工作经费。</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（二）每</w:t>
      </w:r>
      <w:r>
        <w:rPr>
          <w:rFonts w:hint="default" w:ascii="仿宋_GB2312" w:hAnsi="仿宋_GB2312" w:eastAsia="仿宋_GB2312" w:cs="仿宋_GB2312"/>
          <w:spacing w:val="-2"/>
          <w:sz w:val="32"/>
          <w:szCs w:val="32"/>
          <w:lang w:val="en-US" w:eastAsia="zh-CN"/>
        </w:rPr>
        <w:t>半年至少对重点单位开展1次实地指导并提出工作</w:t>
      </w:r>
      <w:r>
        <w:rPr>
          <w:rFonts w:hint="default" w:ascii="仿宋_GB2312" w:hAnsi="仿宋_GB2312" w:eastAsia="仿宋_GB2312" w:cs="仿宋_GB2312"/>
          <w:sz w:val="32"/>
          <w:szCs w:val="32"/>
          <w:lang w:val="en-US" w:eastAsia="zh-CN"/>
        </w:rPr>
        <w:t>建议，重点指导重点单位成立消防安全组织，明确消防安全责任人、管理人及重点岗位人员职责，建立健全并落实各项消防安全管理制度，落实消防安全指南、火灾风险防范指南、火灾风险检查指引及消防安全管理规定等。</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每半年至少与重点单位消防安全责任人、管理人开展1次座谈会商，通报行业系统近期火灾形势，及时了解掌握重点单位消防管理、问题整改、培训演练、施工现场安全防护等工作开展情况，提出工作建议。</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督促重点单位强化重大活动、节假日等重点时段管控措施，加强巡查检查、培训演练、值班值守等工作。</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sz w:val="32"/>
          <w:szCs w:val="32"/>
          <w:lang w:val="en-US" w:eastAsia="zh-CN"/>
        </w:rPr>
        <w:t>第十三条</w:t>
      </w:r>
      <w:r>
        <w:rPr>
          <w:rFonts w:hint="default"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lang w:val="en-US" w:eastAsia="zh-CN"/>
        </w:rPr>
        <w:t>镇</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街道</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包保联系人员主要职责:</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pacing w:val="2"/>
          <w:sz w:val="32"/>
          <w:szCs w:val="32"/>
          <w:lang w:val="en-US" w:eastAsia="zh-CN"/>
        </w:rPr>
        <w:t>每月至少督促重点单位开展1次自查自纠行动并提出</w:t>
      </w:r>
      <w:r>
        <w:rPr>
          <w:rFonts w:hint="default" w:ascii="仿宋_GB2312" w:hAnsi="仿宋_GB2312" w:eastAsia="仿宋_GB2312" w:cs="仿宋_GB2312"/>
          <w:sz w:val="32"/>
          <w:szCs w:val="32"/>
          <w:lang w:val="en-US" w:eastAsia="zh-CN"/>
        </w:rPr>
        <w:t>工作建议，指导重点单位重点查看消防车通道、疏散通道、安全出口是否畅通，室内消火栓、疏散指示标志、应急照明设施、灭火器是否完好有效，电气线路是否私拉乱接，电焊、气焊、气割、砂轮切割等具有火灾危险的施工、维修作业是否落实现场防护措施，电动自行车是否违规停放、充电等动态隐患问题。</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pacing w:val="2"/>
          <w:sz w:val="32"/>
          <w:szCs w:val="32"/>
          <w:lang w:val="en-US" w:eastAsia="zh-CN"/>
        </w:rPr>
        <w:t>每季度至少对重点单位开展1次实地指导并提出工作</w:t>
      </w:r>
      <w:r>
        <w:rPr>
          <w:rFonts w:hint="default" w:ascii="仿宋_GB2312" w:hAnsi="仿宋_GB2312" w:eastAsia="仿宋_GB2312" w:cs="仿宋_GB2312"/>
          <w:sz w:val="32"/>
          <w:szCs w:val="32"/>
          <w:lang w:val="en-US" w:eastAsia="zh-CN"/>
        </w:rPr>
        <w:t>建议，按照镇</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街道</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消防安全服务中心工作指南要求，指导重点单位及时发现和消除火灾隐患。</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每半年至少对重点单位开展1次消防安全警示教育</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结合典型火灾案例以案示警</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增强重点单位人员消防安全意识。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pacing w:val="2"/>
          <w:sz w:val="32"/>
          <w:szCs w:val="32"/>
          <w:lang w:val="en-US" w:eastAsia="zh-CN"/>
        </w:rPr>
        <w:t>每年至少组织重点单位开展1次灭火和疏散演练</w:t>
      </w:r>
      <w:r>
        <w:rPr>
          <w:rFonts w:hint="eastAsia" w:ascii="仿宋_GB2312" w:hAnsi="仿宋_GB2312" w:eastAsia="仿宋_GB2312" w:cs="仿宋_GB2312"/>
          <w:spacing w:val="2"/>
          <w:sz w:val="32"/>
          <w:szCs w:val="32"/>
          <w:lang w:val="en-US" w:eastAsia="zh-CN"/>
        </w:rPr>
        <w:t>，</w:t>
      </w:r>
      <w:r>
        <w:rPr>
          <w:rFonts w:hint="default" w:ascii="仿宋_GB2312" w:hAnsi="仿宋_GB2312" w:eastAsia="仿宋_GB2312" w:cs="仿宋_GB2312"/>
          <w:spacing w:val="2"/>
          <w:sz w:val="32"/>
          <w:szCs w:val="32"/>
          <w:lang w:val="en-US" w:eastAsia="zh-CN"/>
        </w:rPr>
        <w:t>重</w:t>
      </w:r>
      <w:r>
        <w:rPr>
          <w:rFonts w:hint="default" w:ascii="仿宋_GB2312" w:hAnsi="仿宋_GB2312" w:eastAsia="仿宋_GB2312" w:cs="仿宋_GB2312"/>
          <w:sz w:val="32"/>
          <w:szCs w:val="32"/>
          <w:lang w:val="en-US" w:eastAsia="zh-CN"/>
        </w:rPr>
        <w:t>点加强夜间、节假日期间和重点部位等专项疏散演练。</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sz w:val="32"/>
          <w:szCs w:val="32"/>
          <w:lang w:val="en-US" w:eastAsia="zh-CN"/>
        </w:rPr>
        <w:t xml:space="preserve">第十四条 </w:t>
      </w:r>
      <w:r>
        <w:rPr>
          <w:rFonts w:hint="eastAsia"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sz w:val="32"/>
          <w:szCs w:val="32"/>
          <w:lang w:val="en-US" w:eastAsia="zh-CN"/>
        </w:rPr>
        <w:t>包</w:t>
      </w:r>
      <w:r>
        <w:rPr>
          <w:rFonts w:hint="default" w:ascii="仿宋_GB2312" w:hAnsi="仿宋_GB2312" w:eastAsia="仿宋_GB2312" w:cs="仿宋_GB2312"/>
          <w:sz w:val="32"/>
          <w:szCs w:val="32"/>
          <w:lang w:val="en-US" w:eastAsia="zh-CN"/>
        </w:rPr>
        <w:t>保联系消防监督执法干部主要职责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pacing w:val="2"/>
          <w:sz w:val="32"/>
          <w:szCs w:val="32"/>
          <w:lang w:val="en-US" w:eastAsia="zh-CN"/>
        </w:rPr>
        <w:t>发挥消防部门综合监管职能作用，向所在联合指导组</w:t>
      </w:r>
      <w:r>
        <w:rPr>
          <w:rFonts w:hint="default" w:ascii="仿宋_GB2312" w:hAnsi="仿宋_GB2312" w:eastAsia="仿宋_GB2312" w:cs="仿宋_GB2312"/>
          <w:sz w:val="32"/>
          <w:szCs w:val="32"/>
          <w:lang w:val="en-US" w:eastAsia="zh-CN"/>
        </w:rPr>
        <w:t>人员提供消防安全业务知识指导和业务培训，定期汇总了解本组人员包保联系工作落实情况，并报</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消</w:t>
      </w:r>
      <w:r>
        <w:rPr>
          <w:rFonts w:hint="eastAsia" w:ascii="仿宋_GB2312" w:hAnsi="仿宋_GB2312" w:eastAsia="仿宋_GB2312" w:cs="仿宋_GB2312"/>
          <w:sz w:val="32"/>
          <w:szCs w:val="32"/>
          <w:lang w:val="en-US" w:eastAsia="zh-CN"/>
        </w:rPr>
        <w:t>安</w:t>
      </w:r>
      <w:r>
        <w:rPr>
          <w:rFonts w:hint="default" w:ascii="仿宋_GB2312" w:hAnsi="仿宋_GB2312" w:eastAsia="仿宋_GB2312" w:cs="仿宋_GB2312"/>
          <w:sz w:val="32"/>
          <w:szCs w:val="32"/>
          <w:lang w:val="en-US" w:eastAsia="zh-CN"/>
        </w:rPr>
        <w:t>委办公室。</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pacing w:val="2"/>
          <w:sz w:val="32"/>
          <w:szCs w:val="32"/>
          <w:lang w:val="en-US" w:eastAsia="zh-CN"/>
        </w:rPr>
        <w:t>每年至少对重点单位开展1次实地指导并提出工作建</w:t>
      </w:r>
      <w:r>
        <w:rPr>
          <w:rFonts w:hint="default" w:ascii="仿宋_GB2312" w:hAnsi="仿宋_GB2312" w:eastAsia="仿宋_GB2312" w:cs="仿宋_GB2312"/>
          <w:sz w:val="32"/>
          <w:szCs w:val="32"/>
          <w:lang w:val="en-US" w:eastAsia="zh-CN"/>
        </w:rPr>
        <w:t>议</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对属于人员密集场所的重点单位每半年至少开展1次实地指导</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重点指导其完善消防安全制度</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聚焦火源气源电源、易燃可燃装饰装修、动火作业等致灾因素</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加强防火巡查检查、消防控制室值班值守、消防设施设备维护保养等，推动落实消防安全“自知、自查、自改”和公示承诺制</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指导重点单位结合场所规模特点、火灾风险、灭火力量和消防设施等情况，制定灭火和应急疏散预案。</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pacing w:val="2"/>
          <w:sz w:val="32"/>
          <w:szCs w:val="32"/>
          <w:lang w:val="en-US" w:eastAsia="zh-CN"/>
        </w:rPr>
        <w:t>每年至少组织重点单位消防安全责任人、管理人开展</w:t>
      </w:r>
      <w:r>
        <w:rPr>
          <w:rFonts w:hint="default" w:ascii="仿宋_GB2312" w:hAnsi="仿宋_GB2312" w:eastAsia="仿宋_GB2312" w:cs="仿宋_GB2312"/>
          <w:sz w:val="32"/>
          <w:szCs w:val="32"/>
          <w:lang w:val="en-US" w:eastAsia="zh-CN"/>
        </w:rPr>
        <w:t>1次消防安全专题培训。</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方正黑体_GBK" w:cs="Times New Roman"/>
          <w:sz w:val="32"/>
          <w:szCs w:val="32"/>
          <w:lang w:val="en-US" w:eastAsia="zh-CN"/>
        </w:rPr>
        <w:t>第十五条</w:t>
      </w:r>
      <w:r>
        <w:rPr>
          <w:rFonts w:hint="default"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lang w:val="en-US" w:eastAsia="zh-CN"/>
        </w:rPr>
        <w:t xml:space="preserve"> </w:t>
      </w:r>
      <w:r>
        <w:rPr>
          <w:rFonts w:hint="default" w:ascii="仿宋_GB2312" w:hAnsi="仿宋_GB2312" w:eastAsia="仿宋_GB2312" w:cs="仿宋_GB2312"/>
          <w:sz w:val="32"/>
          <w:szCs w:val="32"/>
          <w:lang w:val="en-US" w:eastAsia="zh-CN"/>
        </w:rPr>
        <w:t>公安派出所包保联系民警和包保联系消防文员主要职责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pacing w:val="2"/>
          <w:sz w:val="32"/>
          <w:szCs w:val="32"/>
          <w:lang w:val="en-US" w:eastAsia="zh-CN"/>
        </w:rPr>
        <w:t>每年至少对重点单位开展1次实地指导并提出工作建</w:t>
      </w:r>
      <w:r>
        <w:rPr>
          <w:rFonts w:hint="default" w:ascii="仿宋_GB2312" w:hAnsi="仿宋_GB2312" w:eastAsia="仿宋_GB2312" w:cs="仿宋_GB2312"/>
          <w:sz w:val="32"/>
          <w:szCs w:val="32"/>
          <w:lang w:val="en-US" w:eastAsia="zh-CN"/>
        </w:rPr>
        <w:t>议</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对属于人员密集场所的重点单位每半年至少开展1次实地指导</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，重点指导其完善消防安全制度，确保室内消火栓、疏散指示标志、应急照明、灭火器等消防设施、器材完好有效，加强消防</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生命通道</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等重点环节管理，推动落实消防安全</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自知、自查、自改</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和公示承诺制。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pacing w:val="2"/>
          <w:sz w:val="32"/>
          <w:szCs w:val="32"/>
          <w:lang w:val="en-US" w:eastAsia="zh-CN"/>
        </w:rPr>
        <w:t>共同指导重点单位结合场所实际制定灭火和应急疏散</w:t>
      </w:r>
      <w:r>
        <w:rPr>
          <w:rFonts w:hint="default" w:ascii="仿宋_GB2312" w:hAnsi="仿宋_GB2312" w:eastAsia="仿宋_GB2312" w:cs="仿宋_GB2312"/>
          <w:sz w:val="32"/>
          <w:szCs w:val="32"/>
          <w:lang w:val="en-US" w:eastAsia="zh-CN"/>
        </w:rPr>
        <w:t>预案。</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pacing w:val="2"/>
          <w:sz w:val="32"/>
          <w:szCs w:val="32"/>
          <w:lang w:val="en-US" w:eastAsia="zh-CN"/>
        </w:rPr>
        <w:t>共同向所在联合指导组人员提供消防安全业务知识指</w:t>
      </w:r>
      <w:r>
        <w:rPr>
          <w:rFonts w:hint="default" w:ascii="仿宋_GB2312" w:hAnsi="仿宋_GB2312" w:eastAsia="仿宋_GB2312" w:cs="仿宋_GB2312"/>
          <w:sz w:val="32"/>
          <w:szCs w:val="32"/>
          <w:lang w:val="en-US" w:eastAsia="zh-CN"/>
        </w:rPr>
        <w:t>导，并对本组人员开展业务培训。</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pacing w:val="2"/>
          <w:sz w:val="32"/>
          <w:szCs w:val="32"/>
          <w:lang w:val="en-US" w:eastAsia="zh-CN"/>
        </w:rPr>
        <w:t>每年共同组织重点单位消防安全责任人、管理人至少</w:t>
      </w:r>
      <w:r>
        <w:rPr>
          <w:rFonts w:hint="default" w:ascii="仿宋_GB2312" w:hAnsi="仿宋_GB2312" w:eastAsia="仿宋_GB2312" w:cs="仿宋_GB2312"/>
          <w:sz w:val="32"/>
          <w:szCs w:val="32"/>
          <w:lang w:val="en-US" w:eastAsia="zh-CN"/>
        </w:rPr>
        <w:t>开展1次消防安全专题培训。</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sz w:val="32"/>
          <w:szCs w:val="32"/>
          <w:lang w:val="en-US" w:eastAsia="zh-CN"/>
        </w:rPr>
        <w:t>第十六条</w:t>
      </w:r>
      <w:r>
        <w:rPr>
          <w:rFonts w:hint="default"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lang w:val="en-US" w:eastAsia="zh-CN"/>
        </w:rPr>
        <w:t xml:space="preserve"> </w:t>
      </w:r>
      <w:r>
        <w:rPr>
          <w:rFonts w:hint="default" w:ascii="仿宋_GB2312" w:hAnsi="仿宋_GB2312" w:eastAsia="仿宋_GB2312" w:cs="仿宋_GB2312"/>
          <w:sz w:val="32"/>
          <w:szCs w:val="32"/>
          <w:lang w:val="en-US" w:eastAsia="zh-CN"/>
        </w:rPr>
        <w:t>包保联系专业技术人员主要职责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为重点单位提供消防设施保养检测、消防安全评估、业务培训等消防技术服务，并对服务质量负责。</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pacing w:val="2"/>
          <w:sz w:val="32"/>
          <w:szCs w:val="32"/>
          <w:lang w:val="en-US" w:eastAsia="zh-CN"/>
        </w:rPr>
        <w:t>配合其他包保联系人员参与指导及巡查，提供单位消</w:t>
      </w:r>
      <w:r>
        <w:rPr>
          <w:rFonts w:hint="default" w:ascii="仿宋_GB2312" w:hAnsi="仿宋_GB2312" w:eastAsia="仿宋_GB2312" w:cs="仿宋_GB2312"/>
          <w:sz w:val="32"/>
          <w:szCs w:val="32"/>
          <w:lang w:val="en-US" w:eastAsia="zh-CN"/>
        </w:rPr>
        <w:t>防设施设备运行情况信息、问题隐患及整改建议。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对重点单位消防安全管理人和消防控制室值班人员、水电维修工、微型消防站人员等重点岗位人员开展消防安全业务培训，重点培训消防设施设备操作使用、检查维保等内容。</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sz w:val="32"/>
          <w:szCs w:val="32"/>
          <w:lang w:val="en-US" w:eastAsia="zh-CN"/>
        </w:rPr>
        <w:t>第十七条</w:t>
      </w:r>
      <w:r>
        <w:rPr>
          <w:rFonts w:hint="default"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lang w:val="en-US" w:eastAsia="zh-CN"/>
        </w:rPr>
        <w:t xml:space="preserve"> </w:t>
      </w:r>
      <w:r>
        <w:rPr>
          <w:rFonts w:hint="default" w:ascii="仿宋_GB2312" w:hAnsi="仿宋_GB2312" w:eastAsia="仿宋_GB2312" w:cs="仿宋_GB2312"/>
          <w:sz w:val="32"/>
          <w:szCs w:val="32"/>
          <w:lang w:val="en-US" w:eastAsia="zh-CN"/>
        </w:rPr>
        <w:t>在包保联系工作中发现的问题隐患和违法行为，行业主管部门、镇</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街道</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、消防部门以及公安派出所要积极采取有效措施，督促重点单位落实整改。对属于应当由其他有关部门进行处理的，应当及时移送有关部门并形成记录备查。</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pacing w:val="2"/>
          <w:sz w:val="32"/>
          <w:szCs w:val="32"/>
          <w:lang w:val="en-US" w:eastAsia="zh-CN"/>
        </w:rPr>
      </w:pPr>
      <w:r>
        <w:rPr>
          <w:rFonts w:hint="default" w:ascii="Times New Roman" w:hAnsi="Times New Roman" w:eastAsia="方正黑体_GBK" w:cs="Times New Roman"/>
          <w:sz w:val="32"/>
          <w:szCs w:val="32"/>
          <w:lang w:val="en-US" w:eastAsia="zh-CN"/>
        </w:rPr>
        <w:t>第十八条</w:t>
      </w:r>
      <w:r>
        <w:rPr>
          <w:rFonts w:hint="default"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lang w:val="en-US" w:eastAsia="zh-CN"/>
        </w:rPr>
        <w:t xml:space="preserve"> </w:t>
      </w:r>
      <w:r>
        <w:rPr>
          <w:rFonts w:hint="default" w:ascii="仿宋_GB2312" w:hAnsi="仿宋_GB2312" w:eastAsia="仿宋_GB2312" w:cs="仿宋_GB2312"/>
          <w:sz w:val="32"/>
          <w:szCs w:val="32"/>
          <w:lang w:val="en-US" w:eastAsia="zh-CN"/>
        </w:rPr>
        <w:t>联合指导组成员之间应当加强协作，每年至少进</w:t>
      </w:r>
      <w:r>
        <w:rPr>
          <w:rFonts w:hint="default" w:ascii="仿宋_GB2312" w:hAnsi="仿宋_GB2312" w:eastAsia="仿宋_GB2312" w:cs="仿宋_GB2312"/>
          <w:spacing w:val="2"/>
          <w:sz w:val="32"/>
          <w:szCs w:val="32"/>
          <w:lang w:val="en-US" w:eastAsia="zh-CN"/>
        </w:rPr>
        <w:t>行1次会商</w:t>
      </w:r>
      <w:r>
        <w:rPr>
          <w:rFonts w:hint="eastAsia" w:ascii="仿宋_GB2312" w:hAnsi="仿宋_GB2312" w:eastAsia="仿宋_GB2312" w:cs="仿宋_GB2312"/>
          <w:spacing w:val="2"/>
          <w:sz w:val="32"/>
          <w:szCs w:val="32"/>
          <w:lang w:val="en-US" w:eastAsia="zh-CN"/>
        </w:rPr>
        <w:t>，</w:t>
      </w:r>
      <w:r>
        <w:rPr>
          <w:rFonts w:hint="default" w:ascii="仿宋_GB2312" w:hAnsi="仿宋_GB2312" w:eastAsia="仿宋_GB2312" w:cs="仿宋_GB2312"/>
          <w:spacing w:val="2"/>
          <w:sz w:val="32"/>
          <w:szCs w:val="32"/>
          <w:lang w:val="en-US" w:eastAsia="zh-CN"/>
        </w:rPr>
        <w:t>对所包保联系重点单位消防安全工作情况进行分析交流</w:t>
      </w:r>
      <w:r>
        <w:rPr>
          <w:rFonts w:hint="eastAsia" w:ascii="仿宋_GB2312" w:hAnsi="仿宋_GB2312" w:eastAsia="仿宋_GB2312" w:cs="仿宋_GB2312"/>
          <w:spacing w:val="2"/>
          <w:sz w:val="32"/>
          <w:szCs w:val="32"/>
          <w:lang w:val="en-US" w:eastAsia="zh-CN"/>
        </w:rPr>
        <w:t>，</w:t>
      </w:r>
      <w:r>
        <w:rPr>
          <w:rFonts w:hint="default" w:ascii="仿宋_GB2312" w:hAnsi="仿宋_GB2312" w:eastAsia="仿宋_GB2312" w:cs="仿宋_GB2312"/>
          <w:spacing w:val="2"/>
          <w:sz w:val="32"/>
          <w:szCs w:val="32"/>
          <w:lang w:val="en-US" w:eastAsia="zh-CN"/>
        </w:rPr>
        <w:t>互通情况。在对重点单位进行指导时，鼓励实行联合指导。</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sz w:val="32"/>
          <w:szCs w:val="32"/>
          <w:lang w:val="en-US" w:eastAsia="zh-CN"/>
        </w:rPr>
        <w:t>第十九条</w:t>
      </w:r>
      <w:r>
        <w:rPr>
          <w:rFonts w:hint="default"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lang w:val="en-US" w:eastAsia="zh-CN"/>
        </w:rPr>
        <w:t xml:space="preserve"> </w:t>
      </w:r>
      <w:r>
        <w:rPr>
          <w:rFonts w:hint="default" w:ascii="仿宋_GB2312" w:hAnsi="仿宋_GB2312" w:eastAsia="仿宋_GB2312" w:cs="仿宋_GB2312"/>
          <w:sz w:val="32"/>
          <w:szCs w:val="32"/>
          <w:lang w:val="en-US" w:eastAsia="zh-CN"/>
        </w:rPr>
        <w:t>各行业主管部门、</w:t>
      </w:r>
      <w:r>
        <w:rPr>
          <w:rFonts w:hint="eastAsia" w:ascii="仿宋_GB2312" w:hAnsi="仿宋_GB2312" w:eastAsia="仿宋_GB2312" w:cs="仿宋_GB2312"/>
          <w:sz w:val="32"/>
          <w:szCs w:val="32"/>
          <w:lang w:val="en-US" w:eastAsia="zh-CN"/>
        </w:rPr>
        <w:t>镇（街道）</w:t>
      </w:r>
      <w:r>
        <w:rPr>
          <w:rFonts w:hint="default" w:ascii="仿宋_GB2312" w:hAnsi="仿宋_GB2312" w:eastAsia="仿宋_GB2312" w:cs="仿宋_GB2312"/>
          <w:sz w:val="32"/>
          <w:szCs w:val="32"/>
          <w:lang w:val="en-US" w:eastAsia="zh-CN"/>
        </w:rPr>
        <w:t>、公安派出所和消防部门应当利用全省重点单位管理系统，及时录入相关工作信息，实现重点单位管理和包保联系工作机制平台化运行。</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方正黑体_GBK" w:cs="Times New Roman"/>
          <w:sz w:val="32"/>
          <w:szCs w:val="32"/>
          <w:lang w:val="en-US" w:eastAsia="zh-CN"/>
        </w:rPr>
        <w:t>第二十条</w:t>
      </w:r>
      <w:r>
        <w:rPr>
          <w:rFonts w:hint="default"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lang w:val="en-US" w:eastAsia="zh-CN"/>
        </w:rPr>
        <w:t xml:space="preserve"> </w:t>
      </w:r>
      <w:r>
        <w:rPr>
          <w:rFonts w:hint="default" w:ascii="仿宋_GB2312" w:hAnsi="仿宋_GB2312" w:eastAsia="仿宋_GB2312" w:cs="仿宋_GB2312"/>
          <w:sz w:val="32"/>
          <w:szCs w:val="32"/>
          <w:lang w:val="en-US" w:eastAsia="zh-CN"/>
        </w:rPr>
        <w:t>区消安委要加强统筹调度、督促指导，定期分析相关行业主管部门、公安部门、镇</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街道</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包保联系工作情况，组织分行业、分区域的会商，适时组织督导检查</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sz w:val="32"/>
          <w:szCs w:val="32"/>
          <w:lang w:val="en-US" w:eastAsia="zh-CN"/>
        </w:rPr>
        <w:t xml:space="preserve">第二十一条 </w:t>
      </w:r>
      <w:r>
        <w:rPr>
          <w:rFonts w:hint="eastAsia" w:ascii="Times New Roman" w:hAnsi="Times New Roman" w:eastAsia="方正黑体_GBK" w:cs="Times New Roman"/>
          <w:sz w:val="32"/>
          <w:szCs w:val="32"/>
          <w:lang w:val="en-US" w:eastAsia="zh-CN"/>
        </w:rPr>
        <w:t xml:space="preserve"> </w:t>
      </w:r>
      <w:r>
        <w:rPr>
          <w:rFonts w:hint="default" w:ascii="仿宋_GB2312" w:hAnsi="仿宋_GB2312" w:eastAsia="仿宋_GB2312" w:cs="仿宋_GB2312"/>
          <w:sz w:val="32"/>
          <w:szCs w:val="32"/>
          <w:lang w:val="en-US" w:eastAsia="zh-CN"/>
        </w:rPr>
        <w:t>行业主管部门每半年至少组织1次对</w:t>
      </w:r>
      <w:r>
        <w:rPr>
          <w:rFonts w:hint="eastAsia" w:ascii="仿宋_GB2312" w:hAnsi="仿宋_GB2312" w:eastAsia="仿宋_GB2312" w:cs="仿宋_GB2312"/>
          <w:sz w:val="32"/>
          <w:szCs w:val="32"/>
          <w:lang w:val="en-US" w:eastAsia="zh-CN"/>
        </w:rPr>
        <w:t>本</w:t>
      </w:r>
      <w:r>
        <w:rPr>
          <w:rFonts w:hint="default" w:ascii="仿宋_GB2312" w:hAnsi="仿宋_GB2312" w:eastAsia="仿宋_GB2312" w:cs="仿宋_GB2312"/>
          <w:sz w:val="32"/>
          <w:szCs w:val="32"/>
          <w:lang w:val="en-US" w:eastAsia="zh-CN"/>
        </w:rPr>
        <w:t>级包保联系人员的会商，解决包保联系工作中发现的问题，分析研判行业火灾风险，制定工作措施，健全工作机制。</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pacing w:val="2"/>
          <w:sz w:val="32"/>
          <w:szCs w:val="32"/>
          <w:lang w:val="en-US" w:eastAsia="zh-CN"/>
        </w:rPr>
      </w:pPr>
      <w:r>
        <w:rPr>
          <w:rFonts w:hint="default" w:ascii="Times New Roman" w:hAnsi="Times New Roman" w:eastAsia="方正黑体_GBK" w:cs="Times New Roman"/>
          <w:sz w:val="32"/>
          <w:szCs w:val="32"/>
          <w:lang w:val="en-US" w:eastAsia="zh-CN"/>
        </w:rPr>
        <w:t xml:space="preserve">第二十二条 </w:t>
      </w:r>
      <w:r>
        <w:rPr>
          <w:rFonts w:hint="eastAsia" w:ascii="Times New Roman" w:hAnsi="Times New Roman" w:eastAsia="方正黑体_GBK" w:cs="Times New Roman"/>
          <w:sz w:val="32"/>
          <w:szCs w:val="32"/>
          <w:lang w:val="en-US" w:eastAsia="zh-CN"/>
        </w:rPr>
        <w:t xml:space="preserve"> </w:t>
      </w:r>
      <w:r>
        <w:rPr>
          <w:rFonts w:hint="default" w:ascii="仿宋_GB2312" w:hAnsi="仿宋_GB2312" w:eastAsia="仿宋_GB2312" w:cs="仿宋_GB2312"/>
          <w:spacing w:val="2"/>
          <w:sz w:val="32"/>
          <w:szCs w:val="32"/>
          <w:lang w:val="en-US" w:eastAsia="zh-CN"/>
        </w:rPr>
        <w:t>镇</w:t>
      </w:r>
      <w:r>
        <w:rPr>
          <w:rFonts w:hint="eastAsia" w:ascii="仿宋_GB2312" w:hAnsi="仿宋_GB2312" w:eastAsia="仿宋_GB2312" w:cs="仿宋_GB2312"/>
          <w:spacing w:val="2"/>
          <w:sz w:val="32"/>
          <w:szCs w:val="32"/>
          <w:lang w:val="en-US" w:eastAsia="zh-CN"/>
        </w:rPr>
        <w:t>（</w:t>
      </w:r>
      <w:r>
        <w:rPr>
          <w:rFonts w:hint="default" w:ascii="仿宋_GB2312" w:hAnsi="仿宋_GB2312" w:eastAsia="仿宋_GB2312" w:cs="仿宋_GB2312"/>
          <w:spacing w:val="2"/>
          <w:sz w:val="32"/>
          <w:szCs w:val="32"/>
          <w:lang w:val="en-US" w:eastAsia="zh-CN"/>
        </w:rPr>
        <w:t>街道</w:t>
      </w:r>
      <w:r>
        <w:rPr>
          <w:rFonts w:hint="eastAsia" w:ascii="仿宋_GB2312" w:hAnsi="仿宋_GB2312" w:eastAsia="仿宋_GB2312" w:cs="仿宋_GB2312"/>
          <w:spacing w:val="2"/>
          <w:sz w:val="32"/>
          <w:szCs w:val="32"/>
          <w:lang w:val="en-US" w:eastAsia="zh-CN"/>
        </w:rPr>
        <w:t>）</w:t>
      </w:r>
      <w:r>
        <w:rPr>
          <w:rFonts w:hint="default" w:ascii="仿宋_GB2312" w:hAnsi="仿宋_GB2312" w:eastAsia="仿宋_GB2312" w:cs="仿宋_GB2312"/>
          <w:spacing w:val="2"/>
          <w:sz w:val="32"/>
          <w:szCs w:val="32"/>
          <w:lang w:val="en-US" w:eastAsia="zh-CN"/>
        </w:rPr>
        <w:t>定期组织调度包保联系工作开展情况。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方正黑体_GBK" w:cs="Times New Roman"/>
          <w:sz w:val="32"/>
          <w:szCs w:val="32"/>
          <w:lang w:val="en-US" w:eastAsia="zh-CN"/>
        </w:rPr>
        <w:t>第二十三条</w:t>
      </w:r>
      <w:r>
        <w:rPr>
          <w:rFonts w:hint="default"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lang w:val="en-US" w:eastAsia="zh-CN"/>
        </w:rPr>
        <w:t xml:space="preserve"> </w:t>
      </w:r>
      <w:r>
        <w:rPr>
          <w:rFonts w:hint="default" w:ascii="仿宋_GB2312" w:hAnsi="仿宋_GB2312" w:eastAsia="仿宋_GB2312" w:cs="仿宋_GB2312"/>
          <w:sz w:val="32"/>
          <w:szCs w:val="32"/>
          <w:lang w:val="en-US" w:eastAsia="zh-CN"/>
        </w:rPr>
        <w:t>区消安委要加强统筹调度、督促指导，定期对包保联系工作情况进行调度</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对履职不到位的镇（街道）和部门加强督办提示，并将包保责任制落实情况纳入年度消防工作考核内容，切实提升工作质效。各有关部门、单位要依据相关法律、法规和《</w:t>
      </w:r>
      <w:r>
        <w:rPr>
          <w:rFonts w:hint="eastAsia" w:ascii="仿宋_GB2312" w:hAnsi="仿宋_GB2312" w:eastAsia="仿宋_GB2312" w:cs="仿宋_GB2312"/>
          <w:sz w:val="32"/>
          <w:szCs w:val="32"/>
          <w:lang w:val="en-US" w:eastAsia="zh-CN"/>
        </w:rPr>
        <w:t>河南省</w:t>
      </w:r>
      <w:r>
        <w:rPr>
          <w:rFonts w:hint="default" w:ascii="仿宋_GB2312" w:hAnsi="仿宋_GB2312" w:eastAsia="仿宋_GB2312" w:cs="仿宋_GB2312"/>
          <w:sz w:val="32"/>
          <w:szCs w:val="32"/>
          <w:lang w:val="en-US" w:eastAsia="zh-CN"/>
        </w:rPr>
        <w:t>落实落细安全生产“三管三必须”若干规定》《洛阳市落实落细安全生产“三管三必须”若干规定》</w:t>
      </w:r>
      <w:r>
        <w:rPr>
          <w:rFonts w:hint="eastAsia" w:ascii="仿宋_GB2312" w:hAnsi="仿宋_GB2312" w:eastAsia="仿宋_GB2312" w:cs="仿宋_GB2312"/>
          <w:sz w:val="32"/>
          <w:szCs w:val="32"/>
          <w:lang w:val="en-US" w:eastAsia="zh-CN"/>
        </w:rPr>
        <w:t>《洛阳市偃师</w:t>
      </w:r>
      <w:r>
        <w:rPr>
          <w:rFonts w:hint="eastAsia" w:ascii="仿宋_GB2312" w:hAnsi="仿宋_GB2312" w:eastAsia="仿宋_GB2312" w:cs="仿宋_GB2312"/>
          <w:spacing w:val="2"/>
          <w:sz w:val="32"/>
          <w:szCs w:val="32"/>
          <w:lang w:val="en-US" w:eastAsia="zh-CN"/>
        </w:rPr>
        <w:t>区落实落细安全生产“三管三必须”实施细则》</w:t>
      </w:r>
      <w:r>
        <w:rPr>
          <w:rFonts w:hint="default" w:ascii="仿宋_GB2312" w:hAnsi="仿宋_GB2312" w:eastAsia="仿宋_GB2312" w:cs="仿宋_GB2312"/>
          <w:spacing w:val="2"/>
          <w:sz w:val="32"/>
          <w:szCs w:val="32"/>
          <w:lang w:val="en-US" w:eastAsia="zh-CN"/>
        </w:rPr>
        <w:t>等文件，落实</w:t>
      </w:r>
      <w:r>
        <w:rPr>
          <w:rFonts w:hint="eastAsia" w:ascii="仿宋_GB2312" w:hAnsi="仿宋_GB2312" w:eastAsia="仿宋_GB2312" w:cs="仿宋_GB2312"/>
          <w:spacing w:val="2"/>
          <w:sz w:val="32"/>
          <w:szCs w:val="32"/>
          <w:lang w:val="en-US" w:eastAsia="zh-CN"/>
        </w:rPr>
        <w:t>“</w:t>
      </w:r>
      <w:r>
        <w:rPr>
          <w:rFonts w:hint="default" w:ascii="仿宋_GB2312" w:hAnsi="仿宋_GB2312" w:eastAsia="仿宋_GB2312" w:cs="仿宋_GB2312"/>
          <w:spacing w:val="2"/>
          <w:sz w:val="32"/>
          <w:szCs w:val="32"/>
          <w:lang w:val="en-US" w:eastAsia="zh-CN"/>
        </w:rPr>
        <w:t>谁主管、谁负责，谁审批、谁负责</w:t>
      </w:r>
      <w:r>
        <w:rPr>
          <w:rFonts w:hint="eastAsia" w:ascii="仿宋_GB2312" w:hAnsi="仿宋_GB2312" w:eastAsia="仿宋_GB2312" w:cs="仿宋_GB2312"/>
          <w:spacing w:val="2"/>
          <w:sz w:val="32"/>
          <w:szCs w:val="32"/>
          <w:lang w:val="en-US" w:eastAsia="zh-CN"/>
        </w:rPr>
        <w:t>”</w:t>
      </w:r>
      <w:r>
        <w:rPr>
          <w:rFonts w:hint="default" w:ascii="仿宋_GB2312" w:hAnsi="仿宋_GB2312" w:eastAsia="仿宋_GB2312" w:cs="仿宋_GB2312"/>
          <w:spacing w:val="2"/>
          <w:sz w:val="32"/>
          <w:szCs w:val="32"/>
          <w:lang w:val="en-US" w:eastAsia="zh-CN"/>
        </w:rPr>
        <w:t>等要求，全面履行消防工作职责。</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 xml:space="preserve">第三章 </w:t>
      </w:r>
      <w:r>
        <w:rPr>
          <w:rFonts w:hint="eastAsia" w:ascii="Times New Roman" w:hAnsi="Times New Roman" w:eastAsia="方正黑体_GBK" w:cs="Times New Roman"/>
          <w:b w:val="0"/>
          <w:bCs w:val="0"/>
          <w:sz w:val="32"/>
          <w:szCs w:val="32"/>
          <w:lang w:val="en-US" w:eastAsia="zh-CN"/>
        </w:rPr>
        <w:t xml:space="preserve"> </w:t>
      </w:r>
      <w:r>
        <w:rPr>
          <w:rFonts w:hint="default" w:ascii="Times New Roman" w:hAnsi="Times New Roman" w:eastAsia="方正黑体_GBK" w:cs="Times New Roman"/>
          <w:b w:val="0"/>
          <w:bCs w:val="0"/>
          <w:sz w:val="32"/>
          <w:szCs w:val="32"/>
          <w:lang w:val="en-US" w:eastAsia="zh-CN"/>
        </w:rPr>
        <w:t>附 则</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黑体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sz w:val="32"/>
          <w:szCs w:val="32"/>
          <w:lang w:val="en-US" w:eastAsia="zh-CN"/>
        </w:rPr>
        <w:t>第二十四</w:t>
      </w:r>
      <w:r>
        <w:rPr>
          <w:rFonts w:hint="eastAsia" w:ascii="Times New Roman" w:hAnsi="Times New Roman" w:eastAsia="方正黑体_GBK" w:cs="Times New Roman"/>
          <w:sz w:val="32"/>
          <w:szCs w:val="32"/>
          <w:lang w:val="en-US" w:eastAsia="zh-CN"/>
        </w:rPr>
        <w:t>条</w:t>
      </w:r>
      <w:r>
        <w:rPr>
          <w:rFonts w:hint="default" w:ascii="Times New Roman" w:hAnsi="Times New Roman" w:eastAsia="方正黑体_GBK" w:cs="Times New Roman"/>
          <w:sz w:val="32"/>
          <w:szCs w:val="32"/>
          <w:lang w:val="en-US" w:eastAsia="zh-CN"/>
        </w:rPr>
        <w:t xml:space="preserve"> </w:t>
      </w:r>
      <w:r>
        <w:rPr>
          <w:rFonts w:hint="eastAsia" w:ascii="Times New Roman" w:hAnsi="Times New Roman" w:eastAsia="方正黑体_GBK" w:cs="Times New Roman"/>
          <w:sz w:val="32"/>
          <w:szCs w:val="32"/>
          <w:lang w:val="en-US" w:eastAsia="zh-CN"/>
        </w:rPr>
        <w:t xml:space="preserve"> </w:t>
      </w:r>
      <w:r>
        <w:rPr>
          <w:rFonts w:hint="default" w:ascii="Times New Roman" w:hAnsi="Times New Roman" w:eastAsia="仿宋" w:cs="Times New Roman"/>
          <w:sz w:val="32"/>
          <w:szCs w:val="32"/>
          <w:lang w:val="en-US" w:eastAsia="zh-CN"/>
        </w:rPr>
        <w:t>本</w:t>
      </w:r>
      <w:r>
        <w:rPr>
          <w:rFonts w:hint="default" w:ascii="仿宋_GB2312" w:hAnsi="仿宋_GB2312" w:eastAsia="仿宋_GB2312" w:cs="仿宋_GB2312"/>
          <w:sz w:val="32"/>
          <w:szCs w:val="32"/>
          <w:lang w:val="en-US" w:eastAsia="zh-CN"/>
        </w:rPr>
        <w:t>细则所称重点单位是指</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消防部门按照现行《河南省消防安全重点单位界定标准》和《洛阳市消防安全重点单位分级界定标准》确定的发生火灾可能性较大以及发生火灾可能造成重大人身伤亡或者损失的单位。</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消防安全责任人是重点单位的法定代表人、主要负责人或实际控制人</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对本单位、本场所的消防安全全面负责。</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消防安全管理人是重点单位负责组织实施和落实本单位消防安全管理工作的人员，对消防安全责任人负责。</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sz w:val="32"/>
          <w:szCs w:val="32"/>
          <w:lang w:val="en-US" w:eastAsia="zh-CN"/>
        </w:rPr>
        <w:t xml:space="preserve">第二十五条 </w:t>
      </w:r>
      <w:r>
        <w:rPr>
          <w:rFonts w:hint="eastAsia" w:ascii="Times New Roman" w:hAnsi="Times New Roman" w:eastAsia="方正黑体_GBK" w:cs="Times New Roman"/>
          <w:sz w:val="32"/>
          <w:szCs w:val="32"/>
          <w:lang w:val="en-US" w:eastAsia="zh-CN"/>
        </w:rPr>
        <w:t xml:space="preserve"> </w:t>
      </w:r>
      <w:r>
        <w:rPr>
          <w:rFonts w:hint="default" w:ascii="仿宋_GB2312" w:hAnsi="仿宋_GB2312" w:eastAsia="仿宋_GB2312" w:cs="仿宋_GB2312"/>
          <w:sz w:val="32"/>
          <w:szCs w:val="32"/>
          <w:lang w:val="en-US" w:eastAsia="zh-CN"/>
        </w:rPr>
        <w:t>本实施细则所称的</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在编在岗人员</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，是指具有该单位行政编制、事业编制或为单位参公人员，并在相应岗位上工作的人员。</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方正黑体_GBK" w:cs="Times New Roman"/>
          <w:sz w:val="32"/>
          <w:szCs w:val="32"/>
          <w:lang w:val="en-US" w:eastAsia="zh-CN"/>
        </w:rPr>
        <w:t xml:space="preserve">第二十六条 </w:t>
      </w:r>
      <w:r>
        <w:rPr>
          <w:rFonts w:hint="eastAsia" w:ascii="Times New Roman" w:hAnsi="Times New Roman" w:eastAsia="方正黑体_GBK" w:cs="Times New Roman"/>
          <w:sz w:val="32"/>
          <w:szCs w:val="32"/>
          <w:lang w:val="en-US" w:eastAsia="zh-CN"/>
        </w:rPr>
        <w:t xml:space="preserve"> </w:t>
      </w:r>
      <w:r>
        <w:rPr>
          <w:rFonts w:hint="default" w:ascii="仿宋_GB2312" w:hAnsi="仿宋_GB2312" w:eastAsia="仿宋_GB2312" w:cs="仿宋_GB2312"/>
          <w:sz w:val="32"/>
          <w:szCs w:val="32"/>
          <w:lang w:val="en-US" w:eastAsia="zh-CN"/>
        </w:rPr>
        <w:t>各镇（街道）可依据本实施细则进一步细化相关人员职责分工</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强化落实指导、会商、培训等工作措施。</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pacing w:val="4"/>
          <w:sz w:val="32"/>
          <w:szCs w:val="32"/>
          <w:lang w:val="en-US" w:eastAsia="zh-CN"/>
        </w:rPr>
      </w:pPr>
      <w:r>
        <w:rPr>
          <w:rFonts w:hint="default" w:ascii="Times New Roman" w:hAnsi="Times New Roman" w:eastAsia="方正黑体_GBK" w:cs="Times New Roman"/>
          <w:sz w:val="32"/>
          <w:szCs w:val="32"/>
          <w:lang w:val="en-US" w:eastAsia="zh-CN"/>
        </w:rPr>
        <w:t xml:space="preserve">第二十七条 </w:t>
      </w:r>
      <w:r>
        <w:rPr>
          <w:rFonts w:hint="eastAsia" w:ascii="Times New Roman" w:hAnsi="Times New Roman" w:eastAsia="方正黑体_GBK" w:cs="Times New Roman"/>
          <w:sz w:val="32"/>
          <w:szCs w:val="32"/>
          <w:lang w:val="en-US" w:eastAsia="zh-CN"/>
        </w:rPr>
        <w:t xml:space="preserve"> </w:t>
      </w:r>
      <w:r>
        <w:rPr>
          <w:rFonts w:hint="default" w:ascii="仿宋_GB2312" w:hAnsi="仿宋_GB2312" w:eastAsia="仿宋_GB2312" w:cs="仿宋_GB2312"/>
          <w:spacing w:val="4"/>
          <w:sz w:val="32"/>
          <w:szCs w:val="32"/>
          <w:lang w:val="en-US" w:eastAsia="zh-CN"/>
        </w:rPr>
        <w:t>本细则自印发公布之日起施行。试行期限为1年。</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附件：1</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消防安全重点单位责任公示牌样板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消防安全重点单位工作指导记录表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消防安全重点单位责任公示牌样板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drawing>
          <wp:anchor distT="0" distB="0" distL="114300" distR="114300" simplePos="0" relativeHeight="251662336" behindDoc="1" locked="0" layoutInCell="1" allowOverlap="1">
            <wp:simplePos x="0" y="0"/>
            <wp:positionH relativeFrom="column">
              <wp:posOffset>58420</wp:posOffset>
            </wp:positionH>
            <wp:positionV relativeFrom="paragraph">
              <wp:posOffset>107315</wp:posOffset>
            </wp:positionV>
            <wp:extent cx="5588635" cy="3726180"/>
            <wp:effectExtent l="0" t="0" r="0" b="0"/>
            <wp:wrapTight wrapText="bothSides">
              <wp:wrapPolygon>
                <wp:start x="0" y="0"/>
                <wp:lineTo x="0" y="21534"/>
                <wp:lineTo x="21499" y="21534"/>
                <wp:lineTo x="21499" y="0"/>
                <wp:lineTo x="0" y="0"/>
              </wp:wrapPolygon>
            </wp:wrapTight>
            <wp:docPr id="4" name="图片 4" descr="f59fd9100228908fb76770c7732a84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f59fd9100228908fb76770c7732a840"/>
                    <pic:cNvPicPr>
                      <a:picLocks noChangeAspect="true"/>
                    </pic:cNvPicPr>
                  </pic:nvPicPr>
                  <pic:blipFill>
                    <a:blip r:embed="rId10">
                      <a:lum contrast="6000"/>
                    </a:blip>
                    <a:srcRect l="2292" t="2030" r="3378" b="2670"/>
                    <a:stretch>
                      <a:fillRect/>
                    </a:stretch>
                  </pic:blipFill>
                  <pic:spPr>
                    <a:xfrm>
                      <a:off x="0" y="0"/>
                      <a:ext cx="5588635" cy="372618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Times New Roman" w:hAnsi="Times New Roman" w:eastAsia="方正黑体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ascii="方正小标宋_GBK" w:hAnsi="方正小标宋_GBK" w:eastAsia="方正小标宋_GBK" w:cs="方正小标宋_GBK"/>
          <w:sz w:val="44"/>
          <w:szCs w:val="44"/>
          <w:lang w:val="en-US" w:eastAsia="zh-CN"/>
        </w:rPr>
      </w:pPr>
      <w:r>
        <w:rPr>
          <w:rFonts w:hint="default" w:ascii="方正小标宋_GBK" w:hAnsi="方正小标宋_GBK" w:eastAsia="方正小标宋_GBK" w:cs="方正小标宋_GBK"/>
          <w:sz w:val="44"/>
          <w:szCs w:val="44"/>
          <w:lang w:val="en-US" w:eastAsia="zh-CN"/>
        </w:rPr>
        <w:t>消防安全重点单位工作指导记录表</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K" w:cs="Times New Roman"/>
          <w:color w:val="000000"/>
          <w:kern w:val="0"/>
          <w:sz w:val="26"/>
          <w:szCs w:val="26"/>
          <w:lang w:val="en-US" w:eastAsia="zh-CN" w:bidi="ar"/>
        </w:rPr>
      </w:pPr>
      <w:r>
        <w:rPr>
          <w:rFonts w:hint="default" w:ascii="Times New Roman" w:hAnsi="Times New Roman" w:eastAsia="方正仿宋_GBK" w:cs="Times New Roman"/>
          <w:color w:val="000000"/>
          <w:kern w:val="0"/>
          <w:sz w:val="26"/>
          <w:szCs w:val="26"/>
          <w:lang w:val="en-US" w:eastAsia="zh-CN" w:bidi="ar"/>
        </w:rPr>
        <w:t xml:space="preserve">                                         指导时间：  年  月  日</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9"/>
        <w:gridCol w:w="702"/>
        <w:gridCol w:w="2729"/>
        <w:gridCol w:w="2166"/>
        <w:gridCol w:w="2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410"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color w:val="000000"/>
                <w:kern w:val="0"/>
                <w:sz w:val="39"/>
                <w:szCs w:val="39"/>
                <w:vertAlign w:val="baseline"/>
                <w:lang w:val="en-US" w:eastAsia="zh-CN" w:bidi="ar"/>
              </w:rPr>
            </w:pPr>
            <w:r>
              <w:rPr>
                <w:rFonts w:hint="default" w:ascii="Times New Roman" w:hAnsi="Times New Roman" w:eastAsia="方正仿宋_GBK" w:cs="Times New Roman"/>
                <w:color w:val="000000"/>
                <w:kern w:val="0"/>
                <w:sz w:val="26"/>
                <w:szCs w:val="26"/>
                <w:lang w:val="en-US" w:eastAsia="zh-CN" w:bidi="ar"/>
              </w:rPr>
              <w:t>消防安全重点单位名称</w:t>
            </w:r>
          </w:p>
        </w:tc>
        <w:tc>
          <w:tcPr>
            <w:tcW w:w="4410" w:type="dxa"/>
            <w:gridSpan w:val="2"/>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color w:val="000000"/>
                <w:kern w:val="0"/>
                <w:sz w:val="39"/>
                <w:szCs w:val="39"/>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0" w:hRule="atLeast"/>
          <w:jc w:val="center"/>
        </w:trPr>
        <w:tc>
          <w:tcPr>
            <w:tcW w:w="979" w:type="dxa"/>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rPr>
            </w:pPr>
            <w:r>
              <w:rPr>
                <w:rFonts w:hint="default" w:ascii="Times New Roman" w:hAnsi="Times New Roman" w:eastAsia="方正仿宋_GBK" w:cs="Times New Roman"/>
                <w:color w:val="000000"/>
                <w:kern w:val="0"/>
                <w:sz w:val="26"/>
                <w:szCs w:val="26"/>
                <w:lang w:val="en-US" w:eastAsia="zh-CN" w:bidi="ar"/>
              </w:rPr>
              <w:t>指</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rPr>
            </w:pPr>
            <w:r>
              <w:rPr>
                <w:rFonts w:hint="default" w:ascii="Times New Roman" w:hAnsi="Times New Roman" w:eastAsia="方正仿宋_GBK" w:cs="Times New Roman"/>
                <w:color w:val="000000"/>
                <w:kern w:val="0"/>
                <w:sz w:val="26"/>
                <w:szCs w:val="26"/>
                <w:lang w:val="en-US" w:eastAsia="zh-CN" w:bidi="ar"/>
              </w:rPr>
              <w:t>导</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rPr>
            </w:pPr>
            <w:r>
              <w:rPr>
                <w:rFonts w:hint="default" w:ascii="Times New Roman" w:hAnsi="Times New Roman" w:eastAsia="方正仿宋_GBK" w:cs="Times New Roman"/>
                <w:color w:val="000000"/>
                <w:kern w:val="0"/>
                <w:sz w:val="26"/>
                <w:szCs w:val="26"/>
                <w:lang w:val="en-US" w:eastAsia="zh-CN" w:bidi="ar"/>
              </w:rPr>
              <w:t>内</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color w:val="000000"/>
                <w:kern w:val="0"/>
                <w:sz w:val="39"/>
                <w:szCs w:val="39"/>
                <w:vertAlign w:val="baseline"/>
                <w:lang w:val="en-US" w:eastAsia="zh-CN" w:bidi="ar"/>
              </w:rPr>
            </w:pPr>
            <w:r>
              <w:rPr>
                <w:rFonts w:hint="default" w:ascii="Times New Roman" w:hAnsi="Times New Roman" w:eastAsia="方正仿宋_GBK" w:cs="Times New Roman"/>
                <w:color w:val="000000"/>
                <w:kern w:val="0"/>
                <w:sz w:val="26"/>
                <w:szCs w:val="26"/>
                <w:lang w:val="en-US" w:eastAsia="zh-CN" w:bidi="ar"/>
              </w:rPr>
              <w:t>容</w:t>
            </w:r>
          </w:p>
        </w:tc>
        <w:tc>
          <w:tcPr>
            <w:tcW w:w="7841" w:type="dxa"/>
            <w:gridSpan w:val="4"/>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Times New Roman" w:hAnsi="Times New Roman" w:eastAsia="方正仿宋_GBK" w:cs="Times New Roman"/>
                <w:color w:val="000000"/>
                <w:kern w:val="0"/>
                <w:sz w:val="26"/>
                <w:szCs w:val="2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Times New Roman" w:hAnsi="Times New Roman" w:eastAsia="方正仿宋_GBK" w:cs="Times New Roman"/>
                <w:color w:val="000000"/>
                <w:kern w:val="0"/>
                <w:sz w:val="26"/>
                <w:szCs w:val="2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Times New Roman" w:hAnsi="Times New Roman" w:eastAsia="方正仿宋_GBK" w:cs="Times New Roman"/>
                <w:color w:val="000000"/>
                <w:kern w:val="0"/>
                <w:sz w:val="26"/>
                <w:szCs w:val="2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Times New Roman" w:hAnsi="Times New Roman" w:eastAsia="方正仿宋_GBK" w:cs="Times New Roman"/>
                <w:color w:val="000000"/>
                <w:kern w:val="0"/>
                <w:sz w:val="26"/>
                <w:szCs w:val="26"/>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1" w:hRule="atLeast"/>
          <w:jc w:val="center"/>
        </w:trPr>
        <w:tc>
          <w:tcPr>
            <w:tcW w:w="979" w:type="dxa"/>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rPr>
            </w:pPr>
            <w:r>
              <w:rPr>
                <w:rFonts w:hint="default" w:ascii="Times New Roman" w:hAnsi="Times New Roman" w:eastAsia="方正仿宋_GBK" w:cs="Times New Roman"/>
                <w:color w:val="000000"/>
                <w:kern w:val="0"/>
                <w:sz w:val="26"/>
                <w:szCs w:val="26"/>
                <w:lang w:val="en-US" w:eastAsia="zh-CN" w:bidi="ar"/>
              </w:rPr>
              <w:t>工</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rPr>
            </w:pPr>
            <w:r>
              <w:rPr>
                <w:rFonts w:hint="default" w:ascii="Times New Roman" w:hAnsi="Times New Roman" w:eastAsia="方正仿宋_GBK" w:cs="Times New Roman"/>
                <w:color w:val="000000"/>
                <w:kern w:val="0"/>
                <w:sz w:val="26"/>
                <w:szCs w:val="26"/>
                <w:lang w:val="en-US" w:eastAsia="zh-CN" w:bidi="ar"/>
              </w:rPr>
              <w:t>作</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rPr>
            </w:pPr>
            <w:r>
              <w:rPr>
                <w:rFonts w:hint="default" w:ascii="Times New Roman" w:hAnsi="Times New Roman" w:eastAsia="方正仿宋_GBK" w:cs="Times New Roman"/>
                <w:color w:val="000000"/>
                <w:kern w:val="0"/>
                <w:sz w:val="26"/>
                <w:szCs w:val="26"/>
                <w:lang w:val="en-US" w:eastAsia="zh-CN" w:bidi="ar"/>
              </w:rPr>
              <w:t>建</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color w:val="000000"/>
                <w:kern w:val="0"/>
                <w:sz w:val="39"/>
                <w:szCs w:val="39"/>
                <w:vertAlign w:val="baseline"/>
                <w:lang w:val="en-US" w:eastAsia="zh-CN" w:bidi="ar"/>
              </w:rPr>
            </w:pPr>
            <w:r>
              <w:rPr>
                <w:rFonts w:hint="default" w:ascii="Times New Roman" w:hAnsi="Times New Roman" w:eastAsia="方正仿宋_GBK" w:cs="Times New Roman"/>
                <w:color w:val="000000"/>
                <w:kern w:val="0"/>
                <w:sz w:val="26"/>
                <w:szCs w:val="26"/>
                <w:lang w:val="en-US" w:eastAsia="zh-CN" w:bidi="ar"/>
              </w:rPr>
              <w:t>议</w:t>
            </w:r>
          </w:p>
        </w:tc>
        <w:tc>
          <w:tcPr>
            <w:tcW w:w="7841" w:type="dxa"/>
            <w:gridSpan w:val="4"/>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Times New Roman" w:hAnsi="Times New Roman" w:eastAsia="方正仿宋_GBK" w:cs="Times New Roman"/>
                <w:color w:val="000000"/>
                <w:kern w:val="0"/>
                <w:sz w:val="26"/>
                <w:szCs w:val="2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Times New Roman" w:hAnsi="Times New Roman" w:eastAsia="方正仿宋_GBK" w:cs="Times New Roman"/>
                <w:color w:val="000000"/>
                <w:kern w:val="0"/>
                <w:sz w:val="26"/>
                <w:szCs w:val="26"/>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4410" w:type="dxa"/>
            <w:gridSpan w:val="3"/>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K" w:cs="Times New Roman"/>
                <w:color w:val="000000"/>
                <w:kern w:val="0"/>
                <w:sz w:val="26"/>
                <w:szCs w:val="26"/>
                <w:lang w:val="en-US" w:eastAsia="zh-CN" w:bidi="ar"/>
              </w:rPr>
            </w:pPr>
            <w:r>
              <w:rPr>
                <w:rFonts w:hint="default" w:ascii="Times New Roman" w:hAnsi="Times New Roman" w:eastAsia="方正仿宋_GBK" w:cs="Times New Roman"/>
                <w:color w:val="000000"/>
                <w:kern w:val="0"/>
                <w:sz w:val="26"/>
                <w:szCs w:val="26"/>
                <w:lang w:val="en-US" w:eastAsia="zh-CN" w:bidi="ar"/>
              </w:rPr>
              <w:t>单位消防安全责任人</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color w:val="000000"/>
                <w:kern w:val="0"/>
                <w:sz w:val="39"/>
                <w:szCs w:val="39"/>
                <w:vertAlign w:val="baseline"/>
                <w:lang w:val="en-US" w:eastAsia="zh-CN" w:bidi="ar"/>
              </w:rPr>
            </w:pPr>
            <w:r>
              <w:rPr>
                <w:rFonts w:hint="default" w:ascii="Times New Roman" w:hAnsi="Times New Roman" w:eastAsia="方正仿宋_GBK" w:cs="Times New Roman"/>
                <w:color w:val="000000"/>
                <w:kern w:val="0"/>
                <w:sz w:val="26"/>
                <w:szCs w:val="26"/>
                <w:lang w:val="en-US" w:eastAsia="zh-CN" w:bidi="ar"/>
              </w:rPr>
              <w:t>或管理人签字</w:t>
            </w:r>
          </w:p>
        </w:tc>
        <w:tc>
          <w:tcPr>
            <w:tcW w:w="4410" w:type="dxa"/>
            <w:gridSpan w:val="2"/>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K" w:cs="Times New Roman"/>
                <w:color w:val="000000"/>
                <w:kern w:val="0"/>
                <w:sz w:val="26"/>
                <w:szCs w:val="26"/>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681"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color w:val="000000"/>
                <w:kern w:val="0"/>
                <w:sz w:val="39"/>
                <w:szCs w:val="39"/>
                <w:vertAlign w:val="baseline"/>
                <w:lang w:val="en-US" w:eastAsia="zh-CN" w:bidi="ar"/>
              </w:rPr>
            </w:pPr>
            <w:r>
              <w:rPr>
                <w:rFonts w:hint="default" w:ascii="Times New Roman" w:hAnsi="Times New Roman" w:eastAsia="方正仿宋_GBK" w:cs="Times New Roman"/>
                <w:color w:val="000000"/>
                <w:kern w:val="0"/>
                <w:sz w:val="26"/>
                <w:szCs w:val="26"/>
                <w:lang w:val="en-US" w:eastAsia="zh-CN" w:bidi="ar"/>
              </w:rPr>
              <w:t>指导单位</w:t>
            </w:r>
          </w:p>
        </w:tc>
        <w:tc>
          <w:tcPr>
            <w:tcW w:w="2729" w:type="dxa"/>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Times New Roman" w:hAnsi="Times New Roman" w:eastAsia="方正仿宋_GBK" w:cs="Times New Roman"/>
                <w:color w:val="000000"/>
                <w:kern w:val="0"/>
                <w:sz w:val="26"/>
                <w:szCs w:val="26"/>
                <w:lang w:val="en-US" w:eastAsia="zh-CN" w:bidi="ar"/>
              </w:rPr>
            </w:pPr>
          </w:p>
        </w:tc>
        <w:tc>
          <w:tcPr>
            <w:tcW w:w="2166" w:type="dxa"/>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color w:val="000000"/>
                <w:kern w:val="0"/>
                <w:sz w:val="39"/>
                <w:szCs w:val="39"/>
                <w:vertAlign w:val="baseline"/>
                <w:lang w:val="en-US" w:eastAsia="zh-CN" w:bidi="ar"/>
              </w:rPr>
            </w:pPr>
            <w:r>
              <w:rPr>
                <w:rFonts w:hint="default" w:ascii="Times New Roman" w:hAnsi="Times New Roman" w:eastAsia="方正仿宋_GBK" w:cs="Times New Roman"/>
                <w:color w:val="000000"/>
                <w:kern w:val="0"/>
                <w:sz w:val="26"/>
                <w:szCs w:val="26"/>
                <w:lang w:val="en-US" w:eastAsia="zh-CN" w:bidi="ar"/>
              </w:rPr>
              <w:t>指导人员签字</w:t>
            </w:r>
          </w:p>
        </w:tc>
        <w:tc>
          <w:tcPr>
            <w:tcW w:w="2244" w:type="dxa"/>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Times New Roman" w:hAnsi="Times New Roman" w:eastAsia="方正仿宋_GBK" w:cs="Times New Roman"/>
                <w:color w:val="000000"/>
                <w:kern w:val="0"/>
                <w:sz w:val="26"/>
                <w:szCs w:val="26"/>
                <w:lang w:val="en-US" w:eastAsia="zh-CN" w:bidi="ar"/>
              </w:rPr>
            </w:pPr>
          </w:p>
        </w:tc>
      </w:tr>
    </w:tbl>
    <w:p>
      <w:pPr>
        <w:keepNext w:val="0"/>
        <w:keepLines w:val="0"/>
        <w:pageBreakBefore w:val="0"/>
        <w:widowControl w:val="0"/>
        <w:suppressLineNumbers w:val="0"/>
        <w:kinsoku/>
        <w:wordWrap/>
        <w:overflowPunct/>
        <w:topLinePunct w:val="0"/>
        <w:autoSpaceDE/>
        <w:autoSpaceDN/>
        <w:bidi w:val="0"/>
        <w:adjustRightInd/>
        <w:snapToGrid w:val="0"/>
        <w:spacing w:line="520" w:lineRule="exact"/>
        <w:ind w:left="0" w:leftChars="0" w:right="0" w:rightChars="0" w:firstLine="260" w:firstLineChars="100"/>
        <w:jc w:val="left"/>
        <w:textAlignment w:val="auto"/>
        <w:rPr>
          <w:rFonts w:hint="eastAsia" w:ascii="Times New Roman" w:hAnsi="Times New Roman" w:eastAsia="仿宋_GB2312" w:cs="仿宋_GB2312"/>
          <w:b w:val="0"/>
          <w:bCs w:val="0"/>
          <w:snapToGrid w:val="0"/>
          <w:color w:val="000000"/>
          <w:w w:val="100"/>
          <w:kern w:val="0"/>
          <w:sz w:val="32"/>
          <w:szCs w:val="32"/>
          <w:shd w:val="clear" w:color="auto" w:fill="auto"/>
          <w:lang w:eastAsia="zh-CN"/>
        </w:rPr>
      </w:pPr>
      <w:r>
        <w:rPr>
          <w:rFonts w:hint="default" w:ascii="Times New Roman" w:hAnsi="Times New Roman" w:eastAsia="方正仿宋_GBK" w:cs="Times New Roman"/>
          <w:color w:val="000000"/>
          <w:kern w:val="0"/>
          <w:sz w:val="26"/>
          <w:szCs w:val="26"/>
          <w:lang w:val="en-US" w:eastAsia="zh-CN" w:bidi="ar"/>
        </w:rPr>
        <w:t>该表格一式两份。指导人员留存一份，单位留存一份。</w:t>
      </w:r>
      <w:r>
        <w:rPr>
          <w:rFonts w:hint="eastAsia" w:ascii="Times New Roman" w:hAnsi="Times New Roman" w:eastAsia="方正仿宋_GBK" w:cs="Times New Roman"/>
          <w:color w:val="000000"/>
          <w:kern w:val="0"/>
          <w:sz w:val="26"/>
          <w:szCs w:val="26"/>
          <w:lang w:val="en-US" w:eastAsia="zh-CN" w:bidi="ar"/>
        </w:rPr>
        <w:t xml:space="preserve">      </w:t>
      </w: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928" w:right="1361" w:bottom="1644" w:left="1701" w:header="851" w:footer="992" w:gutter="0"/>
      <w:lnNumType w:countBy="0" w:restart="continuous"/>
      <w:pgNumType w:fmt="decimal"/>
      <w:cols w:space="0" w:num="1"/>
      <w:rtlGutter w:val="0"/>
      <w:docGrid w:type="lines" w:linePitch="6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NEU-BZ">
    <w:altName w:val="华文仿宋"/>
    <w:panose1 w:val="0201060001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252" w:leftChars="120" w:right="252" w:rightChars="120" w:firstLine="0" w:firstLineChars="0"/>
      <w:jc w:val="right"/>
      <w:rPr>
        <w:rFonts w:hint="eastAsia" w:ascii="宋体" w:hAnsi="宋体" w:eastAsia="宋体" w:cs="宋体"/>
        <w:sz w:val="28"/>
        <w:lang w:val="en-US"/>
      </w:rPr>
    </w:pPr>
    <w:r>
      <w:rPr>
        <w:sz w:val="28"/>
      </w:rPr>
      <mc:AlternateContent>
        <mc:Choice Requires="wps">
          <w:drawing>
            <wp:anchor distT="0" distB="0" distL="114300" distR="114300" simplePos="0" relativeHeight="25167462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8"/>
                            <w:ind w:left="252" w:leftChars="120" w:right="252" w:rightChars="120" w:firstLine="0" w:firstLineChars="0"/>
                            <w:jc w:val="right"/>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1</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462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kqvtnyQIAAOwFAAAOAAAAZHJz&#10;L2Uyb0RvYy54bWytVM2O0zAQviPxDpbv2STdbJtWm666zQYhVexKC+LsOk4T4diW7TZdEFd4A05c&#10;uPNc+xyM3abdXRBCQA/uODOeme+bn/OLbcvRhmnTSJHh+CTCiAkqy0asMvzmdRGkGBlLREm4FCzD&#10;d8zgi+nzZ+edmrCBrCUvmUbgRJhJpzJcW6smYWhozVpiTqRiApSV1C2xcNWrsNSkA+8tDwdRNAw7&#10;qUulJWXGwNd8p8RT77+qGLXXVWWYRTzDkJv1p/bn0p3h9JxMVpqouqH7NMhfZNGSRkDQg6ucWILW&#10;uvnJVdtQLY2s7AmVbSirqqHMYwA0cfQEzW1NFPNYgByjDjSZ/+eWvtrcaNSUGR5hJEgLJbr/8vn+&#10;6/f7b5/QyNHTKTMBq1sFdnZ7KbcZtnrNepWB7w74ttKt+wdICEyA67sDv2xrEYWPcTpI0whUFHT9&#10;BUKEx+dKG/uCyRY5IcMaCuh5JZuFsTvT3sRFE7JoOPdF5AJ1GR6enkX+wUEDzrlwtpAF+NhLu+J8&#10;GEfjq/QqTYJkMLwKkijPg1kxT4JhEY/O8tN8Ps/jj85fnEzqpiyZcPH6RomTPyvEvmV3JT60ipG8&#10;KZ07l5LRq+Wca7Qh0KiF/zmGIfkHZuHjNLwaUD2BFA+S6HIwDophOgqSIjkLxqMoDaJ4fDkeRsk4&#10;yYvHkBaNYP8O6RH7D5ImE1ewA7YlJ/Tdb6G5dI7QgIG+cKFrxV2/Oclul1ugyIlLWd5Be2q5m2+j&#10;aNFA0AUx9oZoGGjoOVhS9hqOikvoE7mXMKqlfv+r784eygtajDpYEBkWsMEw4i8FzJ/bJb2ge2HZ&#10;C2LdziUUMoblp6gX4YG2vBcrLdu3sLlmLkZFuAHHRFCIBtPVi3MLt70SNiBls9nhvla6WdXHx7BN&#10;FLELcavofj59V6nZ2sKI+Mk5EgXsugusFM/zfv25nfXw7q2OS3r6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CkqvtnyQIAAOwFAAAOAAAAAAAAAAEAIAAAADUBAABkcnMvZTJvRG9jLnhtbFBL&#10;BQYAAAAABgAGAFkBAABwBgAAAAA=&#10;">
              <v:fill on="f" focussize="0,0"/>
              <v:stroke on="f" weight="0.5pt"/>
              <v:imagedata o:title=""/>
              <o:lock v:ext="edit" aspectratio="f"/>
              <v:textbox inset="0mm,0mm,0mm,0mm" style="mso-fit-shape-to-text:t;">
                <w:txbxContent>
                  <w:p>
                    <w:pPr>
                      <w:pStyle w:val="8"/>
                      <w:ind w:left="252" w:leftChars="120" w:right="252" w:rightChars="120" w:firstLine="0" w:firstLineChars="0"/>
                      <w:jc w:val="right"/>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1</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txbxContent>
              </v:textbox>
            </v:shape>
          </w:pict>
        </mc:Fallback>
      </mc:AlternateContent>
    </w:r>
  </w:p>
  <w:p>
    <w:pPr>
      <w:pStyle w:val="8"/>
      <w:ind w:left="252" w:leftChars="120" w:right="252" w:rightChars="120" w:firstLine="0" w:firstLineChars="0"/>
      <w:jc w:val="right"/>
      <w:rPr>
        <w:rFonts w:ascii="Calibri" w:hAnsi="NEU-BZ" w:eastAsia="宋体" w:cs="Times New Roman"/>
        <w:kern w:val="2"/>
        <w:sz w:val="32"/>
        <w:szCs w:val="22"/>
        <w:lang w:val="en-US" w:eastAsia="zh-CN" w:bidi="ar-SA"/>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73600" behindDoc="0" locked="0" layoutInCell="1" allowOverlap="1">
              <wp:simplePos x="0" y="0"/>
              <wp:positionH relativeFrom="column">
                <wp:posOffset>-12700</wp:posOffset>
              </wp:positionH>
              <wp:positionV relativeFrom="paragraph">
                <wp:posOffset>83820</wp:posOffset>
              </wp:positionV>
              <wp:extent cx="5616575" cy="1905"/>
              <wp:effectExtent l="0" t="10795" r="3175" b="15875"/>
              <wp:wrapNone/>
              <wp:docPr id="6" name="直接连接符 6"/>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1pt;margin-top:6.6pt;height:0.15pt;width:442.25pt;z-index:251673600;mso-width-relative:page;mso-height-relative:page;" filled="f" stroked="t" coordsize="21600,21600" o:gfxdata="UEsFBgAAAAAAAAAAAAAAAAAAAAAAAFBLAwQKAAAAAACHTuJAAAAAAAAAAAAAAAAABAAAAGRycy9Q&#10;SwMEFAAAAAgAh07iQCrKMPjTAAAACAEAAA8AAABkcnMvZG93bnJldi54bWxNj8FuwjAQRO+V+g/W&#10;VuIGToKoojQOUkt7L2k/wMRLEojXUWxM+HuWU3vcmdHsm3I720FEnHzvSEG6SkAgNc701Cr4/fla&#10;5iB80GT04AgV3NDDtnp+KnVh3JX2GOvQCi4hX2gFXQhjIaVvOrTar9yIxN7RTVYHPqdWmklfudwO&#10;MkuSV2l1T/yh0yN+dNic64tVgLuY5vH73dZnuWsjfvb7+VQrtXhJkzcQAefwF4YHPqNDxUwHdyHj&#10;xaBgmfGUwPo6A8F+nmcbEIeHsAFZlfL/gOoOUEsDBBQAAAAIAIdO4kDkD/qy7QEAAMADAAAOAAAA&#10;ZHJzL2Uyb0RvYy54bWytU0uOEzEQ3SNxB8t70t2REphWOrOYMGwQRAIOUPGn25J/sj3p5BJcAIkd&#10;rFiy5zYMx6DsDpkZ2CBEL6rLrqrnV8/l1eXBaLIXISpnO9rMakqEZY4r23f03dvrJ88oiQksB+2s&#10;6OhRRHq5fvxoNfpWzN3gNBeBIIiN7eg7OqTk26qKbBAG4sx5YTEoXTCQcBn6igcYEd3oal7Xy2p0&#10;gfvgmIgRdzdTkK4LvpSCpddSRpGI7ihyS8WGYnfZVusVtH0APyh2ogH/wMKAsnjoGWoDCchNUH9A&#10;GcWCi06mGXOmclIqJkoP2E1T/9bNmwG8KL2gONGfZYr/D5a92m8DUbyjS0osGLyi2w9fv7//9OPb&#10;R7S3Xz6TZRZp9LHF3Cu7DadV9NuQOz7IYPIfeyGHIuzxLKw4JMJwc7FslounC0oYxpqLepEhq7ta&#10;H2J6IZwh2emoVja3DS3sX8Y0pf5KydvakrGjc/wyJODYSA0JXeOxkWj7UhydVvxaaZ1LYuh3VzqQ&#10;PeRBqBfNxXw6QfsBpt2mzt+J2Sm/sHwAlHlsIA5TTQnlEmgHAfy55SQdPYpocdppZmkEp0QLfBzZ&#10;K5kJlP6bTBRIW2SQtZ/Uzt7O8SNe2Y0Pqh9QLAk6isI6R3FMCufTSOc5vL8uaHcPb/0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Ksow+NMAAAAIAQAADwAAAAAAAAABACAAAAA4AAAAZHJzL2Rvd25y&#10;ZXYueG1sUEsBAhQAFAAAAAgAh07iQOQP+rLtAQAAwAMAAA4AAAAAAAAAAQAgAAAAOAEAAGRycy9l&#10;Mm9Eb2MueG1sUEsFBgAAAAAGAAYAWQEAAJcFAAAAAA==&#10;">
              <v:fill on="f" focussize="0,0"/>
              <v:stroke weight="1.75pt" color="#005192" joinstyle="round"/>
              <v:imagedata o:title=""/>
              <o:lock v:ext="edit" aspectratio="f"/>
            </v:line>
          </w:pict>
        </mc:Fallback>
      </mc:AlternateContent>
    </w:r>
  </w:p>
  <w:p>
    <w:pPr>
      <w:pStyle w:val="8"/>
      <w:ind w:left="252" w:leftChars="120" w:right="252" w:rightChars="120" w:firstLine="0" w:firstLineChars="0"/>
      <w:jc w:val="right"/>
      <w:rPr>
        <w:rFonts w:hint="eastAsia" w:ascii="宋体" w:hAnsi="宋体" w:eastAsia="宋体" w:cs="宋体"/>
        <w:sz w:val="28"/>
        <w:lang w:val="en-US"/>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252" w:leftChars="120" w:right="252" w:rightChars="120" w:firstLine="0" w:firstLineChars="0"/>
      <w:jc w:val="right"/>
      <w:rPr>
        <w:rFonts w:hint="eastAsia" w:ascii="宋体" w:hAnsi="宋体" w:cs="宋体"/>
        <w:b/>
        <w:bCs/>
        <w:color w:val="005192"/>
        <w:sz w:val="28"/>
        <w:szCs w:val="44"/>
        <w:lang w:val="en-US" w:eastAsia="zh-CN"/>
      </w:rPr>
    </w:pPr>
    <w:r>
      <w:rPr>
        <w:sz w:val="28"/>
      </w:rPr>
      <mc:AlternateContent>
        <mc:Choice Requires="wps">
          <w:drawing>
            <wp:anchor distT="0" distB="0" distL="114300" distR="114300" simplePos="0" relativeHeight="25167564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8"/>
                            <w:ind w:left="252" w:leftChars="120" w:right="252"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564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pnvwoyQ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5RgKJUgHJbr/8vn+&#10;6/f7b59Q6ujZKDMCq7kCO7u9ktscW71ivcrAdwd8W+vO/QMkBCbA9d2BX7a1iMLHOB2kaQQqCrr+&#10;AiHC43OljX3BZIeckGMNBfS8kvXM2J1pb+KiCVm2nPsicoE2OR6enkX+wUEDzrlwtpAF+NhLu+J8&#10;yKLsOr1OkyAZDK+DJCqKYFJOk2BYxudnxWkxnRbxR+cvTkZNW1VMuHh9o8TJnxVi37K7Eh9axUje&#10;Vs6dS8no5WLKNVoTaNTS/xzDkPwDs/BxGl4NqJ5AigdJdDXIgnKYngdJmZwF2XmUBlGcXWXDKMmS&#10;onwMadYK9u+QHrH/IGkycgU7YFtwQt/9FppL5wgNGOgLF7pW3PWbk+x2sQWKnLiQ1R20p5a7+TaK&#10;li0EnRFjb4mGgYaegyVlb+CouYQ+kXsJo0bq97/67uyhvKDFaAMLIscCNhhG/KWA+XO7pBd0Lyx6&#10;Qay6qYRCxrD8FPUiPNCW92KtZfcWNtfExagJN+CYCArRYLp6cWrhtlfCBqRsMjncV0q3y+b4GLaJ&#10;InYm5oru59N3lZqsLIyIn5wjUcCuu8BK8Tzv15/bWQ/v3uq4pMc/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BpnvwoyQIAAOwFAAAOAAAAAAAAAAEAIAAAADUBAABkcnMvZTJvRG9jLnhtbFBL&#10;BQYAAAAABgAGAFkBAABwBgAAAAA=&#10;">
              <v:fill on="f" focussize="0,0"/>
              <v:stroke on="f" weight="0.5pt"/>
              <v:imagedata o:title=""/>
              <o:lock v:ext="edit" aspectratio="f"/>
              <v:textbox inset="0mm,0mm,0mm,0mm" style="mso-fit-shape-to-text:t;">
                <w:txbxContent>
                  <w:p>
                    <w:pPr>
                      <w:pStyle w:val="8"/>
                      <w:ind w:left="252" w:leftChars="120" w:right="252"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txbxContent>
              </v:textbox>
            </v:shape>
          </w:pict>
        </mc:Fallback>
      </mc:AlternateContent>
    </w:r>
  </w:p>
  <w:p>
    <w:pPr>
      <w:pStyle w:val="8"/>
      <w:ind w:left="252" w:leftChars="120" w:right="252" w:rightChars="120" w:firstLine="0" w:firstLineChars="0"/>
      <w:jc w:val="right"/>
      <w:rPr>
        <w:rFonts w:hint="eastAsia" w:ascii="宋体" w:hAnsi="宋体" w:cs="宋体"/>
        <w:b/>
        <w:bCs/>
        <w:color w:val="005192"/>
        <w:sz w:val="28"/>
        <w:szCs w:val="44"/>
        <w:lang w:val="en-US" w:eastAsia="zh-CN"/>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87936" behindDoc="0" locked="0" layoutInCell="1" allowOverlap="1">
              <wp:simplePos x="0" y="0"/>
              <wp:positionH relativeFrom="column">
                <wp:posOffset>12700</wp:posOffset>
              </wp:positionH>
              <wp:positionV relativeFrom="paragraph">
                <wp:posOffset>37465</wp:posOffset>
              </wp:positionV>
              <wp:extent cx="5616575" cy="1905"/>
              <wp:effectExtent l="0" t="10795" r="3175" b="15875"/>
              <wp:wrapNone/>
              <wp:docPr id="9" name="直接连接符 9"/>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1pt;margin-top:2.95pt;height:0.15pt;width:442.25pt;z-index:251687936;mso-width-relative:page;mso-height-relative:page;" filled="f" stroked="t" coordsize="21600,21600" o:gfxdata="UEsFBgAAAAAAAAAAAAAAAAAAAAAAAFBLAwQKAAAAAACHTuJAAAAAAAAAAAAAAAAABAAAAGRycy9Q&#10;SwMEFAAAAAgAh07iQH60Zz7SAAAABQEAAA8AAABkcnMvZG93bnJldi54bWxNj8FugzAQRO+V+g/W&#10;VsqtMSAFEcISqU17b2g+wMFboMFrhB2H/H3dU3sczWjmTbVfzCgCzW6wjJCuExDErdUDdwinz/fn&#10;AoTzirUaLRPCnRzs68eHSpXa3vhIofGdiCXsSoXQez+VUrq2J6Pc2k7E0fuys1E+yrmTela3WG5G&#10;mSVJLo0aOC70aqLXntpLczUIdAhpET5eTHORhy7Q23BcvhvE1VOa7EB4WvxfGH7xIzrUkelsr6yd&#10;GBGy+MQjbLYgolsU+QbEGSHPQNaV/E9f/wBQSwMEFAAAAAgAh07iQG+2rRrtAQAAwAMAAA4AAABk&#10;cnMvZTJvRG9jLnhtbK1TS44TMRDdI3EHy3vS3ZESSCudWUwYNggiAQeo+NNtyT/ZnnRyCS6AxA5W&#10;LNlzG4ZjUHaHDJ8NQvSiuuyqen71XF5fHY0mBxGicrajzaymRFjmuLJ9R9+8vnn0hJKYwHLQzoqO&#10;nkSkV5uHD9ajb8XcDU5zEQiC2NiOvqNDSr6tqsgGYSDOnBcWg9IFAwmXoa94gBHRja7mdb2sRhe4&#10;D46JGHF3OwXppuBLKVh6KWUUieiOIrdUbCh2n221WUPbB/CDYmca8A8sDCiLh16gtpCA3Ab1B5RR&#10;LLjoZJoxZyonpWKi9IDdNPVv3bwawIvSC4oT/UWm+P9g2YvDLhDFO7qixILBK7p79/nr2w/fvrxH&#10;e/fpI1llkUYfW8y9trtwXkW/C7njowwm/7EXcizCni7CimMiDDcXy2a5eLyghGGsWdWLDFnd1/oQ&#10;0zPhDMlOR7WyuW1o4fA8pin1R0re1paMHZ3jlyEBx0ZqSOgaj41E25fi6LTiN0rrXBJDv7/WgRwg&#10;D0K9aFbz6QTtB5h2mzp/Z2bn/MLyF6DMYwtxmGpKKJdAOwjgTy0n6eRRRIvTTjNLIzglWuDjyF7J&#10;TKD032SiQNoig6z9pHb29o6f8MpufVD9gGJJ0FEU1jmKY1I4n0c6z+HP64J2//A23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B+tGc+0gAAAAUBAAAPAAAAAAAAAAEAIAAAADgAAABkcnMvZG93bnJl&#10;di54bWxQSwECFAAUAAAACACHTuJAb7atGu0BAADAAwAADgAAAAAAAAABACAAAAA3AQAAZHJzL2Uy&#10;b0RvYy54bWxQSwUGAAAAAAYABgBZAQAAlgUAAAAA&#10;">
              <v:fill on="f" focussize="0,0"/>
              <v:stroke weight="1.75pt" color="#005192" joinstyle="round"/>
              <v:imagedata o:title=""/>
              <o:lock v:ext="edit" aspectratio="f"/>
            </v:line>
          </w:pict>
        </mc:Fallback>
      </mc:AlternateContent>
    </w:r>
  </w:p>
  <w:p>
    <w:pPr>
      <w:pStyle w:val="8"/>
      <w:ind w:left="252" w:leftChars="120" w:right="252" w:rightChars="120" w:firstLine="0" w:firstLineChars="0"/>
      <w:jc w:val="right"/>
      <w:rPr>
        <w:rFonts w:hint="eastAsia" w:ascii="宋体" w:hAnsi="宋体" w:eastAsia="宋体" w:cs="宋体"/>
        <w:sz w:val="28"/>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keepNext w:val="0"/>
      <w:keepLines w:val="0"/>
      <w:pageBreakBefore w:val="0"/>
      <w:widowControl w:val="0"/>
      <w:kinsoku/>
      <w:wordWrap/>
      <w:overflowPunct/>
      <w:topLinePunct w:val="0"/>
      <w:autoSpaceDE/>
      <w:autoSpaceDN/>
      <w:bidi w:val="0"/>
      <w:adjustRightInd/>
      <w:snapToGrid w:val="0"/>
      <w:textAlignment w:val="cente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405130</wp:posOffset>
              </wp:positionV>
              <wp:extent cx="5620385" cy="0"/>
              <wp:effectExtent l="0" t="10795" r="18415" b="17780"/>
              <wp:wrapNone/>
              <wp:docPr id="3" name="直接连接符 3"/>
              <wp:cNvGraphicFramePr/>
              <a:graphic xmlns:a="http://schemas.openxmlformats.org/drawingml/2006/main">
                <a:graphicData uri="http://schemas.microsoft.com/office/word/2010/wordprocessingShape">
                  <wps:wsp>
                    <wps:cNvCnPr/>
                    <wps:spPr>
                      <a:xfrm>
                        <a:off x="0" y="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31.9pt;height:0pt;width:442.55pt;z-index:251659264;mso-width-relative:page;mso-height-relative:page;" filled="f" stroked="t" coordsize="21600,21600" o:gfxdata="UEsFBgAAAAAAAAAAAAAAAAAAAAAAAFBLAwQKAAAAAACHTuJAAAAAAAAAAAAAAAAABAAAAGRycy9Q&#10;SwMEFAAAAAgAh07iQMuhCwHQAAAABwEAAA8AAABkcnMvZG93bnJldi54bWxNj8FOwzAQRO9I/IO1&#10;SNyoExBRFOJUgsKdBj5gGy9JaLyOYtcNf88iDnCcndHsm3q7ukklWsLo2UC+yUARd96O3Bt4f3u5&#10;KUGFiGxx8kwGvijAtrm8qLGy/sx7Sm3slZRwqNDAEONcaR26gRyGjZ+Jxfvwi8Mocum1XfAs5W7S&#10;t1lWaIcjy4cBZ3oaqDu2J2eAdikv0+uja4961yd6HvfrZ2vM9VWePYCKtMa/MPzgCzo0wnTwJ7ZB&#10;TaLvJWiguJMBYpdlUYA6/B50U+v//M03UEsDBBQAAAAIAIdO4kD7IC7mvwEAAE0DAAAOAAAAZHJz&#10;L2Uyb0RvYy54bWytU0uOEzEQ3SNxB8t70p1EGQ2tdGYx0bBBEAk4QMVtd1vyTy6TTi7BBZDYwYol&#10;e27DzDEoO5kMM+wQWVTsqudXfs/Vy6u9NWwnI2rvWj6d1JxJJ3ynXd/yD+9vXlxyhglcB8Y72fKD&#10;RH61ev5sOYZGzvzgTScjIxKHzRhaPqQUmqpCMUgLOPFBOioqHy0k2sa+6iKMxG5NNavri2r0sQvR&#10;C4lI2fWxyFeFXykp0lulUCZmWk53SyXGErc5VqslNH2EMGhxugb8wy0saEdNz1RrSMA+Rv0XldUi&#10;evQqTYS3lVdKC1k0kJpp/UTNuwGCLFrIHAxnm/D/0Yo3u01kumv5nDMHlp7o9vOPX5++3v38QvH2&#10;+zc2zyaNARvCXrtNPO0wbGJWvFfR5n/SwvbF2MPZWLlPTFBycTGr55cLzsR9rXo4GCKmV9Jblhct&#10;N9plzdDA7jUmakbQe0hOO3+jjSnvZhwbWz6jX6YGGh9lINHSBhKErucMTE9zKVIslOiN7vLxTISx&#10;316byHaQZ6NeTF/OslJq9wiWe68BhyOulE4w4widjTlakVdb3x2KQyVPb1b4TvOVh+LPfTn98BWs&#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DLoQsB0AAAAAcBAAAPAAAAAAAAAAEAIAAAADgAAABk&#10;cnMvZG93bnJldi54bWxQSwECFAAUAAAACACHTuJA+yAu5r8BAABNAwAADgAAAAAAAAABACAAAAA1&#10;AQAAZHJzL2Uyb0RvYy54bWxQSwUGAAAAAAYABgBZAQAAZgUAAAAA&#10;">
              <v:fill on="f" focussize="0,0"/>
              <v:stroke weight="1.75pt" color="#005192 [3204]" joinstyle="round"/>
              <v:imagedata o:title=""/>
              <o:lock v:ext="edit" aspectratio="f"/>
            </v:line>
          </w:pict>
        </mc:Fallback>
      </mc:AlternateContent>
    </w: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cs="宋体"/>
        <w:b/>
        <w:bCs/>
        <w:color w:val="005192"/>
        <w:sz w:val="32"/>
        <w:lang w:eastAsia="zh-CN"/>
      </w:rPr>
    </w:pPr>
  </w:p>
  <w:p>
    <w:pPr>
      <w:pStyle w:val="9"/>
      <w:keepNext w:val="0"/>
      <w:keepLines w:val="0"/>
      <w:pageBreakBefore w:val="0"/>
      <w:widowControl w:val="0"/>
      <w:kinsoku/>
      <w:wordWrap/>
      <w:overflowPunct/>
      <w:topLinePunct w:val="0"/>
      <w:autoSpaceDE/>
      <w:autoSpaceDN/>
      <w:bidi w:val="0"/>
      <w:adjustRightInd/>
      <w:snapToGrid w:val="0"/>
      <w:textAlignment w:val="center"/>
    </w:pPr>
    <w:r>
      <w:rPr>
        <w:rFonts w:hint="eastAsia" w:ascii="宋体" w:hAnsi="宋体" w:eastAsia="宋体" w:cs="宋体"/>
        <w:b/>
        <w:bCs/>
        <w:color w:val="005192"/>
        <w:sz w:val="32"/>
      </w:rPr>
      <mc:AlternateContent>
        <mc:Choice Requires="wps">
          <w:drawing>
            <wp:anchor distT="0" distB="0" distL="114300" distR="114300" simplePos="0" relativeHeight="251661312" behindDoc="0" locked="0" layoutInCell="1" allowOverlap="1">
              <wp:simplePos x="0" y="0"/>
              <wp:positionH relativeFrom="column">
                <wp:posOffset>6350</wp:posOffset>
              </wp:positionH>
              <wp:positionV relativeFrom="paragraph">
                <wp:posOffset>377190</wp:posOffset>
              </wp:positionV>
              <wp:extent cx="5620385" cy="0"/>
              <wp:effectExtent l="0" t="10795" r="18415" b="17780"/>
              <wp:wrapNone/>
              <wp:docPr id="5" name="直接连接符 5"/>
              <wp:cNvGraphicFramePr/>
              <a:graphic xmlns:a="http://schemas.openxmlformats.org/drawingml/2006/main">
                <a:graphicData uri="http://schemas.microsoft.com/office/word/2010/wordprocessingShape">
                  <wps:wsp>
                    <wps:cNvCnPr/>
                    <wps:spPr>
                      <a:xfrm>
                        <a:off x="0" y="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5pt;margin-top:29.7pt;height:0pt;width:442.55pt;z-index:251661312;mso-width-relative:page;mso-height-relative:page;" filled="f" stroked="t" coordsize="21600,21600" o:gfxdata="UEsFBgAAAAAAAAAAAAAAAAAAAAAAAFBLAwQKAAAAAACHTuJAAAAAAAAAAAAAAAAABAAAAGRycy9Q&#10;SwMEFAAAAAgAh07iQMJgu57RAAAABwEAAA8AAABkcnMvZG93bnJldi54bWxNj8FOwzAQRO9I/IO1&#10;SNyoEwRVCHEqQeFOUz5gGy9JaLyOYtcNf88iDnCcndXMm2qzuFElmsPg2UC+ykARt94O3Bl437/e&#10;FKBCRLY4eiYDXxRgU19eVFhaf+YdpSZ2SkI4lGigj3EqtQ5tTw7Dyk/E4n342WEUOXfazniWcDfq&#10;2yxba4cDS0OPEz331B6bkzNA25QX6e3JNUe97RK9DLvlszHm+irPHkFFWuLfM/zgCzrUwnTwJ7ZB&#10;jaJlSTRw/3AHSuyiWOegDr8HXVf6P3/9DVBLAwQUAAAACACHTuJApbkcE74BAABNAwAADgAAAGRy&#10;cy9lMm9Eb2MueG1srVNLjhMxEN0jcQfLe9KdRhkNrXRmMdGwQRAJOEDFbXdb8k8uk04uwQWQ2MGK&#10;JXtuw3AMyk4mAzM7RBYVu+r5ld9z9fJqbw3byYjau47PZzVn0gnfazd0/P27m2eXnGEC14PxTnb8&#10;IJFfrZ4+WU6hlY0fvellZETisJ1Cx8eUQltVKEZpAWc+SEdF5aOFRNs4VH2EiditqZq6vqgmH/sQ&#10;vZCIlF0fi3xV+JWSIr1RCmVipuN0t1RiLHGbY7VaQjtECKMWp2vAP9zCgnbU9Ey1hgTsQ9SPqKwW&#10;0aNXaSa8rbxSWsiigdTM6wdq3o4QZNFC5mA424T/j1a83m0i033HF5w5sPREt5++//z45dePzxRv&#10;v31li2zSFLAl7LXbxNMOwyZmxXsVbf4nLWxfjD2cjZX7xAQlFxdN/fySOoi7WnV/MERML6W3LC86&#10;brTLmqGF3StM1Iygd5Ccdv5GG1PezTg2dbyhX6YGGh9lINHSBhKEbuAMzEBzKVIslOiN7vPxTIRx&#10;2F6byHaQZ6NezF80WSm1+wuWe68BxyOulE4w4widjTlakVdb3x+KQyVPb1b4TvOVh+LPfTl9/xWs&#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DCYLue0QAAAAcBAAAPAAAAAAAAAAEAIAAAADgAAABk&#10;cnMvZG93bnJldi54bWxQSwECFAAUAAAACACHTuJApbkcE74BAABNAwAADgAAAAAAAAABACAAAAA2&#10;AQAAZHJzL2Uyb0RvYy54bWxQSwUGAAAAAAYABgBZAQAAZgUAAAAA&#10;">
              <v:fill on="f" focussize="0,0"/>
              <v:stroke weight="1.75pt" color="#005192 [3204]" joinstyle="round"/>
              <v:imagedata o:title=""/>
              <o:lock v:ext="edit" aspectratio="f"/>
            </v:line>
          </w:pict>
        </mc:Fallback>
      </mc:AlternateContent>
    </w: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AE4FED"/>
    <w:multiLevelType w:val="singleLevel"/>
    <w:tmpl w:val="6AAE4FED"/>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true"/>
  <w:bordersDoNotSurroundHeader w:val="true"/>
  <w:bordersDoNotSurroundFooter w:val="true"/>
  <w:documentProtection w:edit="readOnly" w:enforcement="0"/>
  <w:defaultTabStop w:val="420"/>
  <w:evenAndOddHeaders w:val="true"/>
  <w:drawingGridVerticalSpacing w:val="30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E7391"/>
    <w:rsid w:val="0175164F"/>
    <w:rsid w:val="019A461F"/>
    <w:rsid w:val="01BA74A9"/>
    <w:rsid w:val="01FD48BE"/>
    <w:rsid w:val="0314617A"/>
    <w:rsid w:val="03F63D1C"/>
    <w:rsid w:val="0450566F"/>
    <w:rsid w:val="04D817D2"/>
    <w:rsid w:val="055732FD"/>
    <w:rsid w:val="059A49E6"/>
    <w:rsid w:val="065C41B6"/>
    <w:rsid w:val="07F93D7E"/>
    <w:rsid w:val="08390114"/>
    <w:rsid w:val="085E3F28"/>
    <w:rsid w:val="088E4664"/>
    <w:rsid w:val="08A15949"/>
    <w:rsid w:val="08C956D3"/>
    <w:rsid w:val="09167D40"/>
    <w:rsid w:val="09D60706"/>
    <w:rsid w:val="0A4E677B"/>
    <w:rsid w:val="0A941BA3"/>
    <w:rsid w:val="0B0E32A4"/>
    <w:rsid w:val="0B120106"/>
    <w:rsid w:val="0B1942FD"/>
    <w:rsid w:val="0BCD1AB6"/>
    <w:rsid w:val="0CAF46F3"/>
    <w:rsid w:val="0D1B59D8"/>
    <w:rsid w:val="0D4E63B9"/>
    <w:rsid w:val="0D9C346B"/>
    <w:rsid w:val="0E052AAC"/>
    <w:rsid w:val="0E2367DB"/>
    <w:rsid w:val="0E3F498D"/>
    <w:rsid w:val="0E8B7121"/>
    <w:rsid w:val="0F1028FB"/>
    <w:rsid w:val="0F250C2A"/>
    <w:rsid w:val="0F966B8B"/>
    <w:rsid w:val="1005726E"/>
    <w:rsid w:val="11551569"/>
    <w:rsid w:val="11696A86"/>
    <w:rsid w:val="12642504"/>
    <w:rsid w:val="126C71D7"/>
    <w:rsid w:val="12766455"/>
    <w:rsid w:val="12D33E0B"/>
    <w:rsid w:val="12D54C79"/>
    <w:rsid w:val="14F263C7"/>
    <w:rsid w:val="15DC756D"/>
    <w:rsid w:val="15F10A53"/>
    <w:rsid w:val="16095EAA"/>
    <w:rsid w:val="162A080D"/>
    <w:rsid w:val="173C2830"/>
    <w:rsid w:val="178459EA"/>
    <w:rsid w:val="17CF0D3C"/>
    <w:rsid w:val="188D573F"/>
    <w:rsid w:val="18914036"/>
    <w:rsid w:val="18F90638"/>
    <w:rsid w:val="19102765"/>
    <w:rsid w:val="19C330B9"/>
    <w:rsid w:val="1A272513"/>
    <w:rsid w:val="1AAD11D0"/>
    <w:rsid w:val="1ADB5109"/>
    <w:rsid w:val="1B3F3055"/>
    <w:rsid w:val="1B844F66"/>
    <w:rsid w:val="1BE321F6"/>
    <w:rsid w:val="1BF03DAB"/>
    <w:rsid w:val="1BF53DB5"/>
    <w:rsid w:val="1C276350"/>
    <w:rsid w:val="1CDF60F9"/>
    <w:rsid w:val="1CE90329"/>
    <w:rsid w:val="1D230CC8"/>
    <w:rsid w:val="1E0E4CB5"/>
    <w:rsid w:val="1E717E4D"/>
    <w:rsid w:val="1F1B140E"/>
    <w:rsid w:val="1F9D7EF4"/>
    <w:rsid w:val="1FAD11D5"/>
    <w:rsid w:val="1FAE75EA"/>
    <w:rsid w:val="1FB21F80"/>
    <w:rsid w:val="1FB35D4F"/>
    <w:rsid w:val="1FEF572F"/>
    <w:rsid w:val="204C0795"/>
    <w:rsid w:val="20664E3A"/>
    <w:rsid w:val="20E62929"/>
    <w:rsid w:val="20F4278E"/>
    <w:rsid w:val="21270E3B"/>
    <w:rsid w:val="217E2814"/>
    <w:rsid w:val="21825BCE"/>
    <w:rsid w:val="2184595E"/>
    <w:rsid w:val="2196143C"/>
    <w:rsid w:val="220A4F69"/>
    <w:rsid w:val="226876E2"/>
    <w:rsid w:val="23CF4A8E"/>
    <w:rsid w:val="23E151CD"/>
    <w:rsid w:val="23E8383B"/>
    <w:rsid w:val="24335784"/>
    <w:rsid w:val="24817D77"/>
    <w:rsid w:val="24FF66F2"/>
    <w:rsid w:val="25077F8F"/>
    <w:rsid w:val="259913DE"/>
    <w:rsid w:val="268C6D96"/>
    <w:rsid w:val="268F5134"/>
    <w:rsid w:val="26941400"/>
    <w:rsid w:val="27173A01"/>
    <w:rsid w:val="273A2BF6"/>
    <w:rsid w:val="2772631F"/>
    <w:rsid w:val="27976AE8"/>
    <w:rsid w:val="27B92F72"/>
    <w:rsid w:val="27CA5330"/>
    <w:rsid w:val="288B1D33"/>
    <w:rsid w:val="28F35DA2"/>
    <w:rsid w:val="29B87038"/>
    <w:rsid w:val="29D3170D"/>
    <w:rsid w:val="2A0D6FC2"/>
    <w:rsid w:val="2A3F754E"/>
    <w:rsid w:val="2A58590D"/>
    <w:rsid w:val="2A875671"/>
    <w:rsid w:val="2AED1DB8"/>
    <w:rsid w:val="2BE96EEA"/>
    <w:rsid w:val="2C2F6966"/>
    <w:rsid w:val="2C6C1E73"/>
    <w:rsid w:val="2DAFDD9E"/>
    <w:rsid w:val="2DF3423B"/>
    <w:rsid w:val="2E624BD8"/>
    <w:rsid w:val="2F420646"/>
    <w:rsid w:val="2F596435"/>
    <w:rsid w:val="2FBD0F6D"/>
    <w:rsid w:val="302C2C6A"/>
    <w:rsid w:val="31586912"/>
    <w:rsid w:val="31C71D77"/>
    <w:rsid w:val="324937EC"/>
    <w:rsid w:val="32E82C41"/>
    <w:rsid w:val="334D2125"/>
    <w:rsid w:val="337260B9"/>
    <w:rsid w:val="33AE4BF0"/>
    <w:rsid w:val="33ED56FB"/>
    <w:rsid w:val="344931B9"/>
    <w:rsid w:val="349E1E83"/>
    <w:rsid w:val="34DF106C"/>
    <w:rsid w:val="35342086"/>
    <w:rsid w:val="35971DB5"/>
    <w:rsid w:val="35C30625"/>
    <w:rsid w:val="35EE3785"/>
    <w:rsid w:val="362F5D11"/>
    <w:rsid w:val="376A0976"/>
    <w:rsid w:val="37867BBC"/>
    <w:rsid w:val="37C83F47"/>
    <w:rsid w:val="39194A6B"/>
    <w:rsid w:val="39412E6E"/>
    <w:rsid w:val="398C4BD6"/>
    <w:rsid w:val="39D50B25"/>
    <w:rsid w:val="39E17654"/>
    <w:rsid w:val="3ACF0E9B"/>
    <w:rsid w:val="3B08044E"/>
    <w:rsid w:val="3B19771B"/>
    <w:rsid w:val="3C1C5965"/>
    <w:rsid w:val="3C460F61"/>
    <w:rsid w:val="3D1B57FE"/>
    <w:rsid w:val="3DAE4CDD"/>
    <w:rsid w:val="3DBB6E92"/>
    <w:rsid w:val="3DDDB6DB"/>
    <w:rsid w:val="3E05404B"/>
    <w:rsid w:val="3E727ED5"/>
    <w:rsid w:val="3E8F1FCC"/>
    <w:rsid w:val="3EA12336"/>
    <w:rsid w:val="3ED10927"/>
    <w:rsid w:val="3EFE0693"/>
    <w:rsid w:val="3F1E34D2"/>
    <w:rsid w:val="3F2664D8"/>
    <w:rsid w:val="3FA926D5"/>
    <w:rsid w:val="402B63DE"/>
    <w:rsid w:val="405701E5"/>
    <w:rsid w:val="4068122B"/>
    <w:rsid w:val="41290C9B"/>
    <w:rsid w:val="41414041"/>
    <w:rsid w:val="415A38CC"/>
    <w:rsid w:val="41694ECF"/>
    <w:rsid w:val="41BE7ED8"/>
    <w:rsid w:val="41FB509F"/>
    <w:rsid w:val="42466E27"/>
    <w:rsid w:val="42DE62C5"/>
    <w:rsid w:val="43142D05"/>
    <w:rsid w:val="436177B7"/>
    <w:rsid w:val="443B3406"/>
    <w:rsid w:val="451F1F80"/>
    <w:rsid w:val="456559EC"/>
    <w:rsid w:val="4669535C"/>
    <w:rsid w:val="466C6E67"/>
    <w:rsid w:val="47DF1C18"/>
    <w:rsid w:val="480A67B6"/>
    <w:rsid w:val="482B6B71"/>
    <w:rsid w:val="49DE50AA"/>
    <w:rsid w:val="4A217D89"/>
    <w:rsid w:val="4A400CBB"/>
    <w:rsid w:val="4A5B150F"/>
    <w:rsid w:val="4ADD47C7"/>
    <w:rsid w:val="4B927E54"/>
    <w:rsid w:val="4C0E7541"/>
    <w:rsid w:val="4C136D4E"/>
    <w:rsid w:val="4D906A5D"/>
    <w:rsid w:val="4E533F6E"/>
    <w:rsid w:val="4EA65CF6"/>
    <w:rsid w:val="4EF725E3"/>
    <w:rsid w:val="4FAC0D3A"/>
    <w:rsid w:val="507752D3"/>
    <w:rsid w:val="508D6825"/>
    <w:rsid w:val="509A5FF6"/>
    <w:rsid w:val="50DF5539"/>
    <w:rsid w:val="51FF6591"/>
    <w:rsid w:val="525433B7"/>
    <w:rsid w:val="53716BC7"/>
    <w:rsid w:val="55834B4E"/>
    <w:rsid w:val="55AF2A2D"/>
    <w:rsid w:val="55F72E9E"/>
    <w:rsid w:val="565160D8"/>
    <w:rsid w:val="566D31BC"/>
    <w:rsid w:val="56C27C2A"/>
    <w:rsid w:val="56F1421E"/>
    <w:rsid w:val="571D4053"/>
    <w:rsid w:val="57FE3C60"/>
    <w:rsid w:val="5818188A"/>
    <w:rsid w:val="58462E07"/>
    <w:rsid w:val="58C5210E"/>
    <w:rsid w:val="58E34E42"/>
    <w:rsid w:val="58FA4F48"/>
    <w:rsid w:val="59615E1F"/>
    <w:rsid w:val="5A874FFF"/>
    <w:rsid w:val="5AE201C4"/>
    <w:rsid w:val="5B9906A3"/>
    <w:rsid w:val="5C0C7000"/>
    <w:rsid w:val="5C3A30D8"/>
    <w:rsid w:val="5C486959"/>
    <w:rsid w:val="5C4913DD"/>
    <w:rsid w:val="5C4D0ADB"/>
    <w:rsid w:val="5C97125A"/>
    <w:rsid w:val="5CFA1F10"/>
    <w:rsid w:val="5D1D3D31"/>
    <w:rsid w:val="5D3A492B"/>
    <w:rsid w:val="5D97453E"/>
    <w:rsid w:val="5DBD34A7"/>
    <w:rsid w:val="5DF7250F"/>
    <w:rsid w:val="5E113DF5"/>
    <w:rsid w:val="5E2E19DF"/>
    <w:rsid w:val="5E4B0625"/>
    <w:rsid w:val="5EA730F0"/>
    <w:rsid w:val="5EC75B87"/>
    <w:rsid w:val="5F0C7034"/>
    <w:rsid w:val="5F7F25CE"/>
    <w:rsid w:val="60252C36"/>
    <w:rsid w:val="609E4BF2"/>
    <w:rsid w:val="61070203"/>
    <w:rsid w:val="61D402F2"/>
    <w:rsid w:val="621067D7"/>
    <w:rsid w:val="62A37A67"/>
    <w:rsid w:val="62B649F6"/>
    <w:rsid w:val="62F227F8"/>
    <w:rsid w:val="646E5744"/>
    <w:rsid w:val="6480631B"/>
    <w:rsid w:val="64BF5159"/>
    <w:rsid w:val="64F36F8B"/>
    <w:rsid w:val="6560758E"/>
    <w:rsid w:val="65977C1D"/>
    <w:rsid w:val="66413188"/>
    <w:rsid w:val="66675D06"/>
    <w:rsid w:val="66923FF4"/>
    <w:rsid w:val="6692748D"/>
    <w:rsid w:val="672047E0"/>
    <w:rsid w:val="67EE4A07"/>
    <w:rsid w:val="67FC00B8"/>
    <w:rsid w:val="684E3481"/>
    <w:rsid w:val="68777868"/>
    <w:rsid w:val="68B340CF"/>
    <w:rsid w:val="697E6327"/>
    <w:rsid w:val="698B3637"/>
    <w:rsid w:val="69A96F76"/>
    <w:rsid w:val="69EE6B03"/>
    <w:rsid w:val="6A294847"/>
    <w:rsid w:val="6A645EF4"/>
    <w:rsid w:val="6AE74257"/>
    <w:rsid w:val="6B444E58"/>
    <w:rsid w:val="6BA15E78"/>
    <w:rsid w:val="6BB868FC"/>
    <w:rsid w:val="6C121A5B"/>
    <w:rsid w:val="6C564073"/>
    <w:rsid w:val="6CB37EC8"/>
    <w:rsid w:val="6DA01611"/>
    <w:rsid w:val="6DAE1F9A"/>
    <w:rsid w:val="6E394489"/>
    <w:rsid w:val="6E496153"/>
    <w:rsid w:val="6EA25BFF"/>
    <w:rsid w:val="6ED275A1"/>
    <w:rsid w:val="6EE32995"/>
    <w:rsid w:val="6F4B05C2"/>
    <w:rsid w:val="6F514520"/>
    <w:rsid w:val="6FE86842"/>
    <w:rsid w:val="70F5413A"/>
    <w:rsid w:val="714A315F"/>
    <w:rsid w:val="720133AE"/>
    <w:rsid w:val="723C6AB8"/>
    <w:rsid w:val="72AC440A"/>
    <w:rsid w:val="73AE10B4"/>
    <w:rsid w:val="74AF063C"/>
    <w:rsid w:val="75211541"/>
    <w:rsid w:val="755B3785"/>
    <w:rsid w:val="7592235E"/>
    <w:rsid w:val="75D81465"/>
    <w:rsid w:val="7661101A"/>
    <w:rsid w:val="76CB1FD3"/>
    <w:rsid w:val="77091C79"/>
    <w:rsid w:val="77DC5862"/>
    <w:rsid w:val="77EC0B70"/>
    <w:rsid w:val="78302731"/>
    <w:rsid w:val="789B36BF"/>
    <w:rsid w:val="78EC2FB3"/>
    <w:rsid w:val="79512B69"/>
    <w:rsid w:val="7A2D6D5B"/>
    <w:rsid w:val="7A486189"/>
    <w:rsid w:val="7BA42A55"/>
    <w:rsid w:val="7C184936"/>
    <w:rsid w:val="7C264CF7"/>
    <w:rsid w:val="7C386441"/>
    <w:rsid w:val="7C655CAD"/>
    <w:rsid w:val="7D083A12"/>
    <w:rsid w:val="7E193587"/>
    <w:rsid w:val="7E29215A"/>
    <w:rsid w:val="7E847F4C"/>
    <w:rsid w:val="7EDC55BF"/>
    <w:rsid w:val="7EEB2F6F"/>
    <w:rsid w:val="7F0C380F"/>
    <w:rsid w:val="B7C7E30F"/>
    <w:rsid w:val="D9DFDAC0"/>
    <w:rsid w:val="F8F7F85E"/>
    <w:rsid w:val="FFEBCC3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4">
    <w:name w:val="heading 2"/>
    <w:basedOn w:val="1"/>
    <w:next w:val="1"/>
    <w:unhideWhenUsed/>
    <w:qFormat/>
    <w:uiPriority w:val="0"/>
    <w:pPr>
      <w:keepNext/>
      <w:keepLines/>
      <w:spacing w:beforeLines="0" w:beforeAutospacing="0" w:afterLines="0" w:afterAutospacing="0" w:line="560" w:lineRule="exact"/>
      <w:ind w:firstLine="880" w:firstLineChars="200"/>
      <w:outlineLvl w:val="1"/>
    </w:pPr>
    <w:rPr>
      <w:rFonts w:ascii="Arial" w:hAnsi="Arial" w:eastAsia="黑体"/>
      <w:sz w:val="32"/>
    </w:rPr>
  </w:style>
  <w:style w:type="paragraph" w:styleId="5">
    <w:name w:val="heading 3"/>
    <w:basedOn w:val="1"/>
    <w:next w:val="1"/>
    <w:link w:val="27"/>
    <w:qFormat/>
    <w:uiPriority w:val="9"/>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spacing w:after="0"/>
      <w:ind w:firstLine="420" w:firstLineChars="100"/>
    </w:pPr>
  </w:style>
  <w:style w:type="paragraph" w:styleId="3">
    <w:name w:val="Body Text"/>
    <w:basedOn w:val="1"/>
    <w:next w:val="1"/>
    <w:qFormat/>
    <w:uiPriority w:val="0"/>
    <w:pPr>
      <w:ind w:left="325"/>
      <w:jc w:val="left"/>
    </w:pPr>
    <w:rPr>
      <w:rFonts w:ascii="宋体" w:hAnsi="宋体"/>
      <w:kern w:val="0"/>
      <w:sz w:val="31"/>
      <w:szCs w:val="31"/>
      <w:lang w:eastAsia="en-US"/>
    </w:rPr>
  </w:style>
  <w:style w:type="paragraph" w:styleId="6">
    <w:name w:val="Normal Indent"/>
    <w:basedOn w:val="1"/>
    <w:next w:val="1"/>
    <w:unhideWhenUsed/>
    <w:qFormat/>
    <w:uiPriority w:val="99"/>
    <w:pPr>
      <w:ind w:firstLine="420" w:firstLineChars="200"/>
    </w:pPr>
    <w:rPr>
      <w:rFonts w:hint="eastAsia" w:cs="Times New Roman"/>
    </w:rPr>
  </w:style>
  <w:style w:type="paragraph" w:styleId="7">
    <w:name w:val="Body Text Indent"/>
    <w:basedOn w:val="1"/>
    <w:next w:val="6"/>
    <w:qFormat/>
    <w:uiPriority w:val="0"/>
    <w:pPr>
      <w:adjustRightInd w:val="0"/>
      <w:snapToGrid w:val="0"/>
      <w:spacing w:line="348" w:lineRule="auto"/>
      <w:ind w:firstLine="640" w:firstLineChars="200"/>
      <w:textAlignment w:val="bottom"/>
    </w:pPr>
    <w:rPr>
      <w:rFonts w:ascii="仿宋_GB2312" w:eastAsia="仿宋_GB2312"/>
      <w:kern w:val="0"/>
      <w:sz w:val="32"/>
      <w:szCs w:val="32"/>
    </w:rPr>
  </w:style>
  <w:style w:type="paragraph" w:styleId="8">
    <w:name w:val="footer"/>
    <w:basedOn w:val="1"/>
    <w:qFormat/>
    <w:uiPriority w:val="0"/>
    <w:pPr>
      <w:pBdr>
        <w:top w:val="none" w:color="auto" w:sz="0" w:space="0"/>
      </w:pBd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Subtitle"/>
    <w:basedOn w:val="1"/>
    <w:next w:val="1"/>
    <w:qFormat/>
    <w:uiPriority w:val="0"/>
    <w:pPr>
      <w:widowControl/>
      <w:wordWrap w:val="0"/>
      <w:spacing w:before="0" w:after="60" w:line="240" w:lineRule="auto"/>
      <w:ind w:left="0" w:firstLine="0"/>
      <w:jc w:val="center"/>
    </w:pPr>
    <w:rPr>
      <w:rFonts w:ascii="Times New Roman" w:hAnsi="Times New Roman" w:eastAsia="宋体" w:cs="Times New Roman"/>
      <w:sz w:val="24"/>
    </w:rPr>
  </w:style>
  <w:style w:type="paragraph" w:styleId="11">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2">
    <w:name w:val="Title"/>
    <w:basedOn w:val="1"/>
    <w:next w:val="1"/>
    <w:qFormat/>
    <w:uiPriority w:val="0"/>
    <w:pPr>
      <w:widowControl/>
      <w:adjustRightInd/>
      <w:snapToGrid/>
      <w:spacing w:before="240" w:after="60" w:line="240" w:lineRule="auto"/>
      <w:jc w:val="center"/>
      <w:outlineLvl w:val="0"/>
    </w:pPr>
    <w:rPr>
      <w:rFonts w:ascii="Cambria" w:hAnsi="Cambria" w:eastAsia="宋体" w:cs="Times New Roman"/>
      <w:b/>
      <w:bCs/>
      <w:kern w:val="28"/>
      <w:szCs w:val="32"/>
      <w:lang w:eastAsia="en-US"/>
    </w:rPr>
  </w:style>
  <w:style w:type="paragraph" w:styleId="13">
    <w:name w:val="Body Text First Indent 2"/>
    <w:basedOn w:val="7"/>
    <w:next w:val="1"/>
    <w:qFormat/>
    <w:uiPriority w:val="0"/>
    <w:pPr>
      <w:ind w:firstLine="420" w:firstLineChars="200"/>
    </w:pPr>
  </w:style>
  <w:style w:type="table" w:styleId="15">
    <w:name w:val="Table Grid"/>
    <w:basedOn w:val="1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paragraph" w:customStyle="1" w:styleId="18">
    <w:name w:val="Default"/>
    <w:next w:val="10"/>
    <w:qFormat/>
    <w:uiPriority w:val="0"/>
    <w:pPr>
      <w:widowControl w:val="0"/>
      <w:autoSpaceDE w:val="0"/>
      <w:autoSpaceDN w:val="0"/>
      <w:adjustRightInd w:val="0"/>
    </w:pPr>
    <w:rPr>
      <w:rFonts w:hint="eastAsia" w:ascii="仿宋_GB2312" w:hAnsi="Calibri" w:eastAsia="仿宋_GB2312" w:cs="Times New Roman"/>
      <w:color w:val="000000"/>
      <w:sz w:val="24"/>
      <w:szCs w:val="22"/>
      <w:lang w:val="en-US" w:eastAsia="zh-CN" w:bidi="ar-SA"/>
    </w:rPr>
  </w:style>
  <w:style w:type="character" w:customStyle="1" w:styleId="19">
    <w:name w:val="NormalCharacter"/>
    <w:semiHidden/>
    <w:qFormat/>
    <w:uiPriority w:val="0"/>
  </w:style>
  <w:style w:type="paragraph" w:customStyle="1" w:styleId="20">
    <w:name w:val="BodyText1I2"/>
    <w:basedOn w:val="21"/>
    <w:qFormat/>
    <w:uiPriority w:val="0"/>
    <w:pPr>
      <w:spacing w:after="120"/>
      <w:ind w:left="420" w:leftChars="200" w:firstLine="420" w:firstLineChars="200"/>
      <w:jc w:val="both"/>
      <w:textAlignment w:val="baseline"/>
    </w:pPr>
  </w:style>
  <w:style w:type="paragraph" w:customStyle="1" w:styleId="21">
    <w:name w:val="BodyTextIndent"/>
    <w:basedOn w:val="1"/>
    <w:next w:val="22"/>
    <w:qFormat/>
    <w:uiPriority w:val="0"/>
    <w:pPr>
      <w:spacing w:after="120"/>
      <w:ind w:left="420" w:leftChars="200"/>
      <w:jc w:val="both"/>
      <w:textAlignment w:val="baseline"/>
    </w:pPr>
  </w:style>
  <w:style w:type="paragraph" w:customStyle="1" w:styleId="22">
    <w:name w:val="NormalIndent"/>
    <w:basedOn w:val="1"/>
    <w:qFormat/>
    <w:uiPriority w:val="0"/>
    <w:pPr>
      <w:ind w:firstLine="420" w:firstLineChars="200"/>
      <w:jc w:val="both"/>
      <w:textAlignment w:val="baseline"/>
    </w:pPr>
    <w:rPr>
      <w:rFonts w:ascii="Calibri" w:hAnsi="Calibri" w:eastAsia="仿宋"/>
      <w:kern w:val="2"/>
      <w:sz w:val="32"/>
      <w:lang w:val="en-US" w:eastAsia="zh-CN"/>
    </w:rPr>
  </w:style>
  <w:style w:type="paragraph" w:customStyle="1" w:styleId="23">
    <w:name w:val="Heading 1"/>
    <w:basedOn w:val="1"/>
    <w:qFormat/>
    <w:uiPriority w:val="1"/>
    <w:pPr>
      <w:spacing w:before="38"/>
      <w:ind w:right="762"/>
      <w:jc w:val="center"/>
      <w:outlineLvl w:val="1"/>
    </w:pPr>
    <w:rPr>
      <w:rFonts w:ascii="宋体" w:hAnsi="宋体" w:eastAsia="宋体" w:cs="宋体"/>
      <w:sz w:val="44"/>
      <w:szCs w:val="44"/>
      <w:lang w:val="en-US" w:eastAsia="zh-CN" w:bidi="ar-SA"/>
    </w:rPr>
  </w:style>
  <w:style w:type="paragraph" w:customStyle="1" w:styleId="24">
    <w:name w:val="List Paragraph"/>
    <w:basedOn w:val="1"/>
    <w:qFormat/>
    <w:uiPriority w:val="1"/>
    <w:pPr>
      <w:spacing w:before="184"/>
      <w:ind w:left="131" w:firstLine="639"/>
    </w:pPr>
    <w:rPr>
      <w:rFonts w:ascii="宋体" w:hAnsi="宋体" w:eastAsia="宋体" w:cs="宋体"/>
      <w:lang w:val="en-US" w:eastAsia="zh-CN" w:bidi="ar-SA"/>
    </w:rPr>
  </w:style>
  <w:style w:type="paragraph" w:customStyle="1" w:styleId="25">
    <w:name w:val="Table Paragraph"/>
    <w:basedOn w:val="1"/>
    <w:qFormat/>
    <w:uiPriority w:val="1"/>
    <w:pPr>
      <w:spacing w:before="110"/>
      <w:jc w:val="center"/>
    </w:pPr>
    <w:rPr>
      <w:rFonts w:ascii="宋体" w:hAnsi="宋体" w:eastAsia="宋体" w:cs="宋体"/>
      <w:lang w:val="en-US" w:eastAsia="zh-CN" w:bidi="ar-SA"/>
    </w:rPr>
  </w:style>
  <w:style w:type="paragraph" w:customStyle="1" w:styleId="26">
    <w:name w:val="4 正文 仿宋2312"/>
    <w:basedOn w:val="1"/>
    <w:qFormat/>
    <w:uiPriority w:val="0"/>
    <w:pPr>
      <w:widowControl w:val="0"/>
      <w:spacing w:line="600" w:lineRule="exact"/>
      <w:ind w:firstLine="640" w:firstLineChars="200"/>
      <w:jc w:val="both"/>
    </w:pPr>
    <w:rPr>
      <w:rFonts w:hint="eastAsia" w:ascii="Times New Roman" w:hAnsi="Times New Roman" w:eastAsia="仿宋_GB2312" w:cs="Times New Roman"/>
      <w:sz w:val="32"/>
      <w:szCs w:val="40"/>
    </w:rPr>
  </w:style>
  <w:style w:type="character" w:customStyle="1" w:styleId="27">
    <w:name w:val="标题 3 Char"/>
    <w:link w:val="5"/>
    <w:qFormat/>
    <w:uiPriority w:val="0"/>
    <w:rPr>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4191</Words>
  <Characters>4216</Characters>
  <Lines>0</Lines>
  <Paragraphs>0</Paragraphs>
  <TotalTime>5</TotalTime>
  <ScaleCrop>false</ScaleCrop>
  <LinksUpToDate>false</LinksUpToDate>
  <CharactersWithSpaces>4356</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2021-08-27T03:08:00Z</dcterms:created>
  <dc:creator>阳啊阳</dc:creator>
  <cp:lastModifiedBy>admin1</cp:lastModifiedBy>
  <cp:lastPrinted>2025-05-27T10:58:00Z</cp:lastPrinted>
  <dcterms:modified xsi:type="dcterms:W3CDTF">2025-12-31T09:45:19Z</dcterms:modified>
  <dc:title>洛阳市偃师区人民政府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C7BCAD533D1C4109BF4823F342797B83</vt:lpwstr>
  </property>
</Properties>
</file>