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592" w:lineRule="exact"/>
        <w:ind w:right="0" w:rightChars="0"/>
        <w:jc w:val="both"/>
        <w:textAlignment w:val="auto"/>
        <w:rPr>
          <w:rFonts w:hint="eastAsia" w:ascii="Times New Roman" w:hAnsi="Times New Roman" w:eastAsia="仿宋_GB2312" w:cs="仿宋_GB2312"/>
          <w:b w:val="0"/>
          <w:bCs w:val="0"/>
          <w:snapToGrid w:val="0"/>
          <w:color w:val="000000"/>
          <w:w w:val="100"/>
          <w:kern w:val="0"/>
          <w:sz w:val="32"/>
          <w:szCs w:val="44"/>
          <w:shd w:val="clear" w:color="auto" w:fill="auto"/>
          <w:lang w:eastAsia="zh-CN"/>
        </w:rPr>
      </w:pP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440" w:lineRule="exact"/>
        <w:ind w:right="0" w:rightChars="0"/>
        <w:jc w:val="both"/>
        <w:textAlignment w:val="auto"/>
        <w:rPr>
          <w:rFonts w:hint="eastAsia" w:ascii="Times New Roman" w:hAnsi="Times New Roman" w:eastAsia="仿宋_GB2312" w:cs="仿宋_GB2312"/>
          <w:b w:val="0"/>
          <w:bCs w:val="0"/>
          <w:snapToGrid w:val="0"/>
          <w:color w:val="000000"/>
          <w:w w:val="100"/>
          <w:kern w:val="0"/>
          <w:sz w:val="32"/>
          <w:szCs w:val="44"/>
          <w:shd w:val="clear" w:color="auto" w:fill="auto"/>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620" w:lineRule="exact"/>
        <w:ind w:left="0" w:leftChars="0" w:right="0" w:rightChars="0" w:firstLine="0" w:firstLineChars="0"/>
        <w:jc w:val="center"/>
        <w:textAlignment w:val="auto"/>
        <w:rPr>
          <w:rFonts w:hint="eastAsia" w:ascii="方正小标宋简体" w:hAnsi="方正小标宋简体" w:eastAsia="方正小标宋简体" w:cs="方正小标宋简体"/>
          <w:bCs/>
          <w:snapToGrid w:val="0"/>
          <w:color w:val="000000"/>
          <w:spacing w:val="0"/>
          <w:w w:val="100"/>
          <w:kern w:val="0"/>
          <w:sz w:val="44"/>
          <w:szCs w:val="44"/>
          <w:lang w:eastAsia="zh-CN"/>
        </w:rPr>
      </w:pPr>
      <w:bookmarkStart w:id="0" w:name="_GoBack"/>
      <w:bookmarkEnd w:id="0"/>
      <w:r>
        <w:rPr>
          <w:rFonts w:hint="eastAsia" w:ascii="方正小标宋简体" w:hAnsi="方正小标宋简体" w:eastAsia="方正小标宋简体" w:cs="方正小标宋简体"/>
          <w:bCs/>
          <w:snapToGrid w:val="0"/>
          <w:color w:val="000000"/>
          <w:spacing w:val="0"/>
          <w:w w:val="100"/>
          <w:kern w:val="0"/>
          <w:sz w:val="44"/>
          <w:szCs w:val="44"/>
        </w:rPr>
        <w:t>洛阳市偃师区人民政府办公室</w:t>
      </w:r>
    </w:p>
    <w:p>
      <w:pPr>
        <w:keepNext w:val="0"/>
        <w:keepLines w:val="0"/>
        <w:pageBreakBefore w:val="0"/>
        <w:widowControl w:val="0"/>
        <w:kinsoku/>
        <w:wordWrap/>
        <w:overflowPunct/>
        <w:topLinePunct w:val="0"/>
        <w:autoSpaceDE/>
        <w:autoSpaceDN/>
        <w:bidi w:val="0"/>
        <w:adjustRightInd w:val="0"/>
        <w:snapToGrid w:val="0"/>
        <w:spacing w:beforeAutospacing="0" w:afterAutospacing="0" w:line="620" w:lineRule="exact"/>
        <w:ind w:left="0" w:leftChars="0" w:right="0" w:rightChars="0" w:firstLine="0" w:firstLineChars="0"/>
        <w:jc w:val="center"/>
        <w:textAlignment w:val="auto"/>
        <w:rPr>
          <w:rFonts w:hint="eastAsia" w:ascii="方正小标宋简体" w:hAnsi="方正小标宋简体" w:eastAsia="方正小标宋简体" w:cs="方正小标宋简体"/>
          <w:bCs/>
          <w:snapToGrid w:val="0"/>
          <w:color w:val="000000"/>
          <w:spacing w:val="0"/>
          <w:w w:val="100"/>
          <w:kern w:val="0"/>
          <w:sz w:val="44"/>
          <w:szCs w:val="44"/>
        </w:rPr>
      </w:pPr>
      <w:r>
        <w:rPr>
          <w:rFonts w:hint="eastAsia" w:ascii="方正小标宋简体" w:hAnsi="方正小标宋简体" w:eastAsia="方正小标宋简体" w:cs="方正小标宋简体"/>
          <w:bCs/>
          <w:snapToGrid w:val="0"/>
          <w:color w:val="000000"/>
          <w:spacing w:val="0"/>
          <w:w w:val="100"/>
          <w:kern w:val="0"/>
          <w:sz w:val="44"/>
          <w:szCs w:val="44"/>
        </w:rPr>
        <w:t>关于印发</w:t>
      </w:r>
      <w:r>
        <w:rPr>
          <w:rFonts w:hint="eastAsia" w:ascii="方正小标宋简体" w:hAnsi="方正小标宋简体" w:eastAsia="方正小标宋简体" w:cs="方正小标宋简体"/>
          <w:snapToGrid w:val="0"/>
          <w:color w:val="000000"/>
          <w:spacing w:val="0"/>
          <w:w w:val="100"/>
          <w:kern w:val="0"/>
          <w:sz w:val="44"/>
          <w:szCs w:val="44"/>
          <w:lang w:val="en-US" w:eastAsia="zh-CN"/>
        </w:rPr>
        <w:t>洛阳市偃师区全面推进地方政府专职消防队伍建设发展实施方案的</w:t>
      </w:r>
      <w:r>
        <w:rPr>
          <w:rFonts w:hint="eastAsia" w:ascii="方正小标宋简体" w:hAnsi="方正小标宋简体" w:eastAsia="方正小标宋简体" w:cs="方正小标宋简体"/>
          <w:bCs/>
          <w:snapToGrid w:val="0"/>
          <w:color w:val="000000"/>
          <w:spacing w:val="0"/>
          <w:w w:val="100"/>
          <w:kern w:val="0"/>
          <w:sz w:val="44"/>
          <w:szCs w:val="44"/>
        </w:rPr>
        <w:t>通知</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val="0"/>
        <w:snapToGrid w:val="0"/>
        <w:spacing w:before="0" w:after="0" w:line="502" w:lineRule="exact"/>
        <w:ind w:left="0" w:leftChars="0" w:right="0" w:rightChars="0" w:firstLine="0" w:firstLineChars="0"/>
        <w:jc w:val="center"/>
        <w:textAlignment w:val="auto"/>
        <w:outlineLvl w:val="9"/>
        <w:rPr>
          <w:rFonts w:hint="eastAsia" w:ascii="Times New Roman" w:hAnsi="Times New Roman" w:eastAsia="仿宋_GB2312" w:cs="仿宋_GB2312"/>
          <w:b w:val="0"/>
          <w:bCs w:val="0"/>
          <w:snapToGrid w:val="0"/>
          <w:color w:val="000000"/>
          <w:w w:val="100"/>
          <w:kern w:val="0"/>
          <w:sz w:val="32"/>
          <w:szCs w:val="32"/>
          <w:shd w:val="clear" w:color="auto" w:fill="auto"/>
          <w:lang w:val="en-US" w:eastAsia="zh-CN"/>
        </w:rPr>
      </w:pPr>
      <w:r>
        <w:rPr>
          <w:rFonts w:hint="eastAsia" w:ascii="Times New Roman" w:hAnsi="Times New Roman" w:eastAsia="仿宋_GB2312" w:cs="仿宋_GB2312"/>
          <w:b w:val="0"/>
          <w:bCs w:val="0"/>
          <w:snapToGrid w:val="0"/>
          <w:color w:val="000000"/>
          <w:w w:val="100"/>
          <w:kern w:val="0"/>
          <w:sz w:val="32"/>
          <w:szCs w:val="32"/>
          <w:shd w:val="clear" w:color="auto" w:fill="auto"/>
        </w:rPr>
        <w:t>偃政</w:t>
      </w:r>
      <w:r>
        <w:rPr>
          <w:rFonts w:hint="eastAsia" w:ascii="Times New Roman" w:hAnsi="Times New Roman" w:eastAsia="仿宋_GB2312" w:cs="仿宋_GB2312"/>
          <w:b w:val="0"/>
          <w:bCs w:val="0"/>
          <w:snapToGrid w:val="0"/>
          <w:color w:val="000000"/>
          <w:w w:val="100"/>
          <w:kern w:val="0"/>
          <w:sz w:val="32"/>
          <w:szCs w:val="32"/>
          <w:shd w:val="clear" w:color="auto" w:fill="auto"/>
          <w:lang w:val="en-US" w:eastAsia="zh-CN"/>
        </w:rPr>
        <w:t>办</w:t>
      </w:r>
      <w:r>
        <w:rPr>
          <w:rFonts w:hint="eastAsia" w:ascii="Times New Roman" w:hAnsi="Times New Roman" w:eastAsia="仿宋_GB2312" w:cs="仿宋_GB2312"/>
          <w:b w:val="0"/>
          <w:bCs w:val="0"/>
          <w:snapToGrid w:val="0"/>
          <w:color w:val="000000"/>
          <w:w w:val="100"/>
          <w:kern w:val="0"/>
          <w:sz w:val="32"/>
          <w:szCs w:val="32"/>
          <w:shd w:val="clear" w:color="auto" w:fill="auto"/>
        </w:rPr>
        <w:t>〔</w:t>
      </w:r>
      <w:r>
        <w:rPr>
          <w:rFonts w:hint="eastAsia" w:ascii="仿宋_GB2312" w:hAnsi="仿宋_GB2312" w:eastAsia="仿宋_GB2312" w:cs="仿宋_GB2312"/>
          <w:b w:val="0"/>
          <w:bCs w:val="0"/>
          <w:snapToGrid w:val="0"/>
          <w:color w:val="000000"/>
          <w:w w:val="100"/>
          <w:kern w:val="0"/>
          <w:sz w:val="32"/>
          <w:szCs w:val="32"/>
          <w:shd w:val="clear" w:color="auto" w:fill="auto"/>
        </w:rPr>
        <w:t>20</w:t>
      </w:r>
      <w:r>
        <w:rPr>
          <w:rFonts w:hint="eastAsia" w:ascii="仿宋_GB2312" w:hAnsi="仿宋_GB2312" w:eastAsia="仿宋_GB2312" w:cs="仿宋_GB2312"/>
          <w:b w:val="0"/>
          <w:bCs w:val="0"/>
          <w:snapToGrid w:val="0"/>
          <w:color w:val="000000"/>
          <w:w w:val="100"/>
          <w:kern w:val="0"/>
          <w:sz w:val="32"/>
          <w:szCs w:val="32"/>
          <w:shd w:val="clear" w:color="auto" w:fill="auto"/>
          <w:lang w:val="en-US" w:eastAsia="zh-CN"/>
        </w:rPr>
        <w:t>2</w:t>
      </w:r>
      <w:r>
        <w:rPr>
          <w:rFonts w:hint="default" w:ascii="仿宋_GB2312" w:hAnsi="仿宋_GB2312" w:eastAsia="仿宋_GB2312" w:cs="仿宋_GB2312"/>
          <w:b w:val="0"/>
          <w:bCs w:val="0"/>
          <w:snapToGrid w:val="0"/>
          <w:color w:val="000000"/>
          <w:w w:val="100"/>
          <w:kern w:val="0"/>
          <w:sz w:val="32"/>
          <w:szCs w:val="32"/>
          <w:shd w:val="clear" w:color="auto" w:fill="auto"/>
          <w:lang w:val="en-US" w:eastAsia="zh-CN"/>
        </w:rPr>
        <w:t>5</w:t>
      </w:r>
      <w:r>
        <w:rPr>
          <w:rFonts w:hint="eastAsia" w:ascii="Times New Roman" w:hAnsi="Times New Roman" w:eastAsia="仿宋_GB2312" w:cs="仿宋_GB2312"/>
          <w:b w:val="0"/>
          <w:bCs w:val="0"/>
          <w:snapToGrid w:val="0"/>
          <w:color w:val="000000"/>
          <w:w w:val="100"/>
          <w:kern w:val="0"/>
          <w:sz w:val="32"/>
          <w:szCs w:val="32"/>
          <w:shd w:val="clear" w:color="auto" w:fill="auto"/>
        </w:rPr>
        <w:t>〕</w:t>
      </w:r>
      <w:r>
        <w:rPr>
          <w:rFonts w:hint="default" w:ascii="仿宋_GB2312" w:hAnsi="仿宋_GB2312" w:eastAsia="仿宋_GB2312" w:cs="仿宋_GB2312"/>
          <w:b w:val="0"/>
          <w:bCs w:val="0"/>
          <w:snapToGrid w:val="0"/>
          <w:color w:val="000000"/>
          <w:w w:val="100"/>
          <w:kern w:val="0"/>
          <w:sz w:val="32"/>
          <w:szCs w:val="32"/>
          <w:shd w:val="clear" w:color="auto" w:fill="auto"/>
          <w:lang w:val="en-US" w:eastAsia="zh-CN"/>
        </w:rPr>
        <w:t>12</w:t>
      </w:r>
      <w:r>
        <w:rPr>
          <w:rFonts w:hint="eastAsia" w:ascii="Times New Roman" w:hAnsi="Times New Roman" w:eastAsia="仿宋_GB2312" w:cs="仿宋_GB2312"/>
          <w:b w:val="0"/>
          <w:bCs w:val="0"/>
          <w:snapToGrid w:val="0"/>
          <w:color w:val="000000"/>
          <w:w w:val="100"/>
          <w:kern w:val="0"/>
          <w:sz w:val="32"/>
          <w:szCs w:val="32"/>
          <w:shd w:val="clear" w:color="auto" w:fill="auto"/>
        </w:rPr>
        <w:t>号</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43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pacing w:val="0"/>
          <w:w w:val="100"/>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0" w:firstLineChars="0"/>
        <w:jc w:val="both"/>
        <w:textAlignment w:val="auto"/>
        <w:rPr>
          <w:rFonts w:hint="default" w:ascii="仿宋_GB2312" w:hAnsi="仿宋_GB2312" w:eastAsia="仿宋_GB2312" w:cs="Times New Roman"/>
          <w:snapToGrid w:val="0"/>
          <w:color w:val="000000"/>
          <w:spacing w:val="-10"/>
          <w:w w:val="100"/>
          <w:kern w:val="0"/>
          <w:sz w:val="32"/>
          <w:szCs w:val="32"/>
          <w:u w:val="none" w:color="auto"/>
          <w:lang w:eastAsia="zh-CN" w:bidi="ar"/>
        </w:rPr>
      </w:pPr>
      <w:r>
        <w:rPr>
          <w:rFonts w:hint="default" w:ascii="仿宋_GB2312" w:hAnsi="仿宋_GB2312" w:eastAsia="仿宋_GB2312" w:cs="Times New Roman"/>
          <w:snapToGrid w:val="0"/>
          <w:color w:val="000000"/>
          <w:spacing w:val="-8"/>
          <w:w w:val="100"/>
          <w:kern w:val="0"/>
          <w:sz w:val="32"/>
          <w:szCs w:val="32"/>
          <w:u w:val="none" w:color="auto"/>
          <w:lang w:bidi="ar"/>
        </w:rPr>
        <w:t>各镇人民政府，各街道办事处，区人民政府有关部门，各有关单位</w:t>
      </w:r>
      <w:r>
        <w:rPr>
          <w:rFonts w:hint="default" w:ascii="仿宋_GB2312" w:hAnsi="仿宋_GB2312" w:eastAsia="仿宋_GB2312" w:cs="Times New Roman"/>
          <w:snapToGrid w:val="0"/>
          <w:color w:val="000000"/>
          <w:spacing w:val="-10"/>
          <w:w w:val="100"/>
          <w:kern w:val="0"/>
          <w:sz w:val="32"/>
          <w:szCs w:val="32"/>
          <w:u w:val="none" w:color="auto"/>
          <w:lang w:bidi="ar"/>
        </w:rPr>
        <w:t>：</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32"/>
          <w:u w:val="none" w:color="auto"/>
          <w:lang w:eastAsia="zh-CN" w:bidi="ar"/>
        </w:rPr>
      </w:pPr>
      <w:r>
        <w:rPr>
          <w:rFonts w:hint="default" w:ascii="仿宋_GB2312" w:hAnsi="仿宋_GB2312" w:eastAsia="仿宋_GB2312" w:cs="Times New Roman"/>
          <w:snapToGrid w:val="0"/>
          <w:color w:val="000000"/>
          <w:spacing w:val="0"/>
          <w:w w:val="100"/>
          <w:kern w:val="0"/>
          <w:sz w:val="32"/>
          <w:szCs w:val="32"/>
          <w:u w:val="none" w:color="auto"/>
          <w:lang w:bidi="ar"/>
        </w:rPr>
        <w:t>《</w:t>
      </w:r>
      <w:r>
        <w:rPr>
          <w:rFonts w:hint="default" w:ascii="仿宋_GB2312" w:hAnsi="仿宋_GB2312" w:eastAsia="仿宋_GB2312" w:cs="Times New Roman"/>
          <w:snapToGrid w:val="0"/>
          <w:color w:val="000000"/>
          <w:spacing w:val="0"/>
          <w:w w:val="100"/>
          <w:kern w:val="0"/>
          <w:sz w:val="32"/>
          <w:szCs w:val="32"/>
          <w:u w:val="none" w:color="auto"/>
          <w:lang w:val="en-US" w:eastAsia="zh-CN" w:bidi="ar"/>
        </w:rPr>
        <w:t>洛阳市偃师区全面推进地方政府专职消防队伍建设发展实施方案</w:t>
      </w:r>
      <w:r>
        <w:rPr>
          <w:rFonts w:hint="default" w:ascii="仿宋_GB2312" w:hAnsi="仿宋_GB2312" w:eastAsia="仿宋_GB2312" w:cs="Times New Roman"/>
          <w:snapToGrid w:val="0"/>
          <w:color w:val="000000"/>
          <w:spacing w:val="0"/>
          <w:w w:val="100"/>
          <w:kern w:val="0"/>
          <w:sz w:val="32"/>
          <w:szCs w:val="32"/>
        </w:rPr>
        <w:t>》已经区政府</w:t>
      </w:r>
      <w:r>
        <w:rPr>
          <w:rFonts w:hint="default" w:ascii="仿宋_GB2312" w:hAnsi="仿宋_GB2312" w:eastAsia="仿宋_GB2312" w:cs="Times New Roman"/>
          <w:b w:val="0"/>
          <w:bCs w:val="0"/>
          <w:snapToGrid w:val="0"/>
          <w:color w:val="000000"/>
          <w:spacing w:val="0"/>
          <w:w w:val="100"/>
          <w:kern w:val="0"/>
          <w:sz w:val="32"/>
          <w:szCs w:val="32"/>
          <w:highlight w:val="none"/>
          <w:u w:val="none"/>
          <w:shd w:val="clear" w:color="auto" w:fill="auto"/>
          <w:lang w:eastAsia="zh-CN"/>
        </w:rPr>
        <w:t>第</w:t>
      </w:r>
      <w:r>
        <w:rPr>
          <w:rFonts w:hint="default" w:ascii="仿宋_GB2312" w:hAnsi="仿宋_GB2312" w:eastAsia="仿宋_GB2312" w:cs="Times New Roman"/>
          <w:b w:val="0"/>
          <w:bCs w:val="0"/>
          <w:snapToGrid w:val="0"/>
          <w:color w:val="000000"/>
          <w:spacing w:val="0"/>
          <w:w w:val="100"/>
          <w:kern w:val="0"/>
          <w:sz w:val="32"/>
          <w:szCs w:val="32"/>
          <w:highlight w:val="none"/>
          <w:u w:val="none"/>
          <w:shd w:val="clear" w:color="auto" w:fill="auto"/>
          <w:lang w:val="en-US" w:eastAsia="zh-CN"/>
        </w:rPr>
        <w:t>58</w:t>
      </w:r>
      <w:r>
        <w:rPr>
          <w:rFonts w:hint="default" w:ascii="仿宋_GB2312" w:hAnsi="仿宋_GB2312" w:eastAsia="仿宋_GB2312" w:cs="Times New Roman"/>
          <w:b w:val="0"/>
          <w:bCs w:val="0"/>
          <w:snapToGrid w:val="0"/>
          <w:color w:val="000000"/>
          <w:spacing w:val="0"/>
          <w:w w:val="100"/>
          <w:kern w:val="0"/>
          <w:sz w:val="32"/>
          <w:szCs w:val="32"/>
          <w:highlight w:val="none"/>
          <w:u w:val="none"/>
          <w:shd w:val="clear" w:color="auto" w:fill="auto"/>
          <w:lang w:eastAsia="zh-CN"/>
        </w:rPr>
        <w:t>次常务会议研究同意</w:t>
      </w:r>
      <w:r>
        <w:rPr>
          <w:rFonts w:hint="default" w:ascii="仿宋_GB2312" w:hAnsi="仿宋_GB2312" w:eastAsia="仿宋_GB2312" w:cs="Times New Roman"/>
          <w:snapToGrid w:val="0"/>
          <w:color w:val="000000"/>
          <w:spacing w:val="0"/>
          <w:w w:val="100"/>
          <w:kern w:val="0"/>
          <w:sz w:val="32"/>
          <w:szCs w:val="32"/>
          <w:u w:val="none" w:color="auto"/>
          <w:lang w:bidi="ar"/>
        </w:rPr>
        <w:t>，现印发给你们，请结合实际，认真贯彻落实。</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32"/>
          <w:lang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szCs w:val="32"/>
          <w:lang w:eastAsia="zh-CN"/>
        </w:rPr>
      </w:pPr>
    </w:p>
    <w:p>
      <w:pPr>
        <w:pStyle w:val="5"/>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000000"/>
          <w:spacing w:val="0"/>
          <w:w w:val="100"/>
          <w:kern w:val="0"/>
          <w:sz w:val="32"/>
          <w:lang w:eastAsia="zh-CN"/>
        </w:rPr>
      </w:pPr>
    </w:p>
    <w:p>
      <w:pPr>
        <w:keepNext w:val="0"/>
        <w:keepLines w:val="0"/>
        <w:pageBreakBefore w:val="0"/>
        <w:widowControl w:val="0"/>
        <w:kinsoku/>
        <w:wordWrap w:val="0"/>
        <w:overflowPunct/>
        <w:topLinePunct w:val="0"/>
        <w:autoSpaceDE/>
        <w:autoSpaceDN/>
        <w:bidi w:val="0"/>
        <w:adjustRightInd w:val="0"/>
        <w:snapToGrid w:val="0"/>
        <w:spacing w:beforeAutospacing="0" w:afterAutospacing="0" w:line="592" w:lineRule="exact"/>
        <w:ind w:left="0" w:leftChars="0" w:right="0" w:rightChars="0" w:firstLine="640" w:firstLineChars="200"/>
        <w:jc w:val="right"/>
        <w:textAlignment w:val="auto"/>
        <w:rPr>
          <w:rFonts w:hint="default" w:ascii="仿宋_GB2312" w:hAnsi="仿宋_GB2312" w:eastAsia="仿宋_GB2312" w:cs="Times New Roman"/>
          <w:snapToGrid w:val="0"/>
          <w:color w:val="000000"/>
          <w:spacing w:val="0"/>
          <w:w w:val="100"/>
          <w:kern w:val="0"/>
          <w:sz w:val="32"/>
          <w:szCs w:val="32"/>
          <w:lang w:val="en-US" w:eastAsia="zh-CN"/>
        </w:rPr>
        <w:sectPr>
          <w:headerReference r:id="rId4" w:type="first"/>
          <w:footerReference r:id="rId7" w:type="first"/>
          <w:headerReference r:id="rId3" w:type="default"/>
          <w:footerReference r:id="rId5" w:type="default"/>
          <w:footerReference r:id="rId6" w:type="even"/>
          <w:pgSz w:w="11906" w:h="16838"/>
          <w:pgMar w:top="1871" w:right="1361" w:bottom="1701" w:left="1701" w:header="851" w:footer="680" w:gutter="0"/>
          <w:lnNumType w:countBy="0" w:restart="continuous"/>
          <w:pgNumType w:fmt="decimal"/>
          <w:cols w:space="0" w:num="1"/>
          <w:rtlGutter w:val="0"/>
          <w:docGrid w:type="lines" w:linePitch="316" w:charSpace="0"/>
        </w:sectPr>
      </w:pPr>
      <w:r>
        <w:rPr>
          <w:rFonts w:hint="default" w:ascii="仿宋_GB2312" w:hAnsi="仿宋_GB2312" w:eastAsia="仿宋_GB2312" w:cs="Times New Roman"/>
          <w:snapToGrid w:val="0"/>
          <w:color w:val="000000"/>
          <w:spacing w:val="0"/>
          <w:w w:val="100"/>
          <w:kern w:val="0"/>
          <w:sz w:val="32"/>
          <w:szCs w:val="32"/>
        </w:rPr>
        <w:t>202</w:t>
      </w:r>
      <w:r>
        <w:rPr>
          <w:rFonts w:hint="default" w:ascii="仿宋_GB2312" w:hAnsi="仿宋_GB2312" w:eastAsia="仿宋_GB2312" w:cs="Times New Roman"/>
          <w:snapToGrid w:val="0"/>
          <w:color w:val="000000"/>
          <w:spacing w:val="0"/>
          <w:w w:val="100"/>
          <w:kern w:val="0"/>
          <w:sz w:val="32"/>
          <w:szCs w:val="32"/>
          <w:lang w:val="en-US" w:eastAsia="zh-CN"/>
        </w:rPr>
        <w:t>5</w:t>
      </w:r>
      <w:r>
        <w:rPr>
          <w:rFonts w:hint="default" w:ascii="仿宋_GB2312" w:hAnsi="仿宋_GB2312" w:eastAsia="仿宋_GB2312" w:cs="Times New Roman"/>
          <w:snapToGrid w:val="0"/>
          <w:color w:val="000000"/>
          <w:spacing w:val="0"/>
          <w:w w:val="100"/>
          <w:kern w:val="0"/>
          <w:sz w:val="32"/>
          <w:szCs w:val="32"/>
        </w:rPr>
        <w:t>年</w:t>
      </w:r>
      <w:r>
        <w:rPr>
          <w:rFonts w:hint="default" w:ascii="仿宋_GB2312" w:hAnsi="仿宋_GB2312" w:eastAsia="仿宋_GB2312" w:cs="Times New Roman"/>
          <w:snapToGrid w:val="0"/>
          <w:color w:val="000000"/>
          <w:spacing w:val="0"/>
          <w:w w:val="100"/>
          <w:kern w:val="0"/>
          <w:sz w:val="32"/>
          <w:szCs w:val="32"/>
          <w:lang w:val="en-US" w:eastAsia="zh-CN"/>
        </w:rPr>
        <w:t>9</w:t>
      </w:r>
      <w:r>
        <w:rPr>
          <w:rFonts w:hint="default" w:ascii="仿宋_GB2312" w:hAnsi="仿宋_GB2312" w:eastAsia="仿宋_GB2312" w:cs="Times New Roman"/>
          <w:snapToGrid w:val="0"/>
          <w:color w:val="000000"/>
          <w:spacing w:val="0"/>
          <w:w w:val="100"/>
          <w:kern w:val="0"/>
          <w:sz w:val="32"/>
          <w:szCs w:val="32"/>
        </w:rPr>
        <w:t>月</w:t>
      </w:r>
      <w:r>
        <w:rPr>
          <w:rFonts w:hint="default" w:ascii="仿宋_GB2312" w:hAnsi="仿宋_GB2312" w:eastAsia="仿宋_GB2312" w:cs="Times New Roman"/>
          <w:snapToGrid w:val="0"/>
          <w:color w:val="000000"/>
          <w:spacing w:val="0"/>
          <w:w w:val="100"/>
          <w:kern w:val="0"/>
          <w:sz w:val="32"/>
          <w:szCs w:val="32"/>
          <w:lang w:val="en-US" w:eastAsia="zh-CN"/>
        </w:rPr>
        <w:t>4</w:t>
      </w:r>
      <w:r>
        <w:rPr>
          <w:rFonts w:hint="default" w:ascii="仿宋_GB2312" w:hAnsi="仿宋_GB2312" w:eastAsia="仿宋_GB2312" w:cs="Times New Roman"/>
          <w:snapToGrid w:val="0"/>
          <w:color w:val="000000"/>
          <w:spacing w:val="0"/>
          <w:w w:val="100"/>
          <w:kern w:val="0"/>
          <w:sz w:val="32"/>
          <w:szCs w:val="32"/>
        </w:rPr>
        <w:t>日</w:t>
      </w:r>
      <w:r>
        <w:rPr>
          <w:rFonts w:hint="default" w:ascii="仿宋_GB2312" w:hAnsi="仿宋_GB2312" w:eastAsia="仿宋_GB2312" w:cs="Times New Roman"/>
          <w:snapToGrid w:val="0"/>
          <w:color w:val="000000"/>
          <w:spacing w:val="0"/>
          <w:w w:val="100"/>
          <w:kern w:val="0"/>
          <w:sz w:val="32"/>
          <w:szCs w:val="32"/>
          <w:lang w:val="en-US"/>
        </w:rPr>
        <w:t xml:space="preserve">        </w:t>
      </w:r>
    </w:p>
    <w:p>
      <w:pPr>
        <w:spacing w:before="0" w:after="0" w:line="620" w:lineRule="exact"/>
        <w:jc w:val="center"/>
        <w:rPr>
          <w:rFonts w:hint="eastAsia" w:ascii="方正小标宋简体" w:hAnsi="方正小标宋简体" w:eastAsia="方正小标宋简体" w:cs="方正小标宋简体"/>
          <w:snapToGrid w:val="0"/>
          <w:color w:val="auto"/>
          <w:spacing w:val="0"/>
          <w:w w:val="100"/>
          <w:kern w:val="0"/>
          <w:sz w:val="44"/>
          <w:szCs w:val="44"/>
          <w:lang w:val="en-US" w:eastAsia="zh-CN"/>
        </w:rPr>
      </w:pPr>
      <w:r>
        <w:rPr>
          <w:rFonts w:hint="eastAsia" w:ascii="方正小标宋简体" w:hAnsi="方正小标宋简体" w:eastAsia="方正小标宋简体" w:cs="方正小标宋简体"/>
          <w:snapToGrid w:val="0"/>
          <w:color w:val="auto"/>
          <w:spacing w:val="0"/>
          <w:w w:val="100"/>
          <w:kern w:val="0"/>
          <w:sz w:val="44"/>
          <w:szCs w:val="44"/>
          <w:lang w:val="en-US" w:eastAsia="zh-CN"/>
        </w:rPr>
        <w:t>偃师区全面推进地方政府专职消防队伍建设</w:t>
      </w:r>
    </w:p>
    <w:p>
      <w:pPr>
        <w:spacing w:before="0" w:after="0" w:line="620" w:lineRule="exact"/>
        <w:jc w:val="center"/>
        <w:rPr>
          <w:rFonts w:hint="eastAsia" w:ascii="方正小标宋简体" w:hAnsi="方正小标宋简体" w:eastAsia="方正小标宋简体" w:cs="方正小标宋简体"/>
          <w:snapToGrid w:val="0"/>
          <w:color w:val="auto"/>
          <w:spacing w:val="0"/>
          <w:w w:val="100"/>
          <w:kern w:val="0"/>
          <w:sz w:val="44"/>
          <w:szCs w:val="44"/>
          <w:lang w:val="en-US" w:eastAsia="zh-CN"/>
        </w:rPr>
      </w:pPr>
      <w:r>
        <w:rPr>
          <w:rFonts w:hint="eastAsia" w:ascii="方正小标宋简体" w:hAnsi="方正小标宋简体" w:eastAsia="方正小标宋简体" w:cs="方正小标宋简体"/>
          <w:snapToGrid w:val="0"/>
          <w:color w:val="auto"/>
          <w:spacing w:val="0"/>
          <w:w w:val="100"/>
          <w:kern w:val="0"/>
          <w:sz w:val="44"/>
          <w:szCs w:val="44"/>
          <w:lang w:val="en-US" w:eastAsia="zh-CN"/>
        </w:rPr>
        <w:t>发展实施方案</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Times New Roman" w:hAnsi="Times New Roman" w:eastAsia="仿宋_GB2312" w:cs="Times New Roman"/>
          <w:snapToGrid w:val="0"/>
          <w:color w:val="auto"/>
          <w:spacing w:val="0"/>
          <w:w w:val="100"/>
          <w:kern w:val="0"/>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eastAsia="zh-CN"/>
        </w:rPr>
      </w:pPr>
      <w:r>
        <w:rPr>
          <w:rFonts w:hint="default" w:ascii="仿宋_GB2312" w:hAnsi="仿宋_GB2312" w:eastAsia="仿宋_GB2312" w:cs="Times New Roman"/>
          <w:snapToGrid w:val="0"/>
          <w:color w:val="auto"/>
          <w:spacing w:val="0"/>
          <w:w w:val="100"/>
          <w:kern w:val="0"/>
          <w:sz w:val="32"/>
          <w:szCs w:val="32"/>
        </w:rPr>
        <w:t>为深入贯彻党中央、国务院关于应急管理和消防工作的决策部署，认真落实应急管理部等十三部委《关于全面推进地方政府专职消防队伍建设发展的意见》（应急〔2023〕85号）和《河南省人民政府办公厅关于全面推进地方政府专职消防队伍建设发展的实施意见》（豫政办〔2025〕2号）精神，切实加强和规范地方政府专职消防队伍建设管理，按照《洛阳市人民政府办公室关于印发洛阳市全面推进地方政府专职消防队伍建设发展实施方案的通知》（洛政办〔2025〕21号）有关工作要求，结合我区实际，制定本方案。</w:t>
      </w:r>
    </w:p>
    <w:p>
      <w:pPr>
        <w:widowControl w:val="0"/>
        <w:numPr>
          <w:ilvl w:val="0"/>
          <w:numId w:val="0"/>
        </w:numPr>
        <w:spacing w:before="0" w:after="0" w:line="590" w:lineRule="exact"/>
        <w:ind w:firstLine="640" w:firstLineChars="200"/>
        <w:rPr>
          <w:rFonts w:hint="default" w:ascii="仿宋_GB2312" w:hAnsi="仿宋_GB2312" w:eastAsia="仿宋_GB2312" w:cs="Times New Roman"/>
          <w:snapToGrid w:val="0"/>
          <w:color w:val="auto"/>
          <w:spacing w:val="0"/>
          <w:w w:val="100"/>
          <w:kern w:val="0"/>
          <w:sz w:val="32"/>
          <w:szCs w:val="32"/>
          <w:lang w:val="en-US" w:eastAsia="zh-CN"/>
        </w:rPr>
      </w:pPr>
      <w:r>
        <w:rPr>
          <w:rFonts w:hint="eastAsia" w:ascii="仿宋_GB2312" w:hAnsi="仿宋_GB2312" w:eastAsia="黑体" w:cs="黑体"/>
          <w:snapToGrid w:val="0"/>
          <w:color w:val="auto"/>
          <w:spacing w:val="0"/>
          <w:w w:val="100"/>
          <w:kern w:val="0"/>
          <w:sz w:val="32"/>
          <w:szCs w:val="32"/>
        </w:rPr>
        <w:t>一、</w:t>
      </w:r>
      <w:r>
        <w:rPr>
          <w:rFonts w:hint="eastAsia" w:ascii="仿宋_GB2312" w:hAnsi="仿宋_GB2312" w:eastAsia="黑体" w:cs="黑体"/>
          <w:snapToGrid w:val="0"/>
          <w:color w:val="auto"/>
          <w:spacing w:val="0"/>
          <w:w w:val="100"/>
          <w:kern w:val="0"/>
          <w:sz w:val="32"/>
          <w:szCs w:val="32"/>
          <w:lang w:val="en-US" w:eastAsia="zh-CN"/>
        </w:rPr>
        <w:t>总体要求</w:t>
      </w:r>
    </w:p>
    <w:p>
      <w:pPr>
        <w:keepNext w:val="0"/>
        <w:keepLines w:val="0"/>
        <w:pageBreakBefore w:val="0"/>
        <w:widowControl w:val="0"/>
        <w:kinsoku/>
        <w:wordWrap/>
        <w:overflowPunct/>
        <w:topLinePunct w:val="0"/>
        <w:autoSpaceDE/>
        <w:autoSpaceDN/>
        <w:bidi w:val="0"/>
        <w:adjustRightInd w:val="0"/>
        <w:snapToGrid w:val="0"/>
        <w:spacing w:beforeAutospacing="0" w:afterAutospacing="0" w:line="592"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lang w:eastAsia="zh-CN"/>
        </w:rPr>
      </w:pPr>
      <w:r>
        <w:rPr>
          <w:rFonts w:hint="default" w:ascii="仿宋_GB2312" w:hAnsi="仿宋_GB2312" w:eastAsia="仿宋_GB2312" w:cs="Times New Roman"/>
          <w:snapToGrid w:val="0"/>
          <w:color w:val="auto"/>
          <w:spacing w:val="0"/>
          <w:w w:val="100"/>
          <w:kern w:val="0"/>
          <w:sz w:val="32"/>
          <w:szCs w:val="32"/>
        </w:rPr>
        <w:t>到2025年底前，全区已建成的政府专职消防队全部达到《城市消防站建设标准》（建标152</w:t>
      </w:r>
      <w:r>
        <w:rPr>
          <w:rFonts w:hint="eastAsia" w:ascii="仿宋_GB2312" w:hAnsi="仿宋_GB2312" w:eastAsia="仿宋_GB2312" w:cs="Times New Roman"/>
          <w:snapToGrid w:val="0"/>
          <w:color w:val="auto"/>
          <w:spacing w:val="0"/>
          <w:w w:val="100"/>
          <w:kern w:val="0"/>
          <w:sz w:val="32"/>
          <w:szCs w:val="32"/>
          <w:lang w:eastAsia="zh-CN"/>
        </w:rPr>
        <w:t>—</w:t>
      </w:r>
      <w:r>
        <w:rPr>
          <w:rFonts w:hint="default" w:ascii="仿宋_GB2312" w:hAnsi="仿宋_GB2312" w:eastAsia="仿宋_GB2312" w:cs="Times New Roman"/>
          <w:snapToGrid w:val="0"/>
          <w:color w:val="auto"/>
          <w:spacing w:val="0"/>
          <w:w w:val="100"/>
          <w:kern w:val="0"/>
          <w:sz w:val="32"/>
          <w:szCs w:val="32"/>
        </w:rPr>
        <w:t>2017）要求，乡镇政府专职消防队建设全部达到《</w:t>
      </w:r>
      <w:r>
        <w:rPr>
          <w:rFonts w:hint="default" w:ascii="仿宋_GB2312" w:hAnsi="仿宋_GB2312" w:eastAsia="仿宋_GB2312" w:cs="Times New Roman"/>
          <w:snapToGrid w:val="0"/>
          <w:color w:val="auto"/>
          <w:spacing w:val="0"/>
          <w:w w:val="100"/>
          <w:kern w:val="0"/>
          <w:sz w:val="32"/>
          <w:szCs w:val="32"/>
          <w:lang w:val="en-US" w:eastAsia="zh-CN"/>
        </w:rPr>
        <w:t>河南省人民政府办公厅</w:t>
      </w:r>
      <w:r>
        <w:rPr>
          <w:rFonts w:hint="default" w:ascii="仿宋_GB2312" w:hAnsi="仿宋_GB2312" w:eastAsia="仿宋_GB2312" w:cs="Times New Roman"/>
          <w:snapToGrid w:val="0"/>
          <w:color w:val="auto"/>
          <w:spacing w:val="0"/>
          <w:w w:val="100"/>
          <w:kern w:val="0"/>
          <w:sz w:val="32"/>
          <w:szCs w:val="32"/>
        </w:rPr>
        <w:t>关于加强基层消防力量建设的通知》（豫政办明电〔2021〕47号）要求，经验收并评估合格的可纳入</w:t>
      </w:r>
      <w:r>
        <w:rPr>
          <w:rFonts w:hint="default" w:ascii="仿宋_GB2312" w:hAnsi="仿宋_GB2312" w:eastAsia="仿宋_GB2312" w:cs="Times New Roman"/>
          <w:snapToGrid w:val="0"/>
          <w:color w:val="auto"/>
          <w:spacing w:val="0"/>
          <w:w w:val="100"/>
          <w:kern w:val="0"/>
          <w:sz w:val="32"/>
          <w:szCs w:val="32"/>
          <w:lang w:val="en-US" w:eastAsia="zh-CN"/>
        </w:rPr>
        <w:t>区</w:t>
      </w:r>
      <w:r>
        <w:rPr>
          <w:rFonts w:hint="default" w:ascii="仿宋_GB2312" w:hAnsi="仿宋_GB2312" w:eastAsia="仿宋_GB2312" w:cs="Times New Roman"/>
          <w:snapToGrid w:val="0"/>
          <w:color w:val="auto"/>
          <w:spacing w:val="0"/>
          <w:w w:val="100"/>
          <w:kern w:val="0"/>
          <w:sz w:val="32"/>
          <w:szCs w:val="32"/>
        </w:rPr>
        <w:t>消防救援部门管理。</w:t>
      </w:r>
    </w:p>
    <w:p>
      <w:pPr>
        <w:widowControl w:val="0"/>
        <w:spacing w:before="0" w:after="0" w:line="590" w:lineRule="exact"/>
        <w:ind w:firstLine="640" w:firstLineChars="200"/>
        <w:rPr>
          <w:rFonts w:hint="default" w:ascii="仿宋_GB2312" w:hAnsi="仿宋_GB2312" w:eastAsia="仿宋_GB2312" w:cs="Times New Roman"/>
          <w:snapToGrid w:val="0"/>
          <w:color w:val="auto"/>
          <w:spacing w:val="0"/>
          <w:w w:val="100"/>
          <w:kern w:val="0"/>
          <w:sz w:val="32"/>
          <w:szCs w:val="32"/>
          <w:lang w:eastAsia="zh-CN"/>
        </w:rPr>
      </w:pPr>
      <w:r>
        <w:rPr>
          <w:rFonts w:hint="eastAsia" w:ascii="仿宋_GB2312" w:hAnsi="仿宋_GB2312" w:eastAsia="黑体" w:cs="黑体"/>
          <w:snapToGrid w:val="0"/>
          <w:color w:val="auto"/>
          <w:spacing w:val="0"/>
          <w:w w:val="100"/>
          <w:kern w:val="0"/>
          <w:sz w:val="32"/>
          <w:szCs w:val="32"/>
        </w:rPr>
        <w:t>二、重点任务</w:t>
      </w:r>
    </w:p>
    <w:p>
      <w:pPr>
        <w:widowControl w:val="0"/>
        <w:spacing w:before="0" w:after="0" w:line="590" w:lineRule="exact"/>
        <w:ind w:firstLine="640" w:firstLineChars="200"/>
        <w:rPr>
          <w:rFonts w:hint="default" w:ascii="仿宋_GB2312" w:hAnsi="仿宋_GB2312" w:eastAsia="仿宋_GB2312" w:cs="Times New Roman"/>
          <w:snapToGrid w:val="0"/>
          <w:color w:val="auto"/>
          <w:spacing w:val="0"/>
          <w:w w:val="100"/>
          <w:kern w:val="0"/>
          <w:sz w:val="32"/>
          <w:szCs w:val="32"/>
          <w:lang w:eastAsia="zh-CN"/>
        </w:rPr>
      </w:pPr>
      <w:r>
        <w:rPr>
          <w:rFonts w:hint="eastAsia" w:ascii="仿宋_GB2312" w:hAnsi="仿宋_GB2312" w:eastAsia="楷体_GB2312" w:cs="楷体_GB2312"/>
          <w:snapToGrid w:val="0"/>
          <w:color w:val="auto"/>
          <w:spacing w:val="0"/>
          <w:w w:val="100"/>
          <w:kern w:val="0"/>
          <w:sz w:val="32"/>
          <w:szCs w:val="32"/>
        </w:rPr>
        <w:t>（一）加强队伍建设</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rPr>
        <w:t>1</w:t>
      </w:r>
      <w:r>
        <w:rPr>
          <w:rFonts w:hint="default" w:ascii="仿宋_GB2312" w:hAnsi="仿宋_GB2312" w:eastAsia="仿宋_GB2312" w:cs="Times New Roman"/>
          <w:snapToGrid w:val="0"/>
          <w:color w:val="auto"/>
          <w:spacing w:val="0"/>
          <w:w w:val="100"/>
          <w:kern w:val="0"/>
          <w:sz w:val="32"/>
          <w:szCs w:val="32"/>
          <w:lang w:eastAsia="zh-CN"/>
        </w:rPr>
        <w:t>．</w:t>
      </w:r>
      <w:r>
        <w:rPr>
          <w:rFonts w:hint="default" w:ascii="仿宋_GB2312" w:hAnsi="仿宋_GB2312" w:eastAsia="仿宋_GB2312" w:cs="Times New Roman"/>
          <w:snapToGrid w:val="0"/>
          <w:color w:val="auto"/>
          <w:spacing w:val="0"/>
          <w:w w:val="100"/>
          <w:kern w:val="0"/>
          <w:sz w:val="32"/>
          <w:szCs w:val="32"/>
        </w:rPr>
        <w:t>压实建队责任。区、镇（街道）按照规定建立政府专职消防队，加强城乡灭火救援力量体系建设，配齐人员、装备，落实保障措施，确保消防救援力量建设与全区经济社会发展相适应。各有关部门要加强协调配合，强化政策支持，合力做好地方政府专职消防队伍建设保障工作。</w:t>
      </w:r>
      <w:r>
        <w:rPr>
          <w:rFonts w:hint="default" w:ascii="仿宋_GB2312" w:hAnsi="仿宋_GB2312" w:eastAsia="仿宋_GB2312" w:cs="Times New Roman"/>
          <w:snapToGrid w:val="0"/>
          <w:color w:val="auto"/>
          <w:spacing w:val="0"/>
          <w:w w:val="100"/>
          <w:kern w:val="0"/>
          <w:sz w:val="32"/>
          <w:szCs w:val="32"/>
          <w:lang w:val="en-US" w:eastAsia="zh-CN"/>
        </w:rPr>
        <w:t>区</w:t>
      </w:r>
      <w:r>
        <w:rPr>
          <w:rFonts w:hint="default" w:ascii="仿宋_GB2312" w:hAnsi="仿宋_GB2312" w:eastAsia="仿宋_GB2312" w:cs="Times New Roman"/>
          <w:snapToGrid w:val="0"/>
          <w:color w:val="auto"/>
          <w:spacing w:val="0"/>
          <w:w w:val="100"/>
          <w:kern w:val="0"/>
          <w:sz w:val="32"/>
          <w:szCs w:val="32"/>
        </w:rPr>
        <w:t>消防救援部门负责建队规划、人员招录、管理训练和调度指挥等；发</w:t>
      </w:r>
      <w:r>
        <w:rPr>
          <w:rFonts w:hint="default" w:ascii="仿宋_GB2312" w:hAnsi="仿宋_GB2312" w:eastAsia="仿宋_GB2312" w:cs="Times New Roman"/>
          <w:snapToGrid w:val="0"/>
          <w:color w:val="auto"/>
          <w:spacing w:val="0"/>
          <w:w w:val="100"/>
          <w:kern w:val="0"/>
          <w:sz w:val="32"/>
          <w:szCs w:val="32"/>
          <w:u w:val="none"/>
        </w:rPr>
        <w:t>展改革部门负责将队伍建设发展纳入国民经济和社会发展规划等；财政部门负责根据全区实际情况明确经费保障政策，纳入财政预算等；人力资源和社会保障部门负责其依法依规参加社会保险；退役军人事务部门负责受理审核烈士评定申请，落实抚恤待遇等；教体部门负责为其优先办理子女入学入托等；公安部门负责为其优先办理落户、政治审查、出入境查询等；住房和城乡建设部门负责为符合条件的地方政府专职消防员优先提供保障性住房；交通运输部门负责建立工作机制，为执勤救援车辆提供通行便利；卫生健康部门负责为其开通绿色就医通道；税务部门负责为消防执勤车辆办理免税手续；机构编制部门、工会等其他相关部门按照职责和政策要求，支持地方政府专职消防队伍建设发展。（责任单位：区委编办、区发改委、区教体局、市公安局偃师分局、区财政局、区人社局、区住建局、市自然资源和规划局偃师分局、区交通局、区卫健委、区退役军人事务局、区税务局、区总工会、区应急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2</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细化建队任务。按照城市消防专项规划将消防站建设纳入地方政府年度投资项目计划。</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要联合相关局委制定消防队站建设方案，确保应建未建队站按期建成投用。建立消防救援力量动态调整机制，国家、省、市相关标准要求发生变化或城乡发展布局调整时，要及时核定建队需求，优化消防救援力量布局。2025年</w:t>
      </w:r>
      <w:r>
        <w:rPr>
          <w:rFonts w:hint="default" w:ascii="仿宋_GB2312" w:hAnsi="仿宋_GB2312" w:eastAsia="仿宋_GB2312" w:cs="Times New Roman"/>
          <w:snapToGrid w:val="0"/>
          <w:color w:val="auto"/>
          <w:spacing w:val="0"/>
          <w:w w:val="100"/>
          <w:kern w:val="0"/>
          <w:sz w:val="32"/>
          <w:szCs w:val="32"/>
          <w:u w:val="none"/>
          <w:lang w:val="en-US" w:eastAsia="zh-CN"/>
        </w:rPr>
        <w:t>9</w:t>
      </w:r>
      <w:r>
        <w:rPr>
          <w:rFonts w:hint="default" w:ascii="仿宋_GB2312" w:hAnsi="仿宋_GB2312" w:eastAsia="仿宋_GB2312" w:cs="Times New Roman"/>
          <w:snapToGrid w:val="0"/>
          <w:color w:val="auto"/>
          <w:spacing w:val="0"/>
          <w:w w:val="100"/>
          <w:kern w:val="0"/>
          <w:sz w:val="32"/>
          <w:szCs w:val="32"/>
          <w:u w:val="none"/>
        </w:rPr>
        <w:t>月底前，要对照全区地方政府专职消防队建设清单，对应建未建、已建不达标或未投勤的队站逐队制定补建或提档升级计划，明确建成、验收、评估等时间安排，按时序推进工作落实。（责任单位：区发改委、区住建局、市自然资源和规划局偃师分局、区消防救援大队</w:t>
      </w:r>
      <w:r>
        <w:rPr>
          <w:rFonts w:hint="default"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3</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规范建队验收。乡镇政府专职消防队的验收由相关镇报至区消防救援大队汇总后统一呈报区人民政府，由区人民政府向市人民政府提出申请。已建成的</w:t>
      </w:r>
      <w:r>
        <w:rPr>
          <w:rFonts w:hint="default" w:ascii="仿宋_GB2312" w:hAnsi="仿宋_GB2312" w:eastAsia="仿宋_GB2312" w:cs="Times New Roman"/>
          <w:snapToGrid w:val="0"/>
          <w:color w:val="auto"/>
          <w:spacing w:val="0"/>
          <w:w w:val="100"/>
          <w:kern w:val="0"/>
          <w:sz w:val="32"/>
          <w:szCs w:val="32"/>
          <w:u w:val="none"/>
          <w:lang w:eastAsia="zh-CN"/>
        </w:rPr>
        <w:t>地方</w:t>
      </w:r>
      <w:r>
        <w:rPr>
          <w:rFonts w:hint="default" w:ascii="仿宋_GB2312" w:hAnsi="仿宋_GB2312" w:eastAsia="仿宋_GB2312" w:cs="Times New Roman"/>
          <w:snapToGrid w:val="0"/>
          <w:color w:val="auto"/>
          <w:spacing w:val="0"/>
          <w:w w:val="100"/>
          <w:kern w:val="0"/>
          <w:sz w:val="32"/>
          <w:szCs w:val="32"/>
          <w:u w:val="none"/>
        </w:rPr>
        <w:t>政府专职消防队验收根据《河南省人民政府办公厅关于全面推进地方政府专职消防队伍建设发展的实施意见》（豫政办〔2025〕2号）文件执行，于2025年底前完成验收</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后续新建的地方政府专职消防队在投入执勤前要按照规定程序报请验收。对未通过验收的乡镇政府专职消防队，要限期整改，及时申请复验。对已经通过验收的乡镇政府专职消防队，不得擅自撤销、整合、变更；确需撤销、整合、变更的，</w:t>
      </w:r>
      <w:r>
        <w:rPr>
          <w:rFonts w:hint="default" w:ascii="仿宋_GB2312" w:hAnsi="仿宋_GB2312" w:eastAsia="仿宋_GB2312" w:cs="Times New Roman"/>
          <w:snapToGrid w:val="0"/>
          <w:color w:val="auto"/>
          <w:spacing w:val="0"/>
          <w:w w:val="100"/>
          <w:kern w:val="0"/>
          <w:sz w:val="32"/>
          <w:szCs w:val="32"/>
          <w:u w:val="none"/>
          <w:lang w:eastAsia="zh-CN"/>
        </w:rPr>
        <w:t>须</w:t>
      </w:r>
      <w:r>
        <w:rPr>
          <w:rFonts w:hint="default" w:ascii="仿宋_GB2312" w:hAnsi="仿宋_GB2312" w:eastAsia="仿宋_GB2312" w:cs="Times New Roman"/>
          <w:snapToGrid w:val="0"/>
          <w:color w:val="auto"/>
          <w:spacing w:val="0"/>
          <w:w w:val="100"/>
          <w:kern w:val="0"/>
          <w:sz w:val="32"/>
          <w:szCs w:val="32"/>
          <w:u w:val="none"/>
        </w:rPr>
        <w:t>征求市级消防救援部门意见，报请市政府审批。（责任单位：区财政局、区人社局、区住建局、区消防救援大队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rPr>
          <w:rFonts w:hint="default" w:ascii="仿宋_GB2312" w:hAnsi="仿宋_GB2312" w:eastAsia="仿宋_GB2312" w:cs="Times New Roman"/>
          <w:snapToGrid w:val="0"/>
          <w:color w:val="auto"/>
          <w:spacing w:val="0"/>
          <w:w w:val="100"/>
          <w:kern w:val="0"/>
          <w:sz w:val="32"/>
          <w:szCs w:val="32"/>
          <w:u w:val="none"/>
          <w:lang w:eastAsia="zh-CN"/>
        </w:rPr>
      </w:pPr>
      <w:r>
        <w:rPr>
          <w:rFonts w:hint="eastAsia" w:ascii="仿宋_GB2312" w:hAnsi="仿宋_GB2312" w:eastAsia="楷体_GB2312" w:cs="楷体_GB2312"/>
          <w:snapToGrid w:val="0"/>
          <w:color w:val="auto"/>
          <w:spacing w:val="0"/>
          <w:w w:val="100"/>
          <w:kern w:val="0"/>
          <w:sz w:val="32"/>
          <w:szCs w:val="32"/>
          <w:u w:val="none"/>
        </w:rPr>
        <w:t>（二）加强管理教育</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4</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明确队伍属性。地方政府专职消防队是具有公益属性的消防组织。地方政府专职消防队符合事业单位法人登记条件的，可以依法申请事业单位法人登记。对交由</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消防救援部门管理的地方政府专职消防队，其人员招录、日常管理、绩效考核等按照国家和省、市、区有关规定执行。（责任单位：区委编办、区人社局、区消防救援大队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5</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明确人员身份。地方政府专职消防员是除国家综合性消防救援队伍人员以外，由各级人民政府保障的专业人员，主要从事火灾扑救、应急救援和消防安全巡查、火灾隐患排查、消防宣传教育培训工作，宜单独编队、专职专用，实行劳动合同制，严禁采用劳务派遣用工，一般就近分配到其生活所在地工作。《河南省人民政府办公厅关于全面推进地方政府专职消防队伍建设发展的实施意见》（豫政办〔2025〕2号）文件印发前，采用劳务派遣用工的地方政府专职消防员合同到期后，由其管理单位组织考核，考核合格的依法签订劳动合同。（责任单位：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6</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明确管理体系。区消防救援部门负责指导全区地方政府专职消防队伍的建设、管理，统一纳入国家综合性消防救援队伍执勤体系，统一指挥、统一纪律、统一训练、统一荣誉。区级政府专职消防队伍由区消防救援部门负责管理，经市级消防救援部门评估合格的乡镇政府专职消防队可以由区消防救援部门负责管理。（责任单位：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7</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规范人员招录。区消防救援部门负责编制全区地方专职消防队伍新增用人计划，报请区委、区政府批准后，由财政、人力资源和社会保障等部门配合，消防救援部门牵头组织实施。地方政府专职消防员实行统一招收、统一管理，贯彻公开、公平、公正、择优的原则，实施员额管理、公开招录。区级政府专职消防队和交由</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消防救援部门管理的乡镇政府专职消防队，由</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组织实施招录，其他的乡镇政府专职消防队的人员招录由其管理单位组织实施。招录地方政府专职消防员，应年满18周岁，符合《消防员职业健康标准》，具有高中及以上文化程度，通过资格审查、体格检查、体能测试、面试等程序择优录用。同等条件下，优先录用国家综合性消防救援队伍退出人员（不含辞退、开除）、大专及以上毕业生、退役军人及有相关消防工作经历的人员，其从事灭火救援时间计入定级时间。（责任单位：区财政局、区人社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8</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规范岗位等级和职业资格。地方政府专职消防员实行岗位等级任期管理，其岗位等级由低到高分为五级、四级、三级、二级、一级，分别对应国家职业资格的相应等级。其中，五级、四级为初级政府专职消防员；三级、二级为中级政府专职消防员；一级为高级政府专职消防员。岗位等级内细化设档，并设置对应 的薪酬待遇标准。具体的岗位等级比例、岗位职责、任职年限、晋级晋升等事宜，根据省消防救援总队相关规定执行。《河南省人民政府办公厅关于全面推进地方政府专职消防队伍建设发展的实施意见》（豫政办〔2025〕2号）印发前已参加工作的地方政府专职消防员由其管理单位组织等级套改。（责任单位：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keepNext w:val="0"/>
        <w:keepLines w:val="0"/>
        <w:pageBreakBefore w:val="0"/>
        <w:widowControl w:val="0"/>
        <w:kinsoku/>
        <w:wordWrap/>
        <w:overflowPunct/>
        <w:topLinePunct w:val="0"/>
        <w:autoSpaceDE/>
        <w:autoSpaceDN/>
        <w:bidi w:val="0"/>
        <w:adjustRightInd/>
        <w:snapToGrid/>
        <w:spacing w:before="0" w:after="0" w:line="590" w:lineRule="exact"/>
        <w:ind w:firstLine="640" w:firstLineChars="200"/>
        <w:jc w:val="both"/>
        <w:textAlignment w:val="auto"/>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9</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规范培训晋级。地方政府专职消防员实行入职、在岗和晋级培训，岗位等级逐级晋升，逢晋必考，任期内年度考核和晋级培训考核均应合格，参加省级及以上业务技能比武竞赛取得名次或作出突出贡献的优先晋级。入职培训以区为单位组织，考核合格方可上岗。在岗培训突出专业技能，分级分岗实施，支持地方政府专职消防员参加各类职业技能培训，拓展其职业发展空间。晋级培训和等级晋升由其管理单位组织实施。（责任单位：区人社局、区总工会、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keepNext w:val="0"/>
        <w:keepLines w:val="0"/>
        <w:pageBreakBefore w:val="0"/>
        <w:widowControl w:val="0"/>
        <w:kinsoku/>
        <w:wordWrap/>
        <w:overflowPunct/>
        <w:topLinePunct w:val="0"/>
        <w:autoSpaceDE/>
        <w:autoSpaceDN/>
        <w:bidi w:val="0"/>
        <w:adjustRightInd/>
        <w:snapToGrid/>
        <w:spacing w:before="0" w:after="0" w:line="590" w:lineRule="exact"/>
        <w:ind w:firstLine="640" w:firstLineChars="200"/>
        <w:jc w:val="both"/>
        <w:textAlignment w:val="auto"/>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10</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加强日常管理。地方政府专职消防队的管理单位要指导其健全党、团和工会组织，加强对地方政府专职消防员的经常性思想政治教育，发展优秀人员加入中国共产党、共产主义青年团，接转地方政府专职消防员的党、团组织关系，参照国家综合性消防救援队伍相关管理要求，从严加强日常管理。地方政府专职消防队伍按照《工会法》依法组建工会组织，依法缴纳工会会费并享受工会福利待遇，所需费用由同级财政部门纳入预算；区消防救援部门、人力资源和社会保障部门和区总工会应积极组织地方政府专职消防队伍开展职业技能竞赛，按规定给予支持和表彰。建立完善地方政府专职消防员定期考核机制，按照管理权限分级组织实施，考核结果作为岗位等级调整、工资档次调整、奖惩和劳动合同续订、解除的主要依据，并记入个人档案。将地方政府专职消防队伍及人员纳入所属政府和群团组织表彰奖励体系，按照国家、省、市、区有关规定，对在消防救援工作中作出突出贡献的集体和个人给予表彰奖励，事迹特别突出的推荐参加国家、省级、市级等荣誉评选。地方政府专职消防员享受国家、省、市、区规定的婚假、孕产假、护理假，依法享受带薪年休假。根据实际制定相应的事假、病假规定及轮休、调休机制。（责任单位：区财政局、区人社局、区总工会、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keepNext w:val="0"/>
        <w:keepLines w:val="0"/>
        <w:pageBreakBefore w:val="0"/>
        <w:widowControl w:val="0"/>
        <w:kinsoku/>
        <w:wordWrap/>
        <w:overflowPunct/>
        <w:topLinePunct w:val="0"/>
        <w:autoSpaceDE/>
        <w:autoSpaceDN/>
        <w:bidi w:val="0"/>
        <w:adjustRightInd/>
        <w:snapToGrid/>
        <w:spacing w:before="0" w:after="0" w:line="590" w:lineRule="exact"/>
        <w:ind w:firstLine="640" w:firstLineChars="200"/>
        <w:jc w:val="both"/>
        <w:textAlignment w:val="auto"/>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11</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2"/>
          <w:w w:val="100"/>
          <w:kern w:val="0"/>
          <w:sz w:val="32"/>
          <w:szCs w:val="32"/>
          <w:u w:val="none"/>
        </w:rPr>
        <w:t>规范人员退出。地方政府专职消防员实行全程退出机制，年度考核或者晋级培训考核不合格的应退出。地方政府专职消防员连续工作满5年解除或者终止劳动合同的，由所属政府发放离队安置费。区级财政保障的地方政府专职消防员由区财政部门负责，离队安置费发放标准根据其在本单位的工作</w:t>
      </w:r>
      <w:r>
        <w:rPr>
          <w:rFonts w:hint="default" w:ascii="仿宋_GB2312" w:hAnsi="仿宋_GB2312" w:eastAsia="仿宋_GB2312" w:cs="Times New Roman"/>
          <w:snapToGrid w:val="0"/>
          <w:color w:val="auto"/>
          <w:spacing w:val="0"/>
          <w:w w:val="100"/>
          <w:kern w:val="0"/>
          <w:sz w:val="32"/>
          <w:szCs w:val="32"/>
          <w:u w:val="none"/>
        </w:rPr>
        <w:t>年限确定，按离职前12个月的平均工资（税前应发工资，含奖金、津贴等），每满1年支付1个月工资；6个月以上不满1年按1年计算；不满6个月支付0.5个月工资计算。对因违反合同约定解除劳动合同或主动辞职的地方政府专职消防员，不予发放离队安</w:t>
      </w:r>
      <w:r>
        <w:rPr>
          <w:rFonts w:hint="default" w:ascii="仿宋_GB2312" w:hAnsi="仿宋_GB2312" w:eastAsia="仿宋_GB2312" w:cs="Times New Roman"/>
          <w:snapToGrid w:val="0"/>
          <w:color w:val="auto"/>
          <w:spacing w:val="2"/>
          <w:w w:val="100"/>
          <w:kern w:val="0"/>
          <w:sz w:val="32"/>
          <w:szCs w:val="32"/>
          <w:u w:val="none"/>
        </w:rPr>
        <w:t>置费。符合退休条件的，按规定办理退休，不再发放离队安置费。通过消防职业技能鉴</w:t>
      </w:r>
      <w:r>
        <w:rPr>
          <w:rFonts w:hint="default" w:ascii="仿宋_GB2312" w:hAnsi="仿宋_GB2312" w:eastAsia="仿宋_GB2312" w:cs="Times New Roman"/>
          <w:snapToGrid w:val="0"/>
          <w:color w:val="auto"/>
          <w:spacing w:val="0"/>
          <w:w w:val="100"/>
          <w:kern w:val="0"/>
          <w:sz w:val="32"/>
          <w:szCs w:val="32"/>
          <w:u w:val="none"/>
        </w:rPr>
        <w:t>定并获得证书的地方政府专职消防员，在合同期满后，可作为社会消防从业人员优先推荐从事企事业单位消防安全工作。（责任单位：区委编办、区财政局、区人社局、区退役军人事务局、区应急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618" w:lineRule="exact"/>
        <w:ind w:firstLine="640" w:firstLineChars="200"/>
        <w:rPr>
          <w:rFonts w:hint="default" w:ascii="仿宋_GB2312" w:hAnsi="仿宋_GB2312" w:eastAsia="仿宋_GB2312" w:cs="Times New Roman"/>
          <w:snapToGrid w:val="0"/>
          <w:color w:val="auto"/>
          <w:spacing w:val="0"/>
          <w:w w:val="100"/>
          <w:kern w:val="0"/>
          <w:sz w:val="32"/>
          <w:szCs w:val="32"/>
          <w:u w:val="none"/>
          <w:lang w:eastAsia="zh-CN"/>
        </w:rPr>
      </w:pPr>
      <w:r>
        <w:rPr>
          <w:rFonts w:hint="eastAsia" w:ascii="仿宋_GB2312" w:hAnsi="仿宋_GB2312" w:eastAsia="楷体_GB2312" w:cs="楷体_GB2312"/>
          <w:snapToGrid w:val="0"/>
          <w:color w:val="auto"/>
          <w:spacing w:val="0"/>
          <w:w w:val="100"/>
          <w:kern w:val="0"/>
          <w:sz w:val="32"/>
          <w:szCs w:val="32"/>
          <w:u w:val="none"/>
        </w:rPr>
        <w:t>（三）严格执勤训练</w:t>
      </w:r>
    </w:p>
    <w:p>
      <w:pPr>
        <w:widowControl w:val="0"/>
        <w:spacing w:before="0" w:after="0" w:line="618"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12</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严格执勤备战。区消防救援部门要根据辖区重点保卫对象和消防救援力量分布，划定政府专职消防队伍执勤责任辖区。要加强对乡镇专职消防队伍的业务指导，督促落实二十四小时驻勤备战制度，健全值班备勤、装备管理、勤务交接、战备检查、预案编制和修订、执勤备战基础资料管理等规定，保持良好备战状态。（责任单位：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618"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13</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严格业务训练。由</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消防救援部门直接管理的政府专职消防队伍，按照《消防救援队伍执勤战斗条例》制定训练计划，开展日常训练，分级参加消防救援部门定期开展的比武考核，定期组织地方政府专职消防员开展业务轮训。由镇</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街道</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管理的</w:t>
      </w:r>
      <w:r>
        <w:rPr>
          <w:rFonts w:hint="default" w:ascii="仿宋_GB2312" w:hAnsi="仿宋_GB2312" w:eastAsia="仿宋_GB2312" w:cs="Times New Roman"/>
          <w:snapToGrid w:val="0"/>
          <w:color w:val="auto"/>
          <w:spacing w:val="0"/>
          <w:w w:val="100"/>
          <w:kern w:val="0"/>
          <w:sz w:val="32"/>
          <w:szCs w:val="32"/>
          <w:u w:val="none"/>
          <w:lang w:eastAsia="zh-CN"/>
        </w:rPr>
        <w:t>乡</w:t>
      </w:r>
      <w:r>
        <w:rPr>
          <w:rFonts w:hint="default" w:ascii="仿宋_GB2312" w:hAnsi="仿宋_GB2312" w:eastAsia="仿宋_GB2312" w:cs="Times New Roman"/>
          <w:snapToGrid w:val="0"/>
          <w:color w:val="auto"/>
          <w:spacing w:val="0"/>
          <w:w w:val="100"/>
          <w:kern w:val="0"/>
          <w:sz w:val="32"/>
          <w:szCs w:val="32"/>
          <w:u w:val="none"/>
        </w:rPr>
        <w:t>镇政府专职队伍，在区消防救援部门的指导下，根据《乡镇政府专职队工作指南》制定日常训练科目，结合辖区特点和典型灾害事故开展差异化训练。（责任单位：区消防救援大队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618"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14</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严格调度指挥。乡镇专职消防队伍统一建设与消防救援部门联动的接处警系统、营区监控、视频会议等通信系统，纳入119调度指挥体系，接受消防救援部门调度。乡镇政府专职消防队伍与国家综合性消防救援队伍共同执行灭火救援任务时，由国家综合性消防救援队伍指挥员组织指挥。（责任单位：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textAlignment w:val="auto"/>
        <w:rPr>
          <w:rFonts w:hint="default" w:ascii="仿宋_GB2312" w:hAnsi="仿宋_GB2312" w:eastAsia="仿宋_GB2312" w:cs="Times New Roman"/>
          <w:snapToGrid w:val="0"/>
          <w:color w:val="auto"/>
          <w:spacing w:val="0"/>
          <w:w w:val="100"/>
          <w:kern w:val="0"/>
          <w:sz w:val="32"/>
          <w:szCs w:val="32"/>
          <w:u w:val="none"/>
          <w:lang w:eastAsia="zh-CN"/>
        </w:rPr>
      </w:pPr>
      <w:r>
        <w:rPr>
          <w:rFonts w:hint="eastAsia" w:ascii="仿宋_GB2312" w:hAnsi="仿宋_GB2312" w:eastAsia="楷体_GB2312" w:cs="楷体_GB2312"/>
          <w:snapToGrid w:val="0"/>
          <w:color w:val="auto"/>
          <w:spacing w:val="0"/>
          <w:w w:val="100"/>
          <w:kern w:val="0"/>
          <w:sz w:val="32"/>
          <w:szCs w:val="32"/>
          <w:u w:val="none"/>
        </w:rPr>
        <w:t>（四）强化综合保障</w:t>
      </w:r>
    </w:p>
    <w:p>
      <w:pPr>
        <w:keepNext w:val="0"/>
        <w:keepLines w:val="0"/>
        <w:pageBreakBefore w:val="0"/>
        <w:widowControl w:val="0"/>
        <w:kinsoku/>
        <w:wordWrap/>
        <w:overflowPunct/>
        <w:topLinePunct w:val="0"/>
        <w:autoSpaceDE/>
        <w:autoSpaceDN/>
        <w:bidi w:val="0"/>
        <w:spacing w:line="590"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15</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加强经费保障。地方政府专职消防队伍经费由地方同级财政保障并负责管理，根据实际情况制定队伍经费管理办法。对交由</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消防救援部门管理的地方政府专职消防队伍的经费，</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应将其纳入部门财政预算予以保障，与国家综合性消防救援队伍经费分开核算，专款专用；其他地方政府专职消防队伍的经费由同级财政部门予以保障。通过消防救援部门预算经费建设、购置的由地方政府专职消防队使用的基础设施、车辆装备等各类资产，由消防救援部门按照中央行政单位资产管理规定统一登记管理，按程序做好资产配置、处置等工作。（责任单位：区财政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16</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落实薪酬标准。结合消防救援高风险、高负荷、高压力的职业特点，参考人力资源市场相关职业工资价位，合理确定地方政府专职消防员工资、津贴、补贴、奖金等薪酬待遇，其中现场救援补贴参照中共中央组织部、财政部、人力资源和社会保障部《国家综合性消防救援队伍工资政策方案（组通字〔2019〕37号）》文件执行。地方政府专职消防员整体工资水平按照不低于当地上年度城镇非私营单位就业人员年平均工资水平执行，具体项目和标准由当地政府确定。（责任单位：区财政局、区人社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u w:val="none"/>
          <w:lang w:eastAsia="zh-CN"/>
        </w:rPr>
      </w:pPr>
      <w:r>
        <w:rPr>
          <w:rFonts w:hint="default" w:ascii="仿宋_GB2312" w:hAnsi="仿宋_GB2312" w:eastAsia="仿宋_GB2312" w:cs="Times New Roman"/>
          <w:snapToGrid w:val="0"/>
          <w:color w:val="auto"/>
          <w:spacing w:val="0"/>
          <w:w w:val="100"/>
          <w:kern w:val="0"/>
          <w:sz w:val="32"/>
          <w:szCs w:val="32"/>
          <w:u w:val="none"/>
        </w:rPr>
        <w:t>17</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强化社会保障和职业健康保障。管理单位要为地方政府专职消防员缴纳基本养老、医疗（含生育）、工伤、失业等社会保险和住房公积金，按照灭火救援和训练演练工作需要购买人身意外保险、补充医疗保险等商业保险，按当地政策规定为符合条件的地方政府专职消防员发放住房补贴；组织地方政府专职消防员参加岗前、在岗、离岗、应急职业健康检查，建立职业健康档案。交由</w:t>
      </w:r>
      <w:r>
        <w:rPr>
          <w:rFonts w:hint="default" w:ascii="仿宋_GB2312" w:hAnsi="仿宋_GB2312" w:eastAsia="仿宋_GB2312" w:cs="Times New Roman"/>
          <w:snapToGrid w:val="0"/>
          <w:color w:val="auto"/>
          <w:spacing w:val="0"/>
          <w:w w:val="100"/>
          <w:kern w:val="0"/>
          <w:sz w:val="32"/>
          <w:szCs w:val="32"/>
          <w:u w:val="none"/>
          <w:lang w:val="en-US" w:eastAsia="zh-CN"/>
        </w:rPr>
        <w:t>区</w:t>
      </w:r>
      <w:r>
        <w:rPr>
          <w:rFonts w:hint="default" w:ascii="仿宋_GB2312" w:hAnsi="仿宋_GB2312" w:eastAsia="仿宋_GB2312" w:cs="Times New Roman"/>
          <w:snapToGrid w:val="0"/>
          <w:color w:val="auto"/>
          <w:spacing w:val="0"/>
          <w:w w:val="100"/>
          <w:kern w:val="0"/>
          <w:sz w:val="32"/>
          <w:szCs w:val="32"/>
          <w:u w:val="none"/>
        </w:rPr>
        <w:t>消防救援部门管理的地方政府专职消防员，其医疗保障可参照国家综合性消防救援队伍政策执行。（责任单位：区人社局、区消防救援大队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u w:val="none"/>
        </w:rPr>
        <w:t>）</w:t>
      </w:r>
    </w:p>
    <w:p>
      <w:pPr>
        <w:widowControl w:val="0"/>
        <w:spacing w:before="0" w:after="0" w:line="590" w:lineRule="exact"/>
        <w:ind w:firstLine="640" w:firstLineChars="200"/>
        <w:jc w:val="both"/>
        <w:rPr>
          <w:rFonts w:hint="default" w:ascii="仿宋_GB2312" w:hAnsi="仿宋_GB2312" w:eastAsia="仿宋_GB2312" w:cs="Times New Roman"/>
          <w:snapToGrid w:val="0"/>
          <w:color w:val="auto"/>
          <w:spacing w:val="0"/>
          <w:w w:val="100"/>
          <w:kern w:val="0"/>
          <w:sz w:val="32"/>
          <w:szCs w:val="32"/>
          <w:lang w:eastAsia="zh-CN"/>
        </w:rPr>
      </w:pPr>
      <w:r>
        <w:rPr>
          <w:rFonts w:hint="default" w:ascii="仿宋_GB2312" w:hAnsi="仿宋_GB2312" w:eastAsia="仿宋_GB2312" w:cs="Times New Roman"/>
          <w:snapToGrid w:val="0"/>
          <w:color w:val="auto"/>
          <w:spacing w:val="0"/>
          <w:w w:val="100"/>
          <w:kern w:val="0"/>
          <w:sz w:val="32"/>
          <w:szCs w:val="32"/>
          <w:u w:val="none"/>
        </w:rPr>
        <w:t>18</w:t>
      </w:r>
      <w:r>
        <w:rPr>
          <w:rFonts w:hint="default" w:ascii="仿宋_GB2312" w:hAnsi="仿宋_GB2312" w:eastAsia="仿宋_GB2312" w:cs="Times New Roman"/>
          <w:snapToGrid w:val="0"/>
          <w:color w:val="auto"/>
          <w:spacing w:val="0"/>
          <w:w w:val="100"/>
          <w:kern w:val="0"/>
          <w:sz w:val="32"/>
          <w:szCs w:val="32"/>
          <w:u w:val="none"/>
          <w:lang w:eastAsia="zh-CN"/>
        </w:rPr>
        <w:t>．</w:t>
      </w:r>
      <w:r>
        <w:rPr>
          <w:rFonts w:hint="default" w:ascii="仿宋_GB2312" w:hAnsi="仿宋_GB2312" w:eastAsia="仿宋_GB2312" w:cs="Times New Roman"/>
          <w:snapToGrid w:val="0"/>
          <w:color w:val="auto"/>
          <w:spacing w:val="0"/>
          <w:w w:val="100"/>
          <w:kern w:val="0"/>
          <w:sz w:val="32"/>
          <w:szCs w:val="32"/>
          <w:u w:val="none"/>
        </w:rPr>
        <w:t>健全职业保障机制。地方政府专职消防员本人及其配偶、子女可以在工作地落户，工作调动时户口可以随迁。在职地方政府专职消防员本人凭有效证件，在车站、医院等场所优先</w:t>
      </w:r>
      <w:r>
        <w:rPr>
          <w:rFonts w:hint="default" w:ascii="仿宋_GB2312" w:hAnsi="仿宋_GB2312" w:eastAsia="仿宋_GB2312" w:cs="Times New Roman"/>
          <w:snapToGrid w:val="0"/>
          <w:color w:val="auto"/>
          <w:spacing w:val="0"/>
          <w:w w:val="100"/>
          <w:kern w:val="0"/>
          <w:sz w:val="32"/>
          <w:szCs w:val="32"/>
        </w:rPr>
        <w:t>购票、通行、挂号，乘坐公共交通工具以及参观游览公园、风景名胜区、面向公众开放的文物和博物馆单位、历史文化名城等景区时，享受当地对国家综合性消防救援队伍人员的同等优待政策。烈士、因公牺牲、一级至四级因公伤残和入职满8年的地方政府专职消防员的子女，可以在其父母或其他法定监护人户籍所在地，就近优先安排到普惠性幼儿园、公办小学、初中就读。入职满一定年限的地方政府专职消防员符合申请保障性住房条件的，在公租房</w:t>
      </w:r>
      <w:r>
        <w:rPr>
          <w:rFonts w:hint="default" w:ascii="仿宋_GB2312" w:hAnsi="仿宋_GB2312" w:eastAsia="仿宋_GB2312" w:cs="Times New Roman"/>
          <w:snapToGrid w:val="0"/>
          <w:color w:val="auto"/>
          <w:spacing w:val="2"/>
          <w:w w:val="100"/>
          <w:kern w:val="0"/>
          <w:sz w:val="32"/>
          <w:szCs w:val="32"/>
        </w:rPr>
        <w:t>保障中优先予以解决。城市消防救援站建设用地在符合规划、权</w:t>
      </w:r>
      <w:r>
        <w:rPr>
          <w:rFonts w:hint="default" w:ascii="仿宋_GB2312" w:hAnsi="仿宋_GB2312" w:eastAsia="仿宋_GB2312" w:cs="Times New Roman"/>
          <w:snapToGrid w:val="0"/>
          <w:color w:val="auto"/>
          <w:spacing w:val="0"/>
          <w:w w:val="100"/>
          <w:kern w:val="0"/>
          <w:sz w:val="32"/>
          <w:szCs w:val="32"/>
        </w:rPr>
        <w:t>属不变的情况下，可配套建设供地方政府专职消防员使用的备勤公寓，以方便值班备勤。（责任单位：区发改委、区教体局、</w:t>
      </w:r>
      <w:r>
        <w:rPr>
          <w:rFonts w:hint="default" w:ascii="仿宋_GB2312" w:hAnsi="仿宋_GB2312" w:eastAsia="仿宋_GB2312" w:cs="Times New Roman"/>
          <w:snapToGrid w:val="0"/>
          <w:color w:val="auto"/>
          <w:spacing w:val="0"/>
          <w:w w:val="100"/>
          <w:kern w:val="0"/>
          <w:sz w:val="32"/>
          <w:szCs w:val="32"/>
          <w:lang w:eastAsia="zh-CN"/>
        </w:rPr>
        <w:t>市</w:t>
      </w:r>
      <w:r>
        <w:rPr>
          <w:rFonts w:hint="default" w:ascii="仿宋_GB2312" w:hAnsi="仿宋_GB2312" w:eastAsia="仿宋_GB2312" w:cs="Times New Roman"/>
          <w:snapToGrid w:val="0"/>
          <w:color w:val="auto"/>
          <w:spacing w:val="0"/>
          <w:w w:val="100"/>
          <w:kern w:val="0"/>
          <w:sz w:val="32"/>
          <w:szCs w:val="32"/>
        </w:rPr>
        <w:t>公安局</w:t>
      </w:r>
      <w:r>
        <w:rPr>
          <w:rFonts w:hint="default" w:ascii="仿宋_GB2312" w:hAnsi="仿宋_GB2312" w:eastAsia="仿宋_GB2312" w:cs="Times New Roman"/>
          <w:snapToGrid w:val="0"/>
          <w:color w:val="auto"/>
          <w:spacing w:val="0"/>
          <w:w w:val="100"/>
          <w:kern w:val="0"/>
          <w:sz w:val="32"/>
          <w:szCs w:val="32"/>
          <w:lang w:eastAsia="zh-CN"/>
        </w:rPr>
        <w:t>偃师分局</w:t>
      </w:r>
      <w:r>
        <w:rPr>
          <w:rFonts w:hint="default" w:ascii="仿宋_GB2312" w:hAnsi="仿宋_GB2312" w:eastAsia="仿宋_GB2312" w:cs="Times New Roman"/>
          <w:snapToGrid w:val="0"/>
          <w:color w:val="auto"/>
          <w:spacing w:val="0"/>
          <w:w w:val="100"/>
          <w:kern w:val="0"/>
          <w:sz w:val="32"/>
          <w:szCs w:val="32"/>
        </w:rPr>
        <w:t>、区人社局、区住建局、市自然资源和规划局偃师分局、区交通局、区卫健委、区消防救援大队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各相关镇、街道</w:t>
      </w:r>
      <w:r>
        <w:rPr>
          <w:rFonts w:hint="default" w:ascii="仿宋_GB2312" w:hAnsi="仿宋_GB2312" w:eastAsia="仿宋_GB2312" w:cs="Times New Roman"/>
          <w:snapToGrid w:val="0"/>
          <w:color w:val="auto"/>
          <w:spacing w:val="0"/>
          <w:w w:val="100"/>
          <w:kern w:val="0"/>
          <w:sz w:val="32"/>
          <w:szCs w:val="32"/>
        </w:rPr>
        <w:t>）</w:t>
      </w:r>
    </w:p>
    <w:p>
      <w:pPr>
        <w:widowControl w:val="0"/>
        <w:spacing w:before="0" w:after="0" w:line="566" w:lineRule="exact"/>
        <w:ind w:firstLine="640" w:firstLineChars="200"/>
        <w:jc w:val="both"/>
        <w:rPr>
          <w:rFonts w:hint="default" w:ascii="仿宋_GB2312" w:hAnsi="仿宋_GB2312" w:eastAsia="仿宋_GB2312" w:cs="Times New Roman"/>
          <w:snapToGrid w:val="0"/>
          <w:color w:val="auto"/>
          <w:spacing w:val="0"/>
          <w:w w:val="100"/>
          <w:kern w:val="0"/>
          <w:sz w:val="32"/>
          <w:szCs w:val="32"/>
          <w:lang w:val="en-US" w:eastAsia="zh-CN"/>
        </w:rPr>
      </w:pPr>
      <w:r>
        <w:rPr>
          <w:rFonts w:hint="default" w:ascii="仿宋_GB2312" w:hAnsi="仿宋_GB2312" w:eastAsia="仿宋_GB2312" w:cs="Times New Roman"/>
          <w:snapToGrid w:val="0"/>
          <w:color w:val="auto"/>
          <w:spacing w:val="0"/>
          <w:w w:val="100"/>
          <w:kern w:val="0"/>
          <w:sz w:val="32"/>
          <w:szCs w:val="32"/>
        </w:rPr>
        <w:t>19</w:t>
      </w:r>
      <w:r>
        <w:rPr>
          <w:rFonts w:hint="default" w:ascii="仿宋_GB2312" w:hAnsi="仿宋_GB2312" w:eastAsia="仿宋_GB2312" w:cs="Times New Roman"/>
          <w:snapToGrid w:val="0"/>
          <w:color w:val="auto"/>
          <w:spacing w:val="0"/>
          <w:w w:val="100"/>
          <w:kern w:val="0"/>
          <w:sz w:val="32"/>
          <w:szCs w:val="32"/>
          <w:lang w:eastAsia="zh-CN"/>
        </w:rPr>
        <w:t>．</w:t>
      </w:r>
      <w:r>
        <w:rPr>
          <w:rFonts w:hint="default" w:ascii="仿宋_GB2312" w:hAnsi="仿宋_GB2312" w:eastAsia="仿宋_GB2312" w:cs="Times New Roman"/>
          <w:snapToGrid w:val="0"/>
          <w:color w:val="auto"/>
          <w:spacing w:val="0"/>
          <w:w w:val="100"/>
          <w:kern w:val="0"/>
          <w:sz w:val="32"/>
          <w:szCs w:val="32"/>
        </w:rPr>
        <w:t>落实伤亡抚恤待遇。地方政府专职消防员因工受伤、致残或死亡的，要按照《工伤保险条例》对其进行工伤认定和劳动能力鉴定，落实工伤保险待遇，开辟</w:t>
      </w:r>
      <w:r>
        <w:rPr>
          <w:rFonts w:hint="eastAsia" w:ascii="仿宋_GB2312" w:hAnsi="仿宋_GB2312" w:eastAsia="仿宋_GB2312" w:cs="Times New Roman"/>
          <w:snapToGrid w:val="0"/>
          <w:color w:val="auto"/>
          <w:spacing w:val="0"/>
          <w:w w:val="100"/>
          <w:kern w:val="0"/>
          <w:sz w:val="32"/>
          <w:szCs w:val="32"/>
        </w:rPr>
        <w:t>“</w:t>
      </w:r>
      <w:r>
        <w:rPr>
          <w:rFonts w:hint="default" w:ascii="仿宋_GB2312" w:hAnsi="仿宋_GB2312" w:eastAsia="仿宋_GB2312" w:cs="Times New Roman"/>
          <w:snapToGrid w:val="0"/>
          <w:color w:val="auto"/>
          <w:spacing w:val="0"/>
          <w:w w:val="100"/>
          <w:kern w:val="0"/>
          <w:sz w:val="32"/>
          <w:szCs w:val="32"/>
        </w:rPr>
        <w:t>绿色</w:t>
      </w:r>
      <w:r>
        <w:rPr>
          <w:rFonts w:hint="eastAsia" w:ascii="仿宋_GB2312" w:hAnsi="仿宋_GB2312" w:eastAsia="仿宋_GB2312" w:cs="Times New Roman"/>
          <w:snapToGrid w:val="0"/>
          <w:color w:val="auto"/>
          <w:spacing w:val="0"/>
          <w:w w:val="100"/>
          <w:kern w:val="0"/>
          <w:sz w:val="32"/>
          <w:szCs w:val="32"/>
        </w:rPr>
        <w:t>”</w:t>
      </w:r>
      <w:r>
        <w:rPr>
          <w:rFonts w:hint="default" w:ascii="仿宋_GB2312" w:hAnsi="仿宋_GB2312" w:eastAsia="仿宋_GB2312" w:cs="Times New Roman"/>
          <w:snapToGrid w:val="0"/>
          <w:color w:val="auto"/>
          <w:spacing w:val="0"/>
          <w:w w:val="100"/>
          <w:kern w:val="0"/>
          <w:sz w:val="32"/>
          <w:szCs w:val="32"/>
        </w:rPr>
        <w:t>通道优先办理；符合烈士申报条件、因公牺牲的按照程序申报，落实抚恤优待政策。鼓励建立公益性基金，对因工伤残、牺牲和被评为烈士的地方政府专职消防员给予经济补助。（责任单位：</w:t>
      </w:r>
      <w:r>
        <w:rPr>
          <w:rFonts w:hint="default" w:ascii="仿宋_GB2312" w:hAnsi="仿宋_GB2312" w:eastAsia="仿宋_GB2312" w:cs="Times New Roman"/>
          <w:snapToGrid w:val="0"/>
          <w:color w:val="auto"/>
          <w:spacing w:val="0"/>
          <w:w w:val="100"/>
          <w:kern w:val="0"/>
          <w:sz w:val="32"/>
          <w:szCs w:val="32"/>
          <w:u w:val="none"/>
        </w:rPr>
        <w:t>区财政局、</w:t>
      </w:r>
      <w:r>
        <w:rPr>
          <w:rFonts w:hint="default" w:ascii="仿宋_GB2312" w:hAnsi="仿宋_GB2312" w:eastAsia="仿宋_GB2312" w:cs="Times New Roman"/>
          <w:snapToGrid w:val="0"/>
          <w:color w:val="auto"/>
          <w:spacing w:val="0"/>
          <w:w w:val="100"/>
          <w:kern w:val="0"/>
          <w:sz w:val="32"/>
          <w:szCs w:val="32"/>
        </w:rPr>
        <w:t>区人社局、区退役军人事务局、区消防救援大队</w:t>
      </w:r>
      <w:r>
        <w:rPr>
          <w:rFonts w:hint="eastAsia" w:ascii="仿宋_GB2312" w:hAnsi="仿宋_GB2312" w:eastAsia="仿宋_GB2312" w:cs="Times New Roman"/>
          <w:snapToGrid w:val="0"/>
          <w:color w:val="auto"/>
          <w:spacing w:val="0"/>
          <w:w w:val="100"/>
          <w:kern w:val="0"/>
          <w:sz w:val="32"/>
          <w:szCs w:val="32"/>
          <w:u w:val="none"/>
          <w:lang w:eastAsia="zh-CN"/>
        </w:rPr>
        <w:t>，</w:t>
      </w:r>
      <w:r>
        <w:rPr>
          <w:rFonts w:hint="eastAsia" w:ascii="仿宋_GB2312" w:hAnsi="仿宋_GB2312" w:eastAsia="仿宋_GB2312" w:cs="Times New Roman"/>
          <w:snapToGrid w:val="0"/>
          <w:color w:val="auto"/>
          <w:spacing w:val="0"/>
          <w:w w:val="100"/>
          <w:kern w:val="0"/>
          <w:sz w:val="32"/>
          <w:szCs w:val="32"/>
          <w:u w:val="none"/>
          <w:lang w:val="en-US" w:eastAsia="zh-CN"/>
        </w:rPr>
        <w:t>各镇、街道</w:t>
      </w:r>
      <w:r>
        <w:rPr>
          <w:rFonts w:hint="default" w:ascii="仿宋_GB2312" w:hAnsi="仿宋_GB2312" w:eastAsia="仿宋_GB2312" w:cs="Times New Roman"/>
          <w:snapToGrid w:val="0"/>
          <w:color w:val="auto"/>
          <w:spacing w:val="0"/>
          <w:w w:val="100"/>
          <w:kern w:val="0"/>
          <w:sz w:val="32"/>
          <w:szCs w:val="32"/>
          <w:lang w:val="en-US"/>
        </w:rPr>
        <w:t>)</w:t>
      </w:r>
    </w:p>
    <w:p>
      <w:pPr>
        <w:widowControl w:val="0"/>
        <w:spacing w:before="0" w:after="0" w:line="566" w:lineRule="exact"/>
        <w:ind w:firstLine="640" w:firstLineChars="200"/>
        <w:jc w:val="both"/>
        <w:rPr>
          <w:rFonts w:hint="default" w:ascii="仿宋_GB2312" w:hAnsi="仿宋_GB2312" w:eastAsia="仿宋_GB2312" w:cs="Times New Roman"/>
          <w:snapToGrid w:val="0"/>
          <w:color w:val="auto"/>
          <w:spacing w:val="0"/>
          <w:w w:val="100"/>
          <w:kern w:val="0"/>
          <w:sz w:val="32"/>
          <w:szCs w:val="32"/>
          <w:lang w:eastAsia="zh-CN"/>
        </w:rPr>
      </w:pPr>
      <w:r>
        <w:rPr>
          <w:rFonts w:hint="default" w:ascii="仿宋_GB2312" w:hAnsi="仿宋_GB2312" w:eastAsia="仿宋_GB2312" w:cs="Times New Roman"/>
          <w:snapToGrid w:val="0"/>
          <w:color w:val="auto"/>
          <w:spacing w:val="0"/>
          <w:w w:val="100"/>
          <w:kern w:val="0"/>
          <w:sz w:val="32"/>
          <w:szCs w:val="32"/>
        </w:rPr>
        <w:t>20</w:t>
      </w:r>
      <w:r>
        <w:rPr>
          <w:rFonts w:hint="default" w:ascii="仿宋_GB2312" w:hAnsi="仿宋_GB2312" w:eastAsia="仿宋_GB2312" w:cs="Times New Roman"/>
          <w:snapToGrid w:val="0"/>
          <w:color w:val="auto"/>
          <w:spacing w:val="0"/>
          <w:w w:val="100"/>
          <w:kern w:val="0"/>
          <w:sz w:val="32"/>
          <w:szCs w:val="32"/>
          <w:lang w:eastAsia="zh-CN"/>
        </w:rPr>
        <w:t>．</w:t>
      </w:r>
      <w:r>
        <w:rPr>
          <w:rFonts w:hint="default" w:ascii="仿宋_GB2312" w:hAnsi="仿宋_GB2312" w:eastAsia="仿宋_GB2312" w:cs="Times New Roman"/>
          <w:snapToGrid w:val="0"/>
          <w:color w:val="auto"/>
          <w:spacing w:val="0"/>
          <w:w w:val="100"/>
          <w:kern w:val="0"/>
          <w:sz w:val="32"/>
          <w:szCs w:val="32"/>
        </w:rPr>
        <w:t>落实车辆交通保障。消防车前往执行火灾扑救或应急救援任务时，免收通行费、泊车费，在确保安全的前提下不受行驶速度、行驶路线、行驶方向和指挥信号的限制。对列入《免征车辆购置税的设有固定装置的非运输专用作业车辆目录》的消防车，免征车辆购置税。（责任单位：市公安局偃师分局、区交通局、区税务局、区消防救援大队）</w:t>
      </w:r>
    </w:p>
    <w:p>
      <w:pPr>
        <w:widowControl w:val="0"/>
        <w:spacing w:before="0" w:after="0" w:line="566" w:lineRule="exact"/>
        <w:ind w:firstLine="640" w:firstLineChars="200"/>
        <w:rPr>
          <w:rFonts w:hint="default" w:ascii="仿宋_GB2312" w:hAnsi="仿宋_GB2312" w:eastAsia="仿宋_GB2312" w:cs="Times New Roman"/>
          <w:snapToGrid w:val="0"/>
          <w:color w:val="auto"/>
          <w:spacing w:val="0"/>
          <w:w w:val="100"/>
          <w:kern w:val="0"/>
          <w:sz w:val="32"/>
          <w:szCs w:val="32"/>
          <w:lang w:eastAsia="zh-CN"/>
        </w:rPr>
      </w:pPr>
      <w:r>
        <w:rPr>
          <w:rFonts w:hint="eastAsia" w:ascii="仿宋_GB2312" w:hAnsi="仿宋_GB2312" w:eastAsia="黑体" w:cs="黑体"/>
          <w:snapToGrid w:val="0"/>
          <w:color w:val="auto"/>
          <w:spacing w:val="0"/>
          <w:w w:val="100"/>
          <w:kern w:val="0"/>
          <w:sz w:val="32"/>
          <w:szCs w:val="32"/>
        </w:rPr>
        <w:t>三、保障措施</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6"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32"/>
        </w:rPr>
      </w:pPr>
      <w:r>
        <w:rPr>
          <w:rFonts w:hint="default" w:ascii="仿宋_GB2312" w:hAnsi="仿宋_GB2312" w:eastAsia="仿宋_GB2312" w:cs="Times New Roman"/>
          <w:snapToGrid w:val="0"/>
          <w:color w:val="auto"/>
          <w:spacing w:val="0"/>
          <w:w w:val="100"/>
          <w:kern w:val="0"/>
          <w:sz w:val="32"/>
          <w:szCs w:val="32"/>
          <w:lang w:val="en-US" w:eastAsia="zh-CN"/>
        </w:rPr>
        <w:t>各相关部门</w:t>
      </w:r>
      <w:r>
        <w:rPr>
          <w:rFonts w:hint="default" w:ascii="仿宋_GB2312" w:hAnsi="仿宋_GB2312" w:eastAsia="仿宋_GB2312" w:cs="Times New Roman"/>
          <w:snapToGrid w:val="0"/>
          <w:color w:val="auto"/>
          <w:spacing w:val="0"/>
          <w:w w:val="100"/>
          <w:kern w:val="0"/>
          <w:sz w:val="32"/>
          <w:szCs w:val="32"/>
        </w:rPr>
        <w:t>要高度重视地方政府专职队伍建设发展工作，</w:t>
      </w:r>
      <w:r>
        <w:rPr>
          <w:rFonts w:hint="default" w:ascii="仿宋_GB2312" w:hAnsi="仿宋_GB2312" w:eastAsia="仿宋_GB2312" w:cs="Times New Roman"/>
          <w:snapToGrid w:val="0"/>
          <w:color w:val="auto"/>
          <w:spacing w:val="0"/>
          <w:w w:val="100"/>
          <w:kern w:val="0"/>
          <w:sz w:val="32"/>
          <w:szCs w:val="31"/>
          <w:lang w:val="en-US" w:eastAsia="zh-CN" w:bidi="ar"/>
        </w:rPr>
        <w:t>对高质量完成建队、验收、评估任务的镇</w:t>
      </w:r>
      <w:r>
        <w:rPr>
          <w:rFonts w:hint="eastAsia" w:ascii="仿宋_GB2312" w:hAnsi="仿宋_GB2312" w:eastAsia="仿宋_GB2312" w:cs="Times New Roman"/>
          <w:snapToGrid w:val="0"/>
          <w:color w:val="auto"/>
          <w:spacing w:val="0"/>
          <w:w w:val="100"/>
          <w:kern w:val="0"/>
          <w:sz w:val="32"/>
          <w:szCs w:val="31"/>
          <w:lang w:val="en-US" w:eastAsia="zh-CN" w:bidi="ar"/>
        </w:rPr>
        <w:t>（</w:t>
      </w:r>
      <w:r>
        <w:rPr>
          <w:rFonts w:hint="default" w:ascii="仿宋_GB2312" w:hAnsi="仿宋_GB2312" w:eastAsia="仿宋_GB2312" w:cs="Times New Roman"/>
          <w:snapToGrid w:val="0"/>
          <w:color w:val="auto"/>
          <w:spacing w:val="0"/>
          <w:w w:val="100"/>
          <w:kern w:val="0"/>
          <w:sz w:val="32"/>
          <w:szCs w:val="31"/>
          <w:lang w:val="en-US" w:eastAsia="zh-CN" w:bidi="ar"/>
        </w:rPr>
        <w:t>街道</w:t>
      </w:r>
      <w:r>
        <w:rPr>
          <w:rFonts w:hint="eastAsia" w:ascii="仿宋_GB2312" w:hAnsi="仿宋_GB2312" w:eastAsia="仿宋_GB2312" w:cs="Times New Roman"/>
          <w:snapToGrid w:val="0"/>
          <w:color w:val="auto"/>
          <w:spacing w:val="0"/>
          <w:w w:val="100"/>
          <w:kern w:val="0"/>
          <w:sz w:val="32"/>
          <w:szCs w:val="31"/>
          <w:lang w:val="en-US" w:eastAsia="zh-CN" w:bidi="ar"/>
        </w:rPr>
        <w:t>）</w:t>
      </w:r>
      <w:r>
        <w:rPr>
          <w:rFonts w:hint="default" w:ascii="仿宋_GB2312" w:hAnsi="仿宋_GB2312" w:eastAsia="仿宋_GB2312" w:cs="Times New Roman"/>
          <w:snapToGrid w:val="0"/>
          <w:color w:val="auto"/>
          <w:spacing w:val="0"/>
          <w:w w:val="100"/>
          <w:kern w:val="0"/>
          <w:sz w:val="32"/>
          <w:szCs w:val="31"/>
          <w:lang w:val="en-US" w:eastAsia="zh-CN" w:bidi="ar"/>
        </w:rPr>
        <w:t>予以通报表扬；对未完成工作目标的镇</w:t>
      </w:r>
      <w:r>
        <w:rPr>
          <w:rFonts w:hint="eastAsia" w:ascii="仿宋_GB2312" w:hAnsi="仿宋_GB2312" w:eastAsia="仿宋_GB2312" w:cs="Times New Roman"/>
          <w:snapToGrid w:val="0"/>
          <w:color w:val="auto"/>
          <w:spacing w:val="0"/>
          <w:w w:val="100"/>
          <w:kern w:val="0"/>
          <w:sz w:val="32"/>
          <w:szCs w:val="31"/>
          <w:lang w:val="en-US" w:eastAsia="zh-CN" w:bidi="ar"/>
        </w:rPr>
        <w:t>（</w:t>
      </w:r>
      <w:r>
        <w:rPr>
          <w:rFonts w:hint="default" w:ascii="仿宋_GB2312" w:hAnsi="仿宋_GB2312" w:eastAsia="仿宋_GB2312" w:cs="Times New Roman"/>
          <w:snapToGrid w:val="0"/>
          <w:color w:val="auto"/>
          <w:spacing w:val="0"/>
          <w:w w:val="100"/>
          <w:kern w:val="0"/>
          <w:sz w:val="32"/>
          <w:szCs w:val="31"/>
          <w:lang w:val="en-US" w:eastAsia="zh-CN" w:bidi="ar"/>
        </w:rPr>
        <w:t>街道</w:t>
      </w:r>
      <w:r>
        <w:rPr>
          <w:rFonts w:hint="eastAsia" w:ascii="仿宋_GB2312" w:hAnsi="仿宋_GB2312" w:eastAsia="仿宋_GB2312" w:cs="Times New Roman"/>
          <w:snapToGrid w:val="0"/>
          <w:color w:val="auto"/>
          <w:spacing w:val="0"/>
          <w:w w:val="100"/>
          <w:kern w:val="0"/>
          <w:sz w:val="32"/>
          <w:szCs w:val="31"/>
          <w:lang w:val="en-US" w:eastAsia="zh-CN" w:bidi="ar"/>
        </w:rPr>
        <w:t>）</w:t>
      </w:r>
      <w:r>
        <w:rPr>
          <w:rFonts w:hint="default" w:ascii="仿宋_GB2312" w:hAnsi="仿宋_GB2312" w:eastAsia="仿宋_GB2312" w:cs="Times New Roman"/>
          <w:snapToGrid w:val="0"/>
          <w:color w:val="auto"/>
          <w:spacing w:val="0"/>
          <w:w w:val="100"/>
          <w:kern w:val="0"/>
          <w:sz w:val="32"/>
          <w:szCs w:val="31"/>
          <w:lang w:val="en-US" w:eastAsia="zh-CN" w:bidi="ar"/>
        </w:rPr>
        <w:t>严肃批评惩戒；对工作推进不力、责任落实不到位、队伍建设发展缓慢的地方，由有关部门开展督导帮扶。</w:t>
      </w:r>
    </w:p>
    <w:p>
      <w:pPr>
        <w:keepNext w:val="0"/>
        <w:keepLines w:val="0"/>
        <w:pageBreakBefore w:val="0"/>
        <w:widowControl w:val="0"/>
        <w:kinsoku/>
        <w:wordWrap/>
        <w:overflowPunct/>
        <w:topLinePunct w:val="0"/>
        <w:autoSpaceDE/>
        <w:autoSpaceDN/>
        <w:bidi w:val="0"/>
        <w:adjustRightInd w:val="0"/>
        <w:snapToGrid w:val="0"/>
        <w:spacing w:beforeAutospacing="0" w:afterAutospacing="0" w:line="566" w:lineRule="exact"/>
        <w:ind w:left="0" w:leftChars="0" w:right="0" w:rightChars="0" w:firstLine="640" w:firstLineChars="200"/>
        <w:jc w:val="both"/>
        <w:textAlignment w:val="auto"/>
        <w:rPr>
          <w:rFonts w:hint="default" w:ascii="仿宋_GB2312" w:hAnsi="仿宋_GB2312" w:eastAsia="仿宋_GB2312" w:cs="Times New Roman"/>
          <w:snapToGrid w:val="0"/>
          <w:color w:val="auto"/>
          <w:spacing w:val="0"/>
          <w:w w:val="100"/>
          <w:kern w:val="0"/>
          <w:sz w:val="32"/>
          <w:szCs w:val="44"/>
          <w:lang w:eastAsia="zh-CN"/>
        </w:rPr>
      </w:pPr>
      <w:r>
        <w:rPr>
          <w:rFonts w:hint="default" w:ascii="仿宋_GB2312" w:hAnsi="仿宋_GB2312" w:eastAsia="仿宋_GB2312" w:cs="Times New Roman"/>
          <w:snapToGrid w:val="0"/>
          <w:color w:val="auto"/>
          <w:spacing w:val="0"/>
          <w:w w:val="100"/>
          <w:kern w:val="0"/>
          <w:sz w:val="32"/>
          <w:szCs w:val="32"/>
        </w:rPr>
        <w:t>本实施方案自公布之日起施行，有效期五年</w:t>
      </w:r>
      <w:r>
        <w:rPr>
          <w:rFonts w:hint="default" w:ascii="仿宋_GB2312" w:hAnsi="仿宋_GB2312" w:eastAsia="仿宋_GB2312" w:cs="Times New Roman"/>
          <w:snapToGrid w:val="0"/>
          <w:color w:val="auto"/>
          <w:spacing w:val="0"/>
          <w:w w:val="100"/>
          <w:kern w:val="0"/>
          <w:sz w:val="32"/>
          <w:szCs w:val="32"/>
          <w:lang w:eastAsia="zh-CN"/>
        </w:rPr>
        <w:t>。</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spacing w:before="0" w:after="0" w:line="594" w:lineRule="exact"/>
        <w:ind w:left="0" w:leftChars="0" w:right="0" w:rightChars="0" w:firstLine="0" w:firstLineChars="0"/>
        <w:jc w:val="center"/>
        <w:textAlignment w:val="auto"/>
        <w:rPr>
          <w:rFonts w:hint="eastAsia" w:ascii="Times New Roman" w:hAnsi="Times New Roman" w:eastAsia="仿宋_GB2312" w:cs="仿宋_GB2312"/>
          <w:b w:val="0"/>
          <w:bCs w:val="0"/>
          <w:snapToGrid w:val="0"/>
          <w:color w:val="000000"/>
          <w:w w:val="100"/>
          <w:kern w:val="0"/>
          <w:sz w:val="32"/>
          <w:szCs w:val="32"/>
          <w:shd w:val="clear" w:color="auto" w:fill="auto"/>
          <w:lang w:eastAsia="zh-CN"/>
        </w:rPr>
      </w:pPr>
    </w:p>
    <w:sectPr>
      <w:headerReference r:id="rId10" w:type="first"/>
      <w:footerReference r:id="rId13" w:type="first"/>
      <w:headerReference r:id="rId8" w:type="default"/>
      <w:footerReference r:id="rId11" w:type="default"/>
      <w:headerReference r:id="rId9" w:type="even"/>
      <w:footerReference r:id="rId12" w:type="even"/>
      <w:pgSz w:w="11906" w:h="16838"/>
      <w:pgMar w:top="1871" w:right="1361" w:bottom="1701" w:left="1701" w:header="851" w:footer="680" w:gutter="0"/>
      <w:lnNumType w:countBy="0" w:restart="continuous"/>
      <w:pgNumType w:fmt="decimal"/>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NEU-BZ">
    <w:altName w:val="华文仿宋"/>
    <w:panose1 w:val="0201060001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52" w:leftChars="120" w:right="252" w:rightChars="120" w:firstLine="0" w:firstLineChars="0"/>
      <w:jc w:val="right"/>
      <w:rPr>
        <w:rFonts w:hint="eastAsia" w:ascii="宋体" w:hAnsi="宋体" w:eastAsia="宋体" w:cs="宋体"/>
        <w:sz w:val="28"/>
      </w:rPr>
    </w:pPr>
    <w:r>
      <w:rPr>
        <w:sz w:val="28"/>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52" w:leftChars="120" w:right="252"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1</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BEOMHAIAACkEAAAOAAAAZHJz&#10;L2Uyb0RvYy54bWytU82O0zAQviPxDpbvNGkRu1X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UwRDjBwCAAApBAAADgAAAAAAAAABACAAAAA1AQAAZHJzL2Uyb0RvYy54bWxQSwUG&#10;AAAAAAYABgBZAQAAwwUAAAAA&#10;">
              <v:fill on="f" focussize="0,0"/>
              <v:stroke on="f" weight="0.5pt"/>
              <v:imagedata o:title=""/>
              <o:lock v:ext="edit" aspectratio="f"/>
              <v:textbox inset="0mm,0mm,0mm,0mm" style="mso-fit-shape-to-text:t;">
                <w:txbxContent>
                  <w:p>
                    <w:pPr>
                      <w:pStyle w:val="2"/>
                      <w:ind w:left="252" w:leftChars="120" w:right="252"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1</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p>
  <w:p>
    <w:pPr>
      <w:pStyle w:val="2"/>
      <w:ind w:left="252" w:leftChars="120" w:right="252" w:rightChars="120" w:firstLine="0" w:firstLineChars="0"/>
      <w:jc w:val="right"/>
      <w:rPr>
        <w:rFonts w:hint="eastAsia" w:ascii="宋体" w:hAnsi="宋体" w:eastAsia="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69504" behindDoc="0" locked="0" layoutInCell="1" allowOverlap="1">
              <wp:simplePos x="0" y="0"/>
              <wp:positionH relativeFrom="column">
                <wp:posOffset>6350</wp:posOffset>
              </wp:positionH>
              <wp:positionV relativeFrom="paragraph">
                <wp:posOffset>115570</wp:posOffset>
              </wp:positionV>
              <wp:extent cx="5616575" cy="1905"/>
              <wp:effectExtent l="0" t="10795" r="3175" b="15875"/>
              <wp:wrapNone/>
              <wp:docPr id="6" name="直接连接符 6"/>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5pt;margin-top:9.1pt;height:0.15pt;width:442.25pt;z-index:251669504;mso-width-relative:page;mso-height-relative:page;" filled="f" stroked="t" coordsize="21600,21600" o:gfxdata="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CtrthP0gAAAAcBAAAPAAAAAAAAAAEAIAAAADgAAABkcnMvZG93bnJl&#10;di54bWxQSwECFAAUAAAACACHTuJA5A/6su0BAADAAwAADgAAAAAAAAABACAAAAA3AQAAZHJzL2Uy&#10;b0RvYy54bWxQSwUGAAAAAAYABgBZAQAAlgUAAAAA&#10;">
              <v:fill on="f" focussize="0,0"/>
              <v:stroke weight="1.75pt" color="#005192" joinstyle="round"/>
              <v:imagedata o:title=""/>
              <o:lock v:ext="edit" aspectratio="f"/>
            </v:line>
          </w:pict>
        </mc:Fallback>
      </mc:AlternateContent>
    </w:r>
  </w:p>
  <w:p>
    <w:pPr>
      <w:pStyle w:val="2"/>
      <w:ind w:left="252" w:leftChars="120" w:right="252" w:rightChars="120" w:firstLine="0" w:firstLineChars="0"/>
      <w:jc w:val="right"/>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2"/>
      <w:ind w:left="252" w:leftChars="120" w:right="252" w:rightChars="120" w:firstLine="0" w:firstLineChars="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52" w:leftChars="120" w:right="252" w:rightChars="120" w:firstLine="0" w:firstLineChars="0"/>
      <w:jc w:val="left"/>
      <w:rPr>
        <w:rFonts w:hint="eastAsia" w:ascii="宋体" w:hAnsi="宋体" w:eastAsia="宋体" w:cs="宋体"/>
        <w:sz w:val="28"/>
      </w:rPr>
    </w:pPr>
    <w:r>
      <w:rPr>
        <w:sz w:val="28"/>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52" w:leftChars="120" w:right="252" w:rightChars="120" w:firstLine="0" w:firstLineChars="0"/>
                            <w:jc w:val="left"/>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2</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2"/>
                      <w:ind w:left="252" w:leftChars="120" w:right="252" w:rightChars="120" w:firstLine="0" w:firstLineChars="0"/>
                      <w:jc w:val="left"/>
                    </w:pPr>
                    <w:r>
                      <w:rPr>
                        <w:rFonts w:hint="eastAsia" w:ascii="宋体" w:hAnsi="宋体" w:eastAsia="宋体" w:cs="宋体"/>
                        <w:sz w:val="28"/>
                        <w:lang w:eastAsia="zh-CN"/>
                      </w:rPr>
                      <w:t xml:space="preserve">— </w:t>
                    </w:r>
                    <w:r>
                      <w:rPr>
                        <w:rFonts w:hint="eastAsia" w:ascii="宋体" w:hAnsi="宋体" w:eastAsia="宋体" w:cs="宋体"/>
                        <w:sz w:val="28"/>
                        <w:lang w:eastAsia="zh-CN"/>
                      </w:rPr>
                      <w:fldChar w:fldCharType="begin"/>
                    </w:r>
                    <w:r>
                      <w:rPr>
                        <w:rFonts w:hint="eastAsia" w:ascii="宋体" w:hAnsi="宋体" w:eastAsia="宋体" w:cs="宋体"/>
                        <w:sz w:val="28"/>
                        <w:lang w:eastAsia="zh-CN"/>
                      </w:rPr>
                      <w:instrText xml:space="preserve"> PAGE  \* MERGEFORMAT </w:instrText>
                    </w:r>
                    <w:r>
                      <w:rPr>
                        <w:rFonts w:hint="eastAsia" w:ascii="宋体" w:hAnsi="宋体" w:eastAsia="宋体" w:cs="宋体"/>
                        <w:sz w:val="28"/>
                        <w:lang w:eastAsia="zh-CN"/>
                      </w:rPr>
                      <w:fldChar w:fldCharType="separate"/>
                    </w:r>
                    <w:r>
                      <w:rPr>
                        <w:rFonts w:hint="eastAsia" w:ascii="宋体" w:hAnsi="宋体" w:eastAsia="宋体" w:cs="宋体"/>
                        <w:sz w:val="28"/>
                        <w:lang w:eastAsia="zh-CN"/>
                      </w:rPr>
                      <w:t>2</w:t>
                    </w:r>
                    <w:r>
                      <w:rPr>
                        <w:rFonts w:hint="eastAsia" w:ascii="宋体" w:hAnsi="宋体" w:eastAsia="宋体" w:cs="宋体"/>
                        <w:sz w:val="28"/>
                        <w:lang w:eastAsia="zh-CN"/>
                      </w:rPr>
                      <w:fldChar w:fldCharType="end"/>
                    </w:r>
                    <w:r>
                      <w:rPr>
                        <w:rFonts w:hint="eastAsia" w:ascii="宋体" w:hAnsi="宋体" w:eastAsia="宋体" w:cs="宋体"/>
                        <w:sz w:val="28"/>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52" w:leftChars="120" w:right="252" w:rightChars="120" w:firstLine="0" w:firstLineChars="0"/>
      <w:jc w:val="right"/>
      <w:rPr>
        <w:rFonts w:hint="eastAsia" w:ascii="宋体" w:hAnsi="宋体" w:cs="宋体"/>
        <w:b/>
        <w:bCs/>
        <w:color w:val="005192"/>
        <w:sz w:val="28"/>
        <w:szCs w:val="44"/>
        <w:lang w:val="en-US" w:eastAsia="zh-CN"/>
      </w:rPr>
    </w:pPr>
    <w:r>
      <w:rPr>
        <w:sz w:val="28"/>
      </w:rPr>
      <mc:AlternateContent>
        <mc:Choice Requires="wps">
          <w:drawing>
            <wp:anchor distT="0" distB="0" distL="114300" distR="114300" simplePos="0" relativeHeight="251672576" behindDoc="0" locked="0" layoutInCell="1" allowOverlap="1">
              <wp:simplePos x="0" y="0"/>
              <wp:positionH relativeFrom="margin">
                <wp:posOffset>4666615</wp:posOffset>
              </wp:positionH>
              <wp:positionV relativeFrom="paragraph">
                <wp:posOffset>116840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52" w:leftChars="120" w:right="252"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67.45pt;margin-top:9.2pt;height:144pt;width:144pt;mso-position-horizontal-relative:margin;mso-wrap-style:none;z-index:251672576;mso-width-relative:page;mso-height-relative:page;" filled="f" stroked="f" coordsize="21600,21600" o:gfxdata="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VQ/uw9cAAAALAQAADwAAAAAAAAABACAAAAA4AAAAZHJzL2Rvd25yZXYueG1s&#10;UEsBAhQAFAAAAAgAh07iQCvLYMwcAgAAKQQAAA4AAAAAAAAAAQAgAAAAPAEAAGRycy9lMm9Eb2Mu&#10;eG1sUEsFBgAAAAAGAAYAWQEAAMoFAAAAAA==&#10;">
              <v:fill on="f" focussize="0,0"/>
              <v:stroke on="f" weight="0.5pt"/>
              <v:imagedata o:title=""/>
              <o:lock v:ext="edit" aspectratio="f"/>
              <v:textbox inset="0mm,0mm,0mm,0mm" style="mso-fit-shape-to-text:t;">
                <w:txbxContent>
                  <w:p>
                    <w:pPr>
                      <w:pStyle w:val="2"/>
                      <w:ind w:left="252" w:leftChars="120" w:right="252" w:rightChars="120" w:firstLine="0" w:firstLineChars="0"/>
                      <w:jc w:val="right"/>
                    </w:pPr>
                    <w:r>
                      <w:rPr>
                        <w:rFonts w:hint="eastAsia" w:ascii="宋体" w:hAnsi="宋体" w:eastAsia="宋体" w:cs="宋体"/>
                        <w:sz w:val="28"/>
                        <w:lang w:val="en-US" w:eastAsia="zh-CN"/>
                      </w:rPr>
                      <w:t xml:space="preserve">— </w:t>
                    </w:r>
                    <w:r>
                      <w:rPr>
                        <w:rFonts w:hint="eastAsia" w:ascii="宋体" w:hAnsi="宋体" w:eastAsia="宋体" w:cs="宋体"/>
                        <w:sz w:val="28"/>
                        <w:lang w:val="en-US"/>
                      </w:rPr>
                      <w:fldChar w:fldCharType="begin"/>
                    </w:r>
                    <w:r>
                      <w:rPr>
                        <w:rFonts w:hint="eastAsia" w:ascii="宋体" w:hAnsi="宋体" w:eastAsia="宋体" w:cs="宋体"/>
                        <w:sz w:val="28"/>
                        <w:lang w:val="en-US"/>
                      </w:rPr>
                      <w:instrText xml:space="preserve"> PAGE  \* MERGEFORMAT </w:instrText>
                    </w:r>
                    <w:r>
                      <w:rPr>
                        <w:rFonts w:hint="eastAsia" w:ascii="宋体" w:hAnsi="宋体" w:eastAsia="宋体" w:cs="宋体"/>
                        <w:sz w:val="28"/>
                        <w:lang w:val="en-US"/>
                      </w:rPr>
                      <w:fldChar w:fldCharType="separate"/>
                    </w:r>
                    <w:r>
                      <w:rPr>
                        <w:rFonts w:hint="eastAsia" w:ascii="宋体" w:hAnsi="宋体" w:eastAsia="宋体" w:cs="宋体"/>
                        <w:sz w:val="28"/>
                        <w:lang w:val="en-US"/>
                      </w:rPr>
                      <w:t>1</w:t>
                    </w:r>
                    <w:r>
                      <w:rPr>
                        <w:rFonts w:hint="eastAsia" w:ascii="宋体" w:hAnsi="宋体" w:eastAsia="宋体" w:cs="宋体"/>
                        <w:sz w:val="28"/>
                        <w:lang w:val="en-US"/>
                      </w:rPr>
                      <w:fldChar w:fldCharType="end"/>
                    </w:r>
                    <w:r>
                      <w:rPr>
                        <w:rFonts w:hint="eastAsia" w:ascii="宋体" w:hAnsi="宋体" w:eastAsia="宋体" w:cs="宋体"/>
                        <w:sz w:val="28"/>
                        <w:lang w:val="en-US"/>
                      </w:rPr>
                      <w:t xml:space="preserve"> —</w:t>
                    </w:r>
                  </w:p>
                </w:txbxContent>
              </v:textbox>
            </v:shape>
          </w:pict>
        </mc:Fallback>
      </mc:AlternateContent>
    </w:r>
  </w:p>
  <w:p>
    <w:pPr>
      <w:pStyle w:val="2"/>
      <w:ind w:left="252" w:leftChars="120" w:right="252" w:rightChars="120" w:firstLine="0" w:firstLineChars="0"/>
      <w:jc w:val="right"/>
      <w:rPr>
        <w:rFonts w:hint="eastAsia" w:ascii="宋体" w:hAnsi="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716608" behindDoc="0" locked="0" layoutInCell="1" allowOverlap="1">
              <wp:simplePos x="0" y="0"/>
              <wp:positionH relativeFrom="column">
                <wp:posOffset>6350</wp:posOffset>
              </wp:positionH>
              <wp:positionV relativeFrom="paragraph">
                <wp:posOffset>153035</wp:posOffset>
              </wp:positionV>
              <wp:extent cx="5616575" cy="1905"/>
              <wp:effectExtent l="0" t="10795" r="3175" b="15875"/>
              <wp:wrapNone/>
              <wp:docPr id="13" name="直接连接符 13"/>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5pt;margin-top:12.05pt;height:0.15pt;width:442.25pt;z-index:251716608;mso-width-relative:page;mso-height-relative:page;" filled="f" stroked="t" coordsize="21600,21600" o:gfxdata="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FgAAAGRy&#10;cy9QSwECFAAUAAAACACHTuJApRHvq9IAAAAHAQAADwAAAAAAAAABACAAAAA4AAAAZHJzL2Rvd25y&#10;ZXYueG1sUEsBAhQAFAAAAAgAh07iQEeyr5LuAQAAwgMAAA4AAAAAAAAAAQAgAAAANwEAAGRycy9l&#10;Mm9Eb2MueG1sUEsFBgAAAAAGAAYAWQEAAJcFAAAAAA==&#10;">
              <v:fill on="f" focussize="0,0"/>
              <v:stroke weight="1.75pt" color="#005192" joinstyle="round"/>
              <v:imagedata o:title=""/>
              <o:lock v:ext="edit" aspectratio="f"/>
            </v:line>
          </w:pict>
        </mc:Fallback>
      </mc:AlternateContent>
    </w:r>
  </w:p>
  <w:p>
    <w:pPr>
      <w:pStyle w:val="2"/>
      <w:ind w:left="252" w:leftChars="120" w:right="252" w:rightChars="120" w:firstLine="0" w:firstLineChars="0"/>
      <w:jc w:val="right"/>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2"/>
      <w:ind w:left="252" w:leftChars="120" w:right="252" w:rightChars="120" w:firstLine="0" w:firstLineChars="0"/>
      <w:jc w:val="right"/>
      <w:rPr>
        <w:rFonts w:hint="eastAsia" w:ascii="宋体" w:hAnsi="宋体" w:eastAsia="宋体" w:cs="宋体"/>
        <w:sz w:val="28"/>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252" w:leftChars="120" w:right="252" w:rightChars="120" w:firstLine="0" w:firstLineChars="0"/>
      <w:jc w:val="right"/>
      <w:rPr>
        <w:rFonts w:hint="eastAsia" w:ascii="宋体" w:hAnsi="宋体" w:eastAsia="宋体" w:cs="宋体"/>
        <w:sz w:val="28"/>
      </w:rPr>
    </w:pPr>
    <w:r>
      <w:rPr>
        <w:sz w:val="28"/>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ind w:left="252" w:leftChars="120" w:right="252"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FsIeAxwCAAArBAAADgAAAAAAAAABACAAAAA1AQAAZHJzL2Uyb0RvYy54bWxQSwUG&#10;AAAAAAYABgBZAQAAwwUAAAAA&#10;">
              <v:fill on="f" focussize="0,0"/>
              <v:stroke on="f" weight="0.5pt"/>
              <v:imagedata o:title=""/>
              <o:lock v:ext="edit" aspectratio="f"/>
              <v:textbox inset="0mm,0mm,0mm,0mm" style="mso-fit-shape-to-text:t;">
                <w:txbxContent>
                  <w:p>
                    <w:pPr>
                      <w:pStyle w:val="2"/>
                      <w:ind w:left="252" w:leftChars="120" w:right="252" w:rightChars="120" w:firstLine="0" w:firstLineChars="0"/>
                      <w:jc w:val="right"/>
                    </w:pPr>
                    <w:r>
                      <w:rPr>
                        <w:rFonts w:hint="eastAsia" w:ascii="宋体" w:hAnsi="宋体" w:eastAsia="宋体" w:cs="宋体"/>
                        <w:sz w:val="28"/>
                        <w:lang w:eastAsia="zh-CN"/>
                      </w:rPr>
                      <w:t xml:space="preserve">— </w:t>
                    </w:r>
                    <w:r>
                      <w:rPr>
                        <w:rFonts w:hint="eastAsia" w:ascii="宋体" w:hAnsi="宋体" w:eastAsia="宋体" w:cs="宋体"/>
                        <w:sz w:val="28"/>
                      </w:rPr>
                      <w:fldChar w:fldCharType="begin"/>
                    </w:r>
                    <w:r>
                      <w:rPr>
                        <w:rFonts w:hint="eastAsia" w:ascii="宋体" w:hAnsi="宋体" w:eastAsia="宋体" w:cs="宋体"/>
                        <w:sz w:val="28"/>
                      </w:rPr>
                      <w:instrText xml:space="preserve"> PAGE  \* MERGEFORMAT </w:instrText>
                    </w:r>
                    <w:r>
                      <w:rPr>
                        <w:rFonts w:hint="eastAsia" w:ascii="宋体" w:hAnsi="宋体" w:eastAsia="宋体" w:cs="宋体"/>
                        <w:sz w:val="28"/>
                      </w:rPr>
                      <w:fldChar w:fldCharType="separate"/>
                    </w:r>
                    <w:r>
                      <w:rPr>
                        <w:rFonts w:hint="eastAsia" w:ascii="宋体" w:hAnsi="宋体" w:eastAsia="宋体" w:cs="宋体"/>
                        <w:sz w:val="28"/>
                      </w:rPr>
                      <w:t>2</w:t>
                    </w:r>
                    <w:r>
                      <w:rPr>
                        <w:rFonts w:hint="eastAsia" w:ascii="宋体" w:hAnsi="宋体" w:eastAsia="宋体" w:cs="宋体"/>
                        <w:sz w:val="28"/>
                      </w:rPr>
                      <w:fldChar w:fldCharType="end"/>
                    </w:r>
                    <w:r>
                      <w:rPr>
                        <w:rFonts w:hint="eastAsia" w:ascii="宋体" w:hAnsi="宋体" w:eastAsia="宋体" w:cs="宋体"/>
                        <w:sz w:val="28"/>
                      </w:rPr>
                      <w:t xml:space="preserve"> —</w:t>
                    </w:r>
                  </w:p>
                </w:txbxContent>
              </v:textbox>
            </v:shape>
          </w:pict>
        </mc:Fallback>
      </mc:AlternateContent>
    </w:r>
  </w:p>
  <w:p>
    <w:pPr>
      <w:pStyle w:val="2"/>
      <w:ind w:left="252" w:leftChars="120" w:right="252" w:rightChars="120" w:firstLine="0" w:firstLineChars="0"/>
      <w:jc w:val="right"/>
      <w:rPr>
        <w:rFonts w:hint="eastAsia" w:ascii="宋体" w:hAnsi="宋体" w:cs="宋体"/>
        <w:b/>
        <w:bCs/>
        <w:color w:val="005192"/>
        <w:sz w:val="28"/>
        <w:szCs w:val="44"/>
        <w:lang w:val="en-US" w:eastAsia="zh-CN"/>
      </w:rPr>
    </w:pPr>
    <w:r>
      <w:rPr>
        <w:rFonts w:ascii="Calibri" w:hAnsi="NEU-BZ" w:eastAsia="宋体" w:cs="Times New Roman"/>
        <w:kern w:val="2"/>
        <w:sz w:val="32"/>
        <w:szCs w:val="22"/>
        <w:lang w:val="en-US" w:eastAsia="zh-CN" w:bidi="ar-SA"/>
      </w:rPr>
      <mc:AlternateContent>
        <mc:Choice Requires="wps">
          <w:drawing>
            <wp:anchor distT="0" distB="0" distL="114300" distR="114300" simplePos="0" relativeHeight="251685888" behindDoc="0" locked="0" layoutInCell="1" allowOverlap="1">
              <wp:simplePos x="0" y="0"/>
              <wp:positionH relativeFrom="column">
                <wp:posOffset>21590</wp:posOffset>
              </wp:positionH>
              <wp:positionV relativeFrom="paragraph">
                <wp:posOffset>121285</wp:posOffset>
              </wp:positionV>
              <wp:extent cx="5616575" cy="1905"/>
              <wp:effectExtent l="0" t="10795" r="3175" b="15875"/>
              <wp:wrapNone/>
              <wp:docPr id="11" name="直接连接符 11"/>
              <wp:cNvGraphicFramePr/>
              <a:graphic xmlns:a="http://schemas.openxmlformats.org/drawingml/2006/main">
                <a:graphicData uri="http://schemas.microsoft.com/office/word/2010/wordprocessingShape">
                  <wps:wsp>
                    <wps:cNvCnPr/>
                    <wps:spPr>
                      <a:xfrm>
                        <a:off x="0" y="0"/>
                        <a:ext cx="5616575" cy="190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1.7pt;margin-top:9.55pt;height:0.15pt;width:442.25pt;z-index:251685888;mso-width-relative:page;mso-height-relative:page;" filled="f" stroked="t" coordsize="21600,21600" o:gfxdata="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WAAAAZHJz&#10;L1BLAQIUABQAAAAIAIdO4kD2iRiN0QAAAAcBAAAPAAAAAAAAAAEAIAAAADgAAABkcnMvZG93bnJl&#10;di54bWxQSwECFAAUAAAACACHTuJARIoXru4BAADCAwAADgAAAAAAAAABACAAAAA2AQAAZHJzL2Uy&#10;b0RvYy54bWxQSwUGAAAAAAYABgBZAQAAlgUAAAAA&#10;">
              <v:fill on="f" focussize="0,0"/>
              <v:stroke weight="1.75pt" color="#005192" joinstyle="round"/>
              <v:imagedata o:title=""/>
              <o:lock v:ext="edit" aspectratio="f"/>
            </v:line>
          </w:pict>
        </mc:Fallback>
      </mc:AlternateContent>
    </w:r>
  </w:p>
  <w:p>
    <w:pPr>
      <w:pStyle w:val="2"/>
      <w:ind w:left="252" w:leftChars="120" w:right="252" w:rightChars="120" w:firstLine="0" w:firstLineChars="0"/>
      <w:jc w:val="right"/>
      <w:rPr>
        <w:rFonts w:hint="eastAsia" w:ascii="宋体" w:hAnsi="宋体" w:eastAsia="宋体" w:cs="宋体"/>
        <w:b/>
        <w:bCs/>
        <w:color w:val="005192"/>
        <w:sz w:val="28"/>
        <w:szCs w:val="44"/>
        <w:lang w:val="en-US" w:eastAsia="zh-CN"/>
      </w:rPr>
    </w:pPr>
    <w:r>
      <w:rPr>
        <w:rFonts w:hint="eastAsia" w:ascii="宋体" w:hAnsi="宋体" w:cs="宋体"/>
        <w:b/>
        <w:bCs/>
        <w:color w:val="005192"/>
        <w:sz w:val="28"/>
        <w:szCs w:val="44"/>
        <w:lang w:val="en-US" w:eastAsia="zh-CN"/>
      </w:rPr>
      <w:t>洛阳市</w:t>
    </w:r>
    <w:r>
      <w:rPr>
        <w:rFonts w:hint="default" w:ascii="宋体" w:hAnsi="宋体" w:cs="宋体"/>
        <w:b/>
        <w:bCs/>
        <w:color w:val="005192"/>
        <w:sz w:val="28"/>
        <w:szCs w:val="44"/>
        <w:lang w:eastAsia="zh-CN"/>
      </w:rPr>
      <w:t>偃师区</w:t>
    </w:r>
    <w:r>
      <w:rPr>
        <w:rFonts w:hint="eastAsia" w:ascii="宋体" w:hAnsi="宋体" w:eastAsia="宋体" w:cs="宋体"/>
        <w:b/>
        <w:bCs/>
        <w:color w:val="005192"/>
        <w:sz w:val="28"/>
        <w:szCs w:val="44"/>
        <w:lang w:val="en-US" w:eastAsia="zh-CN"/>
      </w:rPr>
      <w:t>人民政府</w:t>
    </w:r>
    <w:r>
      <w:rPr>
        <w:rFonts w:hint="eastAsia" w:ascii="宋体" w:hAnsi="宋体" w:cs="宋体"/>
        <w:b/>
        <w:bCs/>
        <w:color w:val="005192"/>
        <w:sz w:val="28"/>
        <w:szCs w:val="44"/>
        <w:lang w:val="en-US" w:eastAsia="zh-CN"/>
      </w:rPr>
      <w:t>办公室</w:t>
    </w:r>
    <w:r>
      <w:rPr>
        <w:rFonts w:hint="eastAsia" w:ascii="宋体" w:hAnsi="宋体" w:eastAsia="宋体" w:cs="宋体"/>
        <w:b/>
        <w:bCs/>
        <w:color w:val="005192"/>
        <w:sz w:val="28"/>
        <w:szCs w:val="44"/>
        <w:lang w:val="en-US" w:eastAsia="zh-CN"/>
      </w:rPr>
      <w:t>发布</w:t>
    </w:r>
  </w:p>
  <w:p>
    <w:pPr>
      <w:pStyle w:val="2"/>
      <w:ind w:left="252" w:leftChars="120" w:right="252" w:rightChars="120" w:firstLine="0" w:firstLineChars="0"/>
      <w:jc w:val="left"/>
      <w:rPr>
        <w:rFonts w:hint="eastAsia" w:ascii="宋体" w:hAnsi="宋体" w:eastAsia="宋体" w:cs="宋体"/>
        <w:sz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widowControl w:val="0"/>
      <w:wordWrap/>
      <w:adjustRightInd/>
      <w:snapToGrid w:val="0"/>
      <w:textAlignment w:val="center"/>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58240" behindDoc="0" locked="0" layoutInCell="1" allowOverlap="1">
              <wp:simplePos x="0" y="0"/>
              <wp:positionH relativeFrom="column">
                <wp:posOffset>12065</wp:posOffset>
              </wp:positionH>
              <wp:positionV relativeFrom="paragraph">
                <wp:posOffset>470535</wp:posOffset>
              </wp:positionV>
              <wp:extent cx="5620385" cy="635"/>
              <wp:effectExtent l="0" t="10795" r="18415" b="17145"/>
              <wp:wrapNone/>
              <wp:docPr id="3" name="直接连接符 3"/>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0.95pt;margin-top:37.05pt;height:0.05pt;width:442.55pt;z-index:251658240;mso-width-relative:page;mso-height-relative:page;" filled="f" stroked="t" coordsize="21600,21600" o:gfxdata="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BYAAABkcnMv&#10;UEsBAhQAFAAAAAgAh07iQDfqlsHRAAAABwEAAA8AAAAAAAAAAQAgAAAAOAAAAGRycy9kb3ducmV2&#10;LnhtbFBLAQIUABQAAAAIAIdO4kCZVsHP7QEAAL8DAAAOAAAAAAAAAAEAIAAAADYBAABkcnMvZTJv&#10;RG9jLnhtbFBLBQYAAAAABgAGAFkBAACVBQAAAAA=&#10;">
              <v:fill on="f" focussize="0,0"/>
              <v:stroke weight="1.75pt" color="#005192" joinstyle="round"/>
              <v:imagedata o:title=""/>
              <o:lock v:ext="edit" aspectratio="f"/>
            </v:line>
          </w:pict>
        </mc:Fallback>
      </mc:AlternateContent>
    </w: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p>
    <w:pPr>
      <w:pStyle w:val="8"/>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87936" behindDoc="0" locked="0" layoutInCell="1" allowOverlap="1">
              <wp:simplePos x="0" y="0"/>
              <wp:positionH relativeFrom="column">
                <wp:posOffset>-21590</wp:posOffset>
              </wp:positionH>
              <wp:positionV relativeFrom="paragraph">
                <wp:posOffset>170180</wp:posOffset>
              </wp:positionV>
              <wp:extent cx="5620385" cy="635"/>
              <wp:effectExtent l="0" t="10795" r="18415" b="17145"/>
              <wp:wrapNone/>
              <wp:docPr id="12" name="直接连接符 12"/>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1.7pt;margin-top:13.4pt;height:0.05pt;width:442.55pt;z-index:251687936;mso-width-relative:page;mso-height-relative:page;" filled="f" stroked="t" coordsize="21600,21600" o:gfxdata="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FIv5r7UAAAACAEAAA8AAAAAAAAAAQAgAAAAOAAAAGRycy9kb3du&#10;cmV2LnhtbFBLAQIUABQAAAAIAIdO4kBamOUO7QEAAMEDAAAOAAAAAAAAAAEAIAAAADkBAABkcnMv&#10;ZTJvRG9jLnhtbFBLBQYAAAAABgAGAFkBAACYBQAAAAA=&#10;">
              <v:fill on="f" focussize="0,0"/>
              <v:stroke weight="1.75pt" color="#005192" joinstyle="round"/>
              <v:imagedata o:title=""/>
              <o:lock v:ext="edit" aspectratio="f"/>
            </v:lin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widowControl w:val="0"/>
      <w:wordWrap/>
      <w:adjustRightInd/>
      <w:snapToGrid w:val="0"/>
      <w:textAlignment w:val="center"/>
      <w:rPr>
        <w:rFonts w:hint="eastAsia" w:ascii="宋体" w:hAnsi="宋体" w:cs="宋体"/>
        <w:b/>
        <w:bCs/>
        <w:color w:val="005192"/>
        <w:sz w:val="32"/>
        <w:lang w:eastAsia="zh-CN"/>
      </w:rPr>
    </w:pPr>
  </w:p>
  <w:p>
    <w:pPr>
      <w:pStyle w:val="8"/>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cs="宋体"/>
        <w:b/>
        <w:bCs/>
        <w:color w:val="005192"/>
        <w:sz w:val="32"/>
        <w:lang w:eastAsia="zh-CN"/>
      </w:rPr>
      <w:t>洛阳市</w:t>
    </w:r>
    <w:r>
      <w:rPr>
        <w:rFonts w:hint="default" w:ascii="宋体" w:hAnsi="宋体" w:cs="宋体"/>
        <w:b/>
        <w:bCs/>
        <w:color w:val="005192"/>
        <w:sz w:val="32"/>
        <w:szCs w:val="32"/>
        <w:lang w:eastAsia="zh-CN"/>
      </w:rPr>
      <w:t>偃师区</w:t>
    </w:r>
    <w:r>
      <w:rPr>
        <w:rFonts w:hint="eastAsia" w:ascii="宋体" w:hAnsi="宋体" w:cs="宋体"/>
        <w:b/>
        <w:bCs/>
        <w:color w:val="005192"/>
        <w:sz w:val="32"/>
        <w:szCs w:val="32"/>
        <w:lang w:val="en-US" w:eastAsia="zh-CN"/>
      </w:rPr>
      <w:t>人民政府办公室行政规范性文件</w:t>
    </w:r>
  </w:p>
  <w:p>
    <w:pPr>
      <w:pStyle w:val="8"/>
    </w:pPr>
    <w:r>
      <w:rPr>
        <w:rFonts w:hint="eastAsia" w:ascii="宋体" w:hAnsi="宋体" w:eastAsia="宋体" w:cs="宋体"/>
        <w:b/>
        <w:bCs/>
        <w:color w:val="005192"/>
        <w:kern w:val="2"/>
        <w:sz w:val="32"/>
        <w:szCs w:val="22"/>
        <w:lang w:val="en-US" w:eastAsia="zh-CN" w:bidi="ar-SA"/>
      </w:rPr>
      <mc:AlternateContent>
        <mc:Choice Requires="wps">
          <w:drawing>
            <wp:anchor distT="0" distB="0" distL="114300" distR="114300" simplePos="0" relativeHeight="251659264" behindDoc="0" locked="0" layoutInCell="1" allowOverlap="1">
              <wp:simplePos x="0" y="0"/>
              <wp:positionH relativeFrom="column">
                <wp:posOffset>-26035</wp:posOffset>
              </wp:positionH>
              <wp:positionV relativeFrom="paragraph">
                <wp:posOffset>141605</wp:posOffset>
              </wp:positionV>
              <wp:extent cx="5620385" cy="635"/>
              <wp:effectExtent l="0" t="10795" r="18415" b="17145"/>
              <wp:wrapNone/>
              <wp:docPr id="4" name="直接连接符 4"/>
              <wp:cNvGraphicFramePr/>
              <a:graphic xmlns:a="http://schemas.openxmlformats.org/drawingml/2006/main">
                <a:graphicData uri="http://schemas.microsoft.com/office/word/2010/wordprocessingShape">
                  <wps:wsp>
                    <wps:cNvCnPr/>
                    <wps:spPr>
                      <a:xfrm>
                        <a:off x="0" y="0"/>
                        <a:ext cx="5620385" cy="635"/>
                      </a:xfrm>
                      <a:prstGeom prst="line">
                        <a:avLst/>
                      </a:prstGeom>
                      <a:ln w="22225" cap="flat" cmpd="sng">
                        <a:solidFill>
                          <a:srgbClr val="005192">
                            <a:alpha val="100000"/>
                          </a:srgbClr>
                        </a:solidFill>
                        <a:prstDash val="solid"/>
                        <a:headEnd type="none" w="med" len="med"/>
                        <a:tailEnd type="none" w="med" len="med"/>
                      </a:ln>
                    </wps:spPr>
                    <wps:bodyPr upright="false"/>
                  </wps:wsp>
                </a:graphicData>
              </a:graphic>
            </wp:anchor>
          </w:drawing>
        </mc:Choice>
        <mc:Fallback>
          <w:pict>
            <v:line id="_x0000_s1026" o:spid="_x0000_s1026" o:spt="20" style="position:absolute;left:0pt;margin-left:-2.05pt;margin-top:11.15pt;height:0.05pt;width:442.55pt;z-index:251659264;mso-width-relative:page;mso-height-relative:page;" filled="f" stroked="t" coordsize="21600,21600" o:gfxdata="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BYAAABk&#10;cnMvUEsBAhQAFAAAAAgAh07iQFGCbjHTAAAACAEAAA8AAAAAAAAAAQAgAAAAOAAAAGRycy9kb3du&#10;cmV2LnhtbFBLAQIUABQAAAAIAIdO4kDq/32c7gEAAL8DAAAOAAAAAAAAAAEAIAAAADgBAABkcnMv&#10;ZTJvRG9jLnhtbFBLBQYAAAAABgAGAFkBAACYBQAAAAA=&#10;">
              <v:fill on="f" focussize="0,0"/>
              <v:stroke weight="1.75pt" color="#005192" joinstyle="round"/>
              <v:imagedata o:title=""/>
              <o:lock v:ext="edit" aspectratio="f"/>
            </v:lin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mirrorMargins w:val="true"/>
  <w:bordersDoNotSurroundHeader w:val="true"/>
  <w:bordersDoNotSurroundFooter w:val="true"/>
  <w:documentProtection w:edit="readOnly" w:enforcement="0"/>
  <w:defaultTabStop w:val="420"/>
  <w:evenAndOddHeaders w:val="true"/>
  <w:drawingGridVerticalSpacing w:val="158"/>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E7391"/>
    <w:rsid w:val="0175164F"/>
    <w:rsid w:val="019A461F"/>
    <w:rsid w:val="01BA74A9"/>
    <w:rsid w:val="01FD48BE"/>
    <w:rsid w:val="0314617A"/>
    <w:rsid w:val="03F63D1C"/>
    <w:rsid w:val="0450566F"/>
    <w:rsid w:val="04D817D2"/>
    <w:rsid w:val="055732FD"/>
    <w:rsid w:val="059A49E6"/>
    <w:rsid w:val="065C41B6"/>
    <w:rsid w:val="07F93D7E"/>
    <w:rsid w:val="08390114"/>
    <w:rsid w:val="085E3F28"/>
    <w:rsid w:val="088E4664"/>
    <w:rsid w:val="08A15949"/>
    <w:rsid w:val="08C956D3"/>
    <w:rsid w:val="09167D40"/>
    <w:rsid w:val="09D60706"/>
    <w:rsid w:val="0A4E677B"/>
    <w:rsid w:val="0A941BA3"/>
    <w:rsid w:val="0B0E32A4"/>
    <w:rsid w:val="0B120106"/>
    <w:rsid w:val="0B1942FD"/>
    <w:rsid w:val="0BCD1AB6"/>
    <w:rsid w:val="0CAF46F3"/>
    <w:rsid w:val="0D1B59D8"/>
    <w:rsid w:val="0D4E63B9"/>
    <w:rsid w:val="0D9C346B"/>
    <w:rsid w:val="0E052AAC"/>
    <w:rsid w:val="0E2367DB"/>
    <w:rsid w:val="0E3F498D"/>
    <w:rsid w:val="0E8B7121"/>
    <w:rsid w:val="0F1028FB"/>
    <w:rsid w:val="0F250C2A"/>
    <w:rsid w:val="0F966B8B"/>
    <w:rsid w:val="1005726E"/>
    <w:rsid w:val="11551569"/>
    <w:rsid w:val="11696A86"/>
    <w:rsid w:val="12642504"/>
    <w:rsid w:val="126C71D7"/>
    <w:rsid w:val="12766455"/>
    <w:rsid w:val="12D33E0B"/>
    <w:rsid w:val="12D54C79"/>
    <w:rsid w:val="14F263C7"/>
    <w:rsid w:val="15DC756D"/>
    <w:rsid w:val="15F10A53"/>
    <w:rsid w:val="16095EAA"/>
    <w:rsid w:val="162A080D"/>
    <w:rsid w:val="173C2830"/>
    <w:rsid w:val="178459EA"/>
    <w:rsid w:val="17CF0D3C"/>
    <w:rsid w:val="188D573F"/>
    <w:rsid w:val="18914036"/>
    <w:rsid w:val="18F90638"/>
    <w:rsid w:val="19102765"/>
    <w:rsid w:val="19C330B9"/>
    <w:rsid w:val="1A272513"/>
    <w:rsid w:val="1AAD11D0"/>
    <w:rsid w:val="1ADB5109"/>
    <w:rsid w:val="1B3F3055"/>
    <w:rsid w:val="1B844F66"/>
    <w:rsid w:val="1BE321F6"/>
    <w:rsid w:val="1BF03DAB"/>
    <w:rsid w:val="1BF53DB5"/>
    <w:rsid w:val="1C276350"/>
    <w:rsid w:val="1CDF60F9"/>
    <w:rsid w:val="1CE90329"/>
    <w:rsid w:val="1D230CC8"/>
    <w:rsid w:val="1DAD23D5"/>
    <w:rsid w:val="1E0E4CB5"/>
    <w:rsid w:val="1E717E4D"/>
    <w:rsid w:val="1F1B140E"/>
    <w:rsid w:val="1F763E4B"/>
    <w:rsid w:val="1F9D7EF4"/>
    <w:rsid w:val="1FAD11D5"/>
    <w:rsid w:val="1FAE75EA"/>
    <w:rsid w:val="1FB21F80"/>
    <w:rsid w:val="1FB35D4F"/>
    <w:rsid w:val="1FBD0FFE"/>
    <w:rsid w:val="1FEF572F"/>
    <w:rsid w:val="204C0795"/>
    <w:rsid w:val="20664E3A"/>
    <w:rsid w:val="20E62929"/>
    <w:rsid w:val="20F4278E"/>
    <w:rsid w:val="21270E3B"/>
    <w:rsid w:val="217E2814"/>
    <w:rsid w:val="21825BCE"/>
    <w:rsid w:val="2184595E"/>
    <w:rsid w:val="2196143C"/>
    <w:rsid w:val="220A4F69"/>
    <w:rsid w:val="226876E2"/>
    <w:rsid w:val="23CF4A8E"/>
    <w:rsid w:val="23E151CD"/>
    <w:rsid w:val="23E8383B"/>
    <w:rsid w:val="24335784"/>
    <w:rsid w:val="24817D77"/>
    <w:rsid w:val="24FF66F2"/>
    <w:rsid w:val="25077F8F"/>
    <w:rsid w:val="259913DE"/>
    <w:rsid w:val="268C6D96"/>
    <w:rsid w:val="268F5134"/>
    <w:rsid w:val="26941400"/>
    <w:rsid w:val="27173A01"/>
    <w:rsid w:val="273A2BF6"/>
    <w:rsid w:val="2772631F"/>
    <w:rsid w:val="27976AE8"/>
    <w:rsid w:val="27B92F72"/>
    <w:rsid w:val="27CA5330"/>
    <w:rsid w:val="288B1D33"/>
    <w:rsid w:val="28F35DA2"/>
    <w:rsid w:val="29B87038"/>
    <w:rsid w:val="29D3170D"/>
    <w:rsid w:val="2A0D6FC2"/>
    <w:rsid w:val="2A3F754E"/>
    <w:rsid w:val="2A58590D"/>
    <w:rsid w:val="2A875671"/>
    <w:rsid w:val="2AED1DB8"/>
    <w:rsid w:val="2BE96EEA"/>
    <w:rsid w:val="2C2F6966"/>
    <w:rsid w:val="2C6C1E73"/>
    <w:rsid w:val="2DAFDD9E"/>
    <w:rsid w:val="2DF3423B"/>
    <w:rsid w:val="2E624BD8"/>
    <w:rsid w:val="2F420646"/>
    <w:rsid w:val="2F596435"/>
    <w:rsid w:val="2FBD0F6D"/>
    <w:rsid w:val="302C2C6A"/>
    <w:rsid w:val="31586912"/>
    <w:rsid w:val="31C71D77"/>
    <w:rsid w:val="324937EC"/>
    <w:rsid w:val="32E82C41"/>
    <w:rsid w:val="334D2125"/>
    <w:rsid w:val="337260B9"/>
    <w:rsid w:val="33AE4BF0"/>
    <w:rsid w:val="33ED56FB"/>
    <w:rsid w:val="344931B9"/>
    <w:rsid w:val="349E1E83"/>
    <w:rsid w:val="34DF106C"/>
    <w:rsid w:val="35342086"/>
    <w:rsid w:val="35971DB5"/>
    <w:rsid w:val="35C30625"/>
    <w:rsid w:val="35EE3785"/>
    <w:rsid w:val="362F5D11"/>
    <w:rsid w:val="376A0976"/>
    <w:rsid w:val="37867BBC"/>
    <w:rsid w:val="37C83F47"/>
    <w:rsid w:val="39194A6B"/>
    <w:rsid w:val="39412E6E"/>
    <w:rsid w:val="398C4BD6"/>
    <w:rsid w:val="39D50B25"/>
    <w:rsid w:val="39E17654"/>
    <w:rsid w:val="3ACF0E9B"/>
    <w:rsid w:val="3B08044E"/>
    <w:rsid w:val="3B19771B"/>
    <w:rsid w:val="3C1C5965"/>
    <w:rsid w:val="3C460F61"/>
    <w:rsid w:val="3D1B57FE"/>
    <w:rsid w:val="3DAE4CDD"/>
    <w:rsid w:val="3DBB6E92"/>
    <w:rsid w:val="3DDDB6DB"/>
    <w:rsid w:val="3E05404B"/>
    <w:rsid w:val="3E727ED5"/>
    <w:rsid w:val="3E8F1FCC"/>
    <w:rsid w:val="3EA12336"/>
    <w:rsid w:val="3ED10927"/>
    <w:rsid w:val="3EFE0693"/>
    <w:rsid w:val="3F1E34D2"/>
    <w:rsid w:val="3F2664D8"/>
    <w:rsid w:val="3FA926D5"/>
    <w:rsid w:val="402B63DE"/>
    <w:rsid w:val="405701E5"/>
    <w:rsid w:val="4068122B"/>
    <w:rsid w:val="41290C9B"/>
    <w:rsid w:val="41414041"/>
    <w:rsid w:val="415A38CC"/>
    <w:rsid w:val="41694ECF"/>
    <w:rsid w:val="41BE7ED8"/>
    <w:rsid w:val="41FB509F"/>
    <w:rsid w:val="42466E27"/>
    <w:rsid w:val="429F71D0"/>
    <w:rsid w:val="42DE62C5"/>
    <w:rsid w:val="43142D05"/>
    <w:rsid w:val="436177B7"/>
    <w:rsid w:val="443B3406"/>
    <w:rsid w:val="451F1F80"/>
    <w:rsid w:val="456559EC"/>
    <w:rsid w:val="46484D51"/>
    <w:rsid w:val="4669535C"/>
    <w:rsid w:val="466C6E67"/>
    <w:rsid w:val="47DF1C18"/>
    <w:rsid w:val="480A67B6"/>
    <w:rsid w:val="482B6B71"/>
    <w:rsid w:val="49DE50AA"/>
    <w:rsid w:val="4A217D89"/>
    <w:rsid w:val="4A400CBB"/>
    <w:rsid w:val="4A5B150F"/>
    <w:rsid w:val="4ADD47C7"/>
    <w:rsid w:val="4B927E54"/>
    <w:rsid w:val="4C0E7541"/>
    <w:rsid w:val="4C136D4E"/>
    <w:rsid w:val="4CC8408F"/>
    <w:rsid w:val="4D906A5D"/>
    <w:rsid w:val="4E533F6E"/>
    <w:rsid w:val="4EA65CF6"/>
    <w:rsid w:val="4EF725E3"/>
    <w:rsid w:val="4FAC0D3A"/>
    <w:rsid w:val="507752D3"/>
    <w:rsid w:val="508D6825"/>
    <w:rsid w:val="509A5FF6"/>
    <w:rsid w:val="50DF5539"/>
    <w:rsid w:val="51FF6591"/>
    <w:rsid w:val="525433B7"/>
    <w:rsid w:val="53716BC7"/>
    <w:rsid w:val="55834B4E"/>
    <w:rsid w:val="55AF2A2D"/>
    <w:rsid w:val="55F72E9E"/>
    <w:rsid w:val="565160D8"/>
    <w:rsid w:val="566D31BC"/>
    <w:rsid w:val="56C27C2A"/>
    <w:rsid w:val="56F1421E"/>
    <w:rsid w:val="571D4053"/>
    <w:rsid w:val="57FE3C60"/>
    <w:rsid w:val="5818188A"/>
    <w:rsid w:val="58462E07"/>
    <w:rsid w:val="58C5210E"/>
    <w:rsid w:val="58E34E42"/>
    <w:rsid w:val="58FA4F48"/>
    <w:rsid w:val="59615E1F"/>
    <w:rsid w:val="5A874FFF"/>
    <w:rsid w:val="5AE201C4"/>
    <w:rsid w:val="5B9906A3"/>
    <w:rsid w:val="5C0C7000"/>
    <w:rsid w:val="5C3A30D8"/>
    <w:rsid w:val="5C486959"/>
    <w:rsid w:val="5C4913DD"/>
    <w:rsid w:val="5C4D0ADB"/>
    <w:rsid w:val="5C97125A"/>
    <w:rsid w:val="5CFA1F10"/>
    <w:rsid w:val="5D1D3D31"/>
    <w:rsid w:val="5D3A492B"/>
    <w:rsid w:val="5D97453E"/>
    <w:rsid w:val="5DBD34A7"/>
    <w:rsid w:val="5DF7250F"/>
    <w:rsid w:val="5E113DF5"/>
    <w:rsid w:val="5E2E19DF"/>
    <w:rsid w:val="5E4B0625"/>
    <w:rsid w:val="5EA730F0"/>
    <w:rsid w:val="5EC75B87"/>
    <w:rsid w:val="5F0C7034"/>
    <w:rsid w:val="5F7F25CE"/>
    <w:rsid w:val="60252C36"/>
    <w:rsid w:val="609E4BF2"/>
    <w:rsid w:val="61070203"/>
    <w:rsid w:val="61D402F2"/>
    <w:rsid w:val="621067D7"/>
    <w:rsid w:val="62A37A67"/>
    <w:rsid w:val="62B649F6"/>
    <w:rsid w:val="62F227F8"/>
    <w:rsid w:val="646E5744"/>
    <w:rsid w:val="6480631B"/>
    <w:rsid w:val="64BF5159"/>
    <w:rsid w:val="64F36F8B"/>
    <w:rsid w:val="6560758E"/>
    <w:rsid w:val="65977C1D"/>
    <w:rsid w:val="66413188"/>
    <w:rsid w:val="66675D06"/>
    <w:rsid w:val="66923FF4"/>
    <w:rsid w:val="6692748D"/>
    <w:rsid w:val="672047E0"/>
    <w:rsid w:val="67EE4A07"/>
    <w:rsid w:val="67FC00B8"/>
    <w:rsid w:val="684E3481"/>
    <w:rsid w:val="68777868"/>
    <w:rsid w:val="68B340CF"/>
    <w:rsid w:val="697E6327"/>
    <w:rsid w:val="698B3637"/>
    <w:rsid w:val="69A96F76"/>
    <w:rsid w:val="69EE6B03"/>
    <w:rsid w:val="6A294847"/>
    <w:rsid w:val="6A645EF4"/>
    <w:rsid w:val="6AE74257"/>
    <w:rsid w:val="6B444E58"/>
    <w:rsid w:val="6BA15E78"/>
    <w:rsid w:val="6BB868FC"/>
    <w:rsid w:val="6C121A5B"/>
    <w:rsid w:val="6C564073"/>
    <w:rsid w:val="6DA01611"/>
    <w:rsid w:val="6DAE1F9A"/>
    <w:rsid w:val="6E394489"/>
    <w:rsid w:val="6E496153"/>
    <w:rsid w:val="6EA25BFF"/>
    <w:rsid w:val="6ED275A1"/>
    <w:rsid w:val="6EE32995"/>
    <w:rsid w:val="6F4B05C2"/>
    <w:rsid w:val="6F514520"/>
    <w:rsid w:val="6FE86842"/>
    <w:rsid w:val="70F5413A"/>
    <w:rsid w:val="714A315F"/>
    <w:rsid w:val="720133AE"/>
    <w:rsid w:val="723C6AB8"/>
    <w:rsid w:val="72AC440A"/>
    <w:rsid w:val="73AE10B4"/>
    <w:rsid w:val="75211541"/>
    <w:rsid w:val="755B3785"/>
    <w:rsid w:val="7592235E"/>
    <w:rsid w:val="75D81465"/>
    <w:rsid w:val="75E7635C"/>
    <w:rsid w:val="764D0386"/>
    <w:rsid w:val="7661101A"/>
    <w:rsid w:val="76CB1FD3"/>
    <w:rsid w:val="77091C79"/>
    <w:rsid w:val="77DC5862"/>
    <w:rsid w:val="77EC0B70"/>
    <w:rsid w:val="78302731"/>
    <w:rsid w:val="789B36BF"/>
    <w:rsid w:val="78EC2FB3"/>
    <w:rsid w:val="79512B69"/>
    <w:rsid w:val="7A2D6D5B"/>
    <w:rsid w:val="7A486189"/>
    <w:rsid w:val="7BA42A55"/>
    <w:rsid w:val="7C184936"/>
    <w:rsid w:val="7C264CF7"/>
    <w:rsid w:val="7C386441"/>
    <w:rsid w:val="7C655CAD"/>
    <w:rsid w:val="7D083A12"/>
    <w:rsid w:val="7D0B0C9F"/>
    <w:rsid w:val="7E193587"/>
    <w:rsid w:val="7E29215A"/>
    <w:rsid w:val="7E847F4C"/>
    <w:rsid w:val="7EDC55BF"/>
    <w:rsid w:val="7EEB2F6F"/>
    <w:rsid w:val="7F0C380F"/>
    <w:rsid w:val="7FF5234A"/>
    <w:rsid w:val="B7C7E30F"/>
    <w:rsid w:val="F7A77AA4"/>
    <w:rsid w:val="F8F7F85E"/>
    <w:rsid w:val="FFEBCC3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paragraph" w:styleId="3">
    <w:name w:val="heading 2"/>
    <w:basedOn w:val="1"/>
    <w:next w:val="1"/>
    <w:unhideWhenUsed/>
    <w:qFormat/>
    <w:uiPriority w:val="0"/>
    <w:pPr>
      <w:keepNext/>
      <w:keepLines/>
      <w:spacing w:beforeLines="0" w:beforeAutospacing="0" w:afterLines="0" w:afterAutospacing="0" w:line="560" w:lineRule="exact"/>
      <w:ind w:firstLine="880" w:firstLineChars="200"/>
      <w:outlineLvl w:val="1"/>
    </w:pPr>
    <w:rPr>
      <w:rFonts w:ascii="Arial" w:hAnsi="Arial" w:eastAsia="黑体"/>
      <w:sz w:val="32"/>
    </w:rPr>
  </w:style>
  <w:style w:type="paragraph" w:styleId="4">
    <w:name w:val="heading 3"/>
    <w:basedOn w:val="1"/>
    <w:next w:val="1"/>
    <w:link w:val="27"/>
    <w:qFormat/>
    <w:uiPriority w:val="9"/>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pBdr>
        <w:top w:val="none" w:color="auto" w:sz="0" w:space="0"/>
      </w:pBdr>
      <w:tabs>
        <w:tab w:val="center" w:pos="4153"/>
        <w:tab w:val="right" w:pos="8306"/>
      </w:tabs>
      <w:snapToGrid w:val="0"/>
      <w:jc w:val="left"/>
    </w:pPr>
    <w:rPr>
      <w:sz w:val="18"/>
    </w:rPr>
  </w:style>
  <w:style w:type="paragraph" w:styleId="5">
    <w:name w:val="Normal Indent"/>
    <w:basedOn w:val="1"/>
    <w:next w:val="1"/>
    <w:unhideWhenUsed/>
    <w:qFormat/>
    <w:uiPriority w:val="99"/>
    <w:pPr>
      <w:ind w:firstLine="420" w:firstLineChars="200"/>
    </w:pPr>
    <w:rPr>
      <w:rFonts w:hint="eastAsia" w:cs="Times New Roman"/>
    </w:rPr>
  </w:style>
  <w:style w:type="paragraph" w:styleId="6">
    <w:name w:val="Body Text"/>
    <w:basedOn w:val="1"/>
    <w:next w:val="1"/>
    <w:qFormat/>
    <w:uiPriority w:val="0"/>
    <w:pPr>
      <w:ind w:left="325"/>
      <w:jc w:val="left"/>
    </w:pPr>
    <w:rPr>
      <w:rFonts w:ascii="宋体" w:hAnsi="宋体"/>
      <w:kern w:val="0"/>
      <w:sz w:val="31"/>
      <w:szCs w:val="31"/>
      <w:lang w:eastAsia="en-US"/>
    </w:rPr>
  </w:style>
  <w:style w:type="paragraph" w:styleId="7">
    <w:name w:val="Body Text Indent"/>
    <w:basedOn w:val="1"/>
    <w:next w:val="5"/>
    <w:qFormat/>
    <w:uiPriority w:val="0"/>
    <w:pPr>
      <w:adjustRightInd w:val="0"/>
      <w:snapToGrid w:val="0"/>
      <w:spacing w:line="348" w:lineRule="auto"/>
      <w:ind w:firstLine="640" w:firstLineChars="200"/>
      <w:textAlignment w:val="bottom"/>
    </w:pPr>
    <w:rPr>
      <w:rFonts w:ascii="仿宋_GB2312" w:eastAsia="仿宋_GB2312"/>
      <w:kern w:val="0"/>
      <w:sz w:val="32"/>
      <w:szCs w:val="32"/>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Subtitle"/>
    <w:basedOn w:val="1"/>
    <w:next w:val="1"/>
    <w:qFormat/>
    <w:uiPriority w:val="0"/>
    <w:pPr>
      <w:widowControl/>
      <w:wordWrap w:val="0"/>
      <w:spacing w:before="0" w:after="60" w:line="240" w:lineRule="auto"/>
      <w:ind w:left="0" w:firstLine="0"/>
      <w:jc w:val="center"/>
    </w:pPr>
    <w:rPr>
      <w:rFonts w:ascii="Times New Roman" w:hAnsi="Times New Roman" w:eastAsia="宋体" w:cs="Times New Roman"/>
      <w:sz w:val="24"/>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11">
    <w:name w:val="Title"/>
    <w:basedOn w:val="1"/>
    <w:next w:val="1"/>
    <w:qFormat/>
    <w:uiPriority w:val="0"/>
    <w:pPr>
      <w:widowControl/>
      <w:adjustRightInd/>
      <w:snapToGrid/>
      <w:spacing w:before="240" w:after="60" w:line="240" w:lineRule="auto"/>
      <w:jc w:val="center"/>
      <w:outlineLvl w:val="0"/>
    </w:pPr>
    <w:rPr>
      <w:rFonts w:ascii="Cambria" w:hAnsi="Cambria" w:eastAsia="宋体" w:cs="Times New Roman"/>
      <w:b/>
      <w:bCs/>
      <w:kern w:val="28"/>
      <w:szCs w:val="32"/>
      <w:lang w:eastAsia="en-US"/>
    </w:rPr>
  </w:style>
  <w:style w:type="paragraph" w:styleId="12">
    <w:name w:val="Body Text First Indent"/>
    <w:basedOn w:val="6"/>
    <w:next w:val="1"/>
    <w:qFormat/>
    <w:uiPriority w:val="0"/>
    <w:pPr>
      <w:spacing w:after="0"/>
      <w:ind w:firstLine="420" w:firstLineChars="100"/>
    </w:pPr>
  </w:style>
  <w:style w:type="paragraph" w:styleId="13">
    <w:name w:val="Body Text First Indent 2"/>
    <w:basedOn w:val="7"/>
    <w:next w:val="1"/>
    <w:qFormat/>
    <w:uiPriority w:val="0"/>
    <w:pPr>
      <w:ind w:firstLine="420" w:firstLineChars="200"/>
    </w:pPr>
  </w:style>
  <w:style w:type="table" w:styleId="15">
    <w:name w:val="Table Grid"/>
    <w:basedOn w:val="1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uiPriority w:val="0"/>
    <w:rPr>
      <w:b/>
    </w:rPr>
  </w:style>
  <w:style w:type="paragraph" w:customStyle="1" w:styleId="18">
    <w:name w:val="Default"/>
    <w:next w:val="9"/>
    <w:qFormat/>
    <w:uiPriority w:val="0"/>
    <w:pPr>
      <w:widowControl w:val="0"/>
      <w:autoSpaceDE w:val="0"/>
      <w:autoSpaceDN w:val="0"/>
      <w:adjustRightInd w:val="0"/>
    </w:pPr>
    <w:rPr>
      <w:rFonts w:hint="eastAsia" w:ascii="仿宋_GB2312" w:hAnsi="Calibri" w:eastAsia="仿宋_GB2312" w:cs="Times New Roman"/>
      <w:color w:val="000000"/>
      <w:sz w:val="24"/>
      <w:szCs w:val="22"/>
      <w:lang w:val="en-US" w:eastAsia="zh-CN" w:bidi="ar-SA"/>
    </w:rPr>
  </w:style>
  <w:style w:type="character" w:customStyle="1" w:styleId="19">
    <w:name w:val="NormalCharacter"/>
    <w:semiHidden/>
    <w:qFormat/>
    <w:uiPriority w:val="0"/>
  </w:style>
  <w:style w:type="paragraph" w:customStyle="1" w:styleId="20">
    <w:name w:val="BodyText1I2"/>
    <w:basedOn w:val="21"/>
    <w:qFormat/>
    <w:uiPriority w:val="0"/>
    <w:pPr>
      <w:spacing w:after="120"/>
      <w:ind w:left="420" w:leftChars="200" w:firstLine="420" w:firstLineChars="200"/>
      <w:jc w:val="both"/>
      <w:textAlignment w:val="baseline"/>
    </w:pPr>
  </w:style>
  <w:style w:type="paragraph" w:customStyle="1" w:styleId="21">
    <w:name w:val="BodyTextIndent"/>
    <w:basedOn w:val="1"/>
    <w:next w:val="22"/>
    <w:qFormat/>
    <w:uiPriority w:val="0"/>
    <w:pPr>
      <w:spacing w:after="120"/>
      <w:ind w:left="420" w:leftChars="200"/>
      <w:jc w:val="both"/>
      <w:textAlignment w:val="baseline"/>
    </w:pPr>
  </w:style>
  <w:style w:type="paragraph" w:customStyle="1" w:styleId="22">
    <w:name w:val="NormalIndent"/>
    <w:basedOn w:val="1"/>
    <w:qFormat/>
    <w:uiPriority w:val="0"/>
    <w:pPr>
      <w:ind w:firstLine="420" w:firstLineChars="200"/>
      <w:jc w:val="both"/>
      <w:textAlignment w:val="baseline"/>
    </w:pPr>
    <w:rPr>
      <w:rFonts w:ascii="Calibri" w:hAnsi="Calibri" w:eastAsia="仿宋"/>
      <w:kern w:val="2"/>
      <w:sz w:val="32"/>
      <w:lang w:val="en-US" w:eastAsia="zh-CN"/>
    </w:rPr>
  </w:style>
  <w:style w:type="paragraph" w:customStyle="1" w:styleId="23">
    <w:name w:val="Heading 1"/>
    <w:basedOn w:val="1"/>
    <w:qFormat/>
    <w:uiPriority w:val="1"/>
    <w:pPr>
      <w:spacing w:before="38"/>
      <w:ind w:right="762"/>
      <w:jc w:val="center"/>
      <w:outlineLvl w:val="1"/>
    </w:pPr>
    <w:rPr>
      <w:rFonts w:ascii="宋体" w:hAnsi="宋体" w:eastAsia="宋体" w:cs="宋体"/>
      <w:sz w:val="44"/>
      <w:szCs w:val="44"/>
      <w:lang w:val="en-US" w:eastAsia="zh-CN" w:bidi="ar-SA"/>
    </w:rPr>
  </w:style>
  <w:style w:type="paragraph" w:customStyle="1" w:styleId="24">
    <w:name w:val="List Paragraph"/>
    <w:basedOn w:val="1"/>
    <w:qFormat/>
    <w:uiPriority w:val="1"/>
    <w:pPr>
      <w:spacing w:before="184"/>
      <w:ind w:left="131" w:firstLine="639"/>
    </w:pPr>
    <w:rPr>
      <w:rFonts w:ascii="宋体" w:hAnsi="宋体" w:eastAsia="宋体" w:cs="宋体"/>
      <w:lang w:val="en-US" w:eastAsia="zh-CN" w:bidi="ar-SA"/>
    </w:rPr>
  </w:style>
  <w:style w:type="paragraph" w:customStyle="1" w:styleId="25">
    <w:name w:val="Table Paragraph"/>
    <w:basedOn w:val="1"/>
    <w:qFormat/>
    <w:uiPriority w:val="1"/>
    <w:pPr>
      <w:spacing w:before="110"/>
      <w:jc w:val="center"/>
    </w:pPr>
    <w:rPr>
      <w:rFonts w:ascii="宋体" w:hAnsi="宋体" w:eastAsia="宋体" w:cs="宋体"/>
      <w:lang w:val="en-US" w:eastAsia="zh-CN" w:bidi="ar-SA"/>
    </w:rPr>
  </w:style>
  <w:style w:type="paragraph" w:customStyle="1" w:styleId="26">
    <w:name w:val="4 正文 仿宋2312"/>
    <w:basedOn w:val="1"/>
    <w:qFormat/>
    <w:uiPriority w:val="0"/>
    <w:pPr>
      <w:widowControl w:val="0"/>
      <w:spacing w:line="600" w:lineRule="exact"/>
      <w:ind w:firstLine="640" w:firstLineChars="200"/>
      <w:jc w:val="both"/>
    </w:pPr>
    <w:rPr>
      <w:rFonts w:hint="eastAsia" w:ascii="Times New Roman" w:hAnsi="Times New Roman" w:eastAsia="仿宋_GB2312" w:cs="Times New Roman"/>
      <w:sz w:val="32"/>
      <w:szCs w:val="40"/>
    </w:rPr>
  </w:style>
  <w:style w:type="character" w:customStyle="1" w:styleId="27">
    <w:name w:val="标题 3 Char"/>
    <w:link w:val="4"/>
    <w:qFormat/>
    <w:uiPriority w:val="0"/>
    <w:rPr>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6299</Words>
  <Characters>6366</Characters>
  <Lines>0</Lines>
  <Paragraphs>0</Paragraphs>
  <TotalTime>16</TotalTime>
  <ScaleCrop>false</ScaleCrop>
  <LinksUpToDate>false</LinksUpToDate>
  <CharactersWithSpaces>6375</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2021-08-27T11:08:00Z</dcterms:created>
  <dc:creator>阳啊阳</dc:creator>
  <cp:lastModifiedBy>admin1</cp:lastModifiedBy>
  <cp:lastPrinted>2025-09-09T01:05:00Z</cp:lastPrinted>
  <dcterms:modified xsi:type="dcterms:W3CDTF">2025-12-24T10:13:11Z</dcterms:modified>
  <dc:title>洛阳市偃师区人民政府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955B7F17BD7B483D899CF5C6EC5F5418</vt:lpwstr>
  </property>
</Properties>
</file>