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numPr>
          <w:ilvl w:val="0"/>
          <w:numId w:val="0"/>
        </w:numPr>
        <w:kinsoku/>
        <w:overflowPunct/>
        <w:topLinePunct w:val="0"/>
        <w:bidi w:val="0"/>
        <w:snapToGrid/>
        <w:spacing w:line="560" w:lineRule="exact"/>
        <w:jc w:val="center"/>
        <w:rPr>
          <w:rFonts w:hint="default" w:ascii="Times New Roman" w:hAnsi="Times New Roman" w:eastAsia="方正小标宋简体" w:cs="Times New Roman"/>
          <w:b w:val="0"/>
          <w:bCs w:val="0"/>
          <w:i w:val="0"/>
          <w:caps w:val="0"/>
          <w:color w:val="auto"/>
          <w:spacing w:val="0"/>
          <w:kern w:val="0"/>
          <w:sz w:val="44"/>
          <w:szCs w:val="44"/>
          <w:lang w:val="en-US" w:eastAsia="zh-CN" w:bidi="ar"/>
        </w:rPr>
      </w:pPr>
    </w:p>
    <w:p>
      <w:pPr>
        <w:keepNext w:val="0"/>
        <w:keepLines w:val="0"/>
        <w:pageBreakBefore w:val="0"/>
        <w:numPr>
          <w:ilvl w:val="0"/>
          <w:numId w:val="0"/>
        </w:numPr>
        <w:kinsoku/>
        <w:overflowPunct/>
        <w:topLinePunct w:val="0"/>
        <w:bidi w:val="0"/>
        <w:snapToGrid/>
        <w:spacing w:line="560" w:lineRule="exact"/>
        <w:jc w:val="center"/>
        <w:rPr>
          <w:rFonts w:hint="default" w:ascii="Times New Roman" w:hAnsi="Times New Roman" w:eastAsia="方正小标宋简体" w:cs="Times New Roman"/>
          <w:b w:val="0"/>
          <w:bCs w:val="0"/>
          <w:i w:val="0"/>
          <w:caps w:val="0"/>
          <w:color w:val="auto"/>
          <w:spacing w:val="0"/>
          <w:kern w:val="0"/>
          <w:sz w:val="44"/>
          <w:szCs w:val="44"/>
          <w:lang w:val="en-US" w:eastAsia="zh-CN" w:bidi="ar"/>
        </w:rPr>
      </w:pPr>
    </w:p>
    <w:p>
      <w:pPr>
        <w:keepNext w:val="0"/>
        <w:keepLines w:val="0"/>
        <w:pageBreakBefore w:val="0"/>
        <w:numPr>
          <w:ilvl w:val="0"/>
          <w:numId w:val="0"/>
        </w:numPr>
        <w:kinsoku/>
        <w:overflowPunct/>
        <w:topLinePunct w:val="0"/>
        <w:bidi w:val="0"/>
        <w:snapToGrid/>
        <w:spacing w:line="560" w:lineRule="exact"/>
        <w:jc w:val="center"/>
        <w:rPr>
          <w:rFonts w:hint="default" w:ascii="Times New Roman" w:hAnsi="Times New Roman" w:eastAsia="方正小标宋_GBK" w:cs="Times New Roman"/>
          <w:b w:val="0"/>
          <w:bCs w:val="0"/>
          <w:color w:val="auto"/>
          <w:spacing w:val="0"/>
          <w:sz w:val="44"/>
          <w:szCs w:val="44"/>
          <w:u w:val="none" w:color="auto"/>
          <w:lang w:val="en-US" w:eastAsia="zh-CN"/>
        </w:rPr>
      </w:pPr>
      <w:r>
        <w:rPr>
          <w:rFonts w:hint="default" w:ascii="Times New Roman" w:hAnsi="Times New Roman" w:eastAsia="方正小标宋_GBK" w:cs="Times New Roman"/>
          <w:b w:val="0"/>
          <w:bCs w:val="0"/>
          <w:i w:val="0"/>
          <w:caps w:val="0"/>
          <w:color w:val="auto"/>
          <w:spacing w:val="0"/>
          <w:kern w:val="0"/>
          <w:sz w:val="44"/>
          <w:szCs w:val="44"/>
          <w:lang w:val="en-US" w:eastAsia="zh-CN" w:bidi="ar"/>
        </w:rPr>
        <w:t>嵩</w:t>
      </w:r>
      <w:r>
        <w:rPr>
          <w:rFonts w:hint="default" w:ascii="Times New Roman" w:hAnsi="Times New Roman" w:eastAsia="方正小标宋_GBK" w:cs="Times New Roman"/>
          <w:color w:val="auto"/>
          <w:spacing w:val="12"/>
          <w:kern w:val="0"/>
          <w:sz w:val="44"/>
          <w:szCs w:val="44"/>
          <w:lang w:eastAsia="zh-CN"/>
        </w:rPr>
        <w:t>县人民政府</w:t>
      </w:r>
    </w:p>
    <w:p>
      <w:pPr>
        <w:spacing w:line="60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_GBK" w:cs="Times New Roman"/>
          <w:sz w:val="44"/>
          <w:szCs w:val="44"/>
        </w:rPr>
        <w:t>关于公布规范性文件清理结果的决定</w:t>
      </w:r>
    </w:p>
    <w:p>
      <w:pPr>
        <w:spacing w:line="600" w:lineRule="exact"/>
        <w:jc w:val="center"/>
        <w:rPr>
          <w:rFonts w:hint="default" w:ascii="Times New Roman" w:hAnsi="Times New Roman" w:eastAsia="方正小标宋简体" w:cs="Times New Roman"/>
          <w:sz w:val="44"/>
          <w:szCs w:val="44"/>
          <w:lang w:val="en-US" w:eastAsia="zh-CN"/>
        </w:rPr>
      </w:pPr>
      <w:r>
        <w:rPr>
          <w:rFonts w:hint="default" w:ascii="Times New Roman" w:hAnsi="Times New Roman" w:eastAsia="仿宋_GB2312" w:cs="Times New Roman"/>
          <w:color w:val="auto"/>
          <w:sz w:val="32"/>
          <w:szCs w:val="32"/>
        </w:rPr>
        <w:t>嵩政〔20</w:t>
      </w:r>
      <w:bookmarkStart w:id="0" w:name="_GoBack"/>
      <w:bookmarkEnd w:id="0"/>
      <w:r>
        <w:rPr>
          <w:rFonts w:hint="default" w:ascii="Times New Roman" w:hAnsi="Times New Roman" w:eastAsia="仿宋_GB2312" w:cs="Times New Roman"/>
          <w:color w:val="auto"/>
          <w:sz w:val="32"/>
          <w:szCs w:val="32"/>
        </w:rPr>
        <w:t>2</w:t>
      </w:r>
      <w:r>
        <w:rPr>
          <w:rFonts w:hint="default"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6</w:t>
      </w:r>
      <w:r>
        <w:rPr>
          <w:rFonts w:hint="default" w:ascii="Times New Roman" w:hAnsi="Times New Roman" w:eastAsia="仿宋_GB2312" w:cs="Times New Roman"/>
          <w:color w:val="auto"/>
          <w:sz w:val="32"/>
          <w:szCs w:val="32"/>
        </w:rPr>
        <w:t>号</w:t>
      </w:r>
      <w:r>
        <w:rPr>
          <w:rFonts w:hint="default" w:ascii="Times New Roman" w:hAnsi="Times New Roman" w:eastAsia="方正小标宋简体" w:cs="Times New Roman"/>
          <w:sz w:val="44"/>
          <w:szCs w:val="44"/>
          <w:lang w:val="en-US" w:eastAsia="zh-CN"/>
        </w:rPr>
        <w:t xml:space="preserve">    </w:t>
      </w:r>
    </w:p>
    <w:p>
      <w:pPr>
        <w:spacing w:line="600" w:lineRule="exact"/>
        <w:rPr>
          <w:rFonts w:hint="default" w:ascii="Times New Roman" w:hAnsi="Times New Roman" w:eastAsia="仿宋_GB2312" w:cs="Times New Roman"/>
          <w:sz w:val="32"/>
          <w:szCs w:val="32"/>
        </w:rPr>
      </w:pPr>
    </w:p>
    <w:p>
      <w:pPr>
        <w:spacing w:line="60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各乡（镇）人民政府，县</w:t>
      </w:r>
      <w:r>
        <w:rPr>
          <w:rFonts w:hint="default" w:ascii="Times New Roman" w:hAnsi="Times New Roman" w:eastAsia="仿宋_GB2312" w:cs="Times New Roman"/>
          <w:sz w:val="32"/>
          <w:szCs w:val="32"/>
          <w:lang w:eastAsia="zh-CN"/>
        </w:rPr>
        <w:t>人民</w:t>
      </w:r>
      <w:r>
        <w:rPr>
          <w:rFonts w:hint="default" w:ascii="Times New Roman" w:hAnsi="Times New Roman" w:eastAsia="仿宋_GB2312" w:cs="Times New Roman"/>
          <w:sz w:val="32"/>
          <w:szCs w:val="32"/>
        </w:rPr>
        <w:t>政府</w:t>
      </w:r>
      <w:r>
        <w:rPr>
          <w:rFonts w:hint="default" w:ascii="Times New Roman" w:hAnsi="Times New Roman" w:eastAsia="仿宋_GB2312" w:cs="Times New Roman"/>
          <w:sz w:val="32"/>
          <w:szCs w:val="32"/>
          <w:lang w:eastAsia="zh-CN"/>
        </w:rPr>
        <w:t>有关</w:t>
      </w:r>
      <w:r>
        <w:rPr>
          <w:rFonts w:hint="default" w:ascii="Times New Roman" w:hAnsi="Times New Roman" w:eastAsia="仿宋_GB2312" w:cs="Times New Roman"/>
          <w:sz w:val="32"/>
          <w:szCs w:val="32"/>
        </w:rPr>
        <w:t>部门，各有关单位：</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按照《</w:t>
      </w:r>
      <w:r>
        <w:rPr>
          <w:rFonts w:hint="default" w:ascii="Times New Roman" w:hAnsi="Times New Roman" w:eastAsia="仿宋_GB2312" w:cs="Times New Roman"/>
          <w:sz w:val="32"/>
          <w:szCs w:val="32"/>
          <w:lang w:eastAsia="zh-CN"/>
        </w:rPr>
        <w:t>洛阳市行政规范性文件管理办法</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市政府令</w:t>
      </w:r>
      <w:r>
        <w:rPr>
          <w:rFonts w:hint="default" w:ascii="Times New Roman" w:hAnsi="Times New Roman" w:eastAsia="仿宋_GB2312" w:cs="Times New Roman"/>
          <w:sz w:val="32"/>
          <w:szCs w:val="32"/>
          <w:lang w:val="en-US" w:eastAsia="zh-CN"/>
        </w:rPr>
        <w:t>126</w:t>
      </w:r>
      <w:r>
        <w:rPr>
          <w:rFonts w:hint="default" w:ascii="Times New Roman" w:hAnsi="Times New Roman" w:eastAsia="仿宋_GB2312" w:cs="Times New Roman"/>
          <w:sz w:val="32"/>
          <w:szCs w:val="32"/>
        </w:rPr>
        <w:t>号）要求，县政府对2024年6月11日前，以县政府和县政府办公室名义印发的规范性文件进行了全面清理。现将清理结果予以公布。</w:t>
      </w:r>
    </w:p>
    <w:p>
      <w:pPr>
        <w:spacing w:line="60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一、清理结果</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本次清理共涉及规范性文件</w:t>
      </w:r>
      <w:r>
        <w:rPr>
          <w:rFonts w:hint="default" w:ascii="Times New Roman" w:hAnsi="Times New Roman" w:eastAsia="仿宋_GB2312" w:cs="Times New Roman"/>
          <w:sz w:val="32"/>
          <w:szCs w:val="32"/>
          <w:lang w:val="en-US" w:eastAsia="zh-CN"/>
        </w:rPr>
        <w:t>37</w:t>
      </w:r>
      <w:r>
        <w:rPr>
          <w:rFonts w:hint="default" w:ascii="Times New Roman" w:hAnsi="Times New Roman" w:eastAsia="仿宋_GB2312" w:cs="Times New Roman"/>
          <w:sz w:val="32"/>
          <w:szCs w:val="32"/>
        </w:rPr>
        <w:t>件。其中：继续有效的规范性文件</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件，宣布废止</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失效的规范性文件</w:t>
      </w:r>
      <w:r>
        <w:rPr>
          <w:rFonts w:hint="default" w:ascii="Times New Roman" w:hAnsi="Times New Roman" w:eastAsia="仿宋_GB2312" w:cs="Times New Roman"/>
          <w:sz w:val="32"/>
          <w:szCs w:val="32"/>
          <w:lang w:val="en-US" w:eastAsia="zh-CN"/>
        </w:rPr>
        <w:t>16</w:t>
      </w:r>
      <w:r>
        <w:rPr>
          <w:rFonts w:hint="default" w:ascii="Times New Roman" w:hAnsi="Times New Roman" w:eastAsia="仿宋_GB2312" w:cs="Times New Roman"/>
          <w:sz w:val="32"/>
          <w:szCs w:val="32"/>
        </w:rPr>
        <w:t>件，需要修订的规范性文件</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件。上述废止和宣布失效的规范性文件，自本决定发布之日起不再执行；规范性文件中明确规定有效期的，以其规定为准。</w:t>
      </w:r>
    </w:p>
    <w:p>
      <w:pPr>
        <w:spacing w:line="60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二、时限与要求</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对于县政府决定修订的规范性文件，修订期限为20</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12</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日前。相关部门要依据有关法律法规和政策规定，结合当前工作实际，按照法定程序修订后报县政府研究并重新发布。在修订期间，与法律法规和政策相抵触的内容要停止执行。逾期不修订且未重新发布的，自20</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12</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11</w:t>
      </w:r>
      <w:r>
        <w:rPr>
          <w:rFonts w:hint="default" w:ascii="Times New Roman" w:hAnsi="Times New Roman" w:eastAsia="仿宋_GB2312" w:cs="Times New Roman"/>
          <w:sz w:val="32"/>
          <w:szCs w:val="32"/>
        </w:rPr>
        <w:t>日起自行失效。</w:t>
      </w:r>
    </w:p>
    <w:p>
      <w:pPr>
        <w:spacing w:line="600" w:lineRule="exact"/>
        <w:ind w:firstLine="640" w:firstLineChars="200"/>
        <w:rPr>
          <w:rFonts w:hint="default" w:ascii="Times New Roman" w:hAnsi="Times New Roman" w:eastAsia="仿宋_GB2312" w:cs="Times New Roman"/>
          <w:sz w:val="32"/>
          <w:szCs w:val="32"/>
        </w:rPr>
      </w:pPr>
    </w:p>
    <w:p>
      <w:pPr>
        <w:spacing w:line="600" w:lineRule="exact"/>
        <w:ind w:firstLine="640" w:firstLineChars="200"/>
        <w:jc w:val="both"/>
        <w:rPr>
          <w:rFonts w:hint="default" w:ascii="Times New Roman" w:hAnsi="Times New Roman" w:eastAsia="仿宋_GB2312" w:cs="Times New Roman"/>
          <w:spacing w:val="-10"/>
          <w:sz w:val="32"/>
          <w:szCs w:val="32"/>
        </w:rPr>
      </w:pPr>
      <w:r>
        <w:rPr>
          <w:rFonts w:hint="default" w:ascii="Times New Roman" w:hAnsi="Times New Roman" w:eastAsia="仿宋_GB2312" w:cs="Times New Roman"/>
          <w:sz w:val="32"/>
          <w:szCs w:val="32"/>
        </w:rPr>
        <w:t>附件：1.嵩</w:t>
      </w:r>
      <w:r>
        <w:rPr>
          <w:rFonts w:hint="default" w:ascii="Times New Roman" w:hAnsi="Times New Roman" w:eastAsia="仿宋_GB2312" w:cs="Times New Roman"/>
          <w:spacing w:val="-10"/>
          <w:sz w:val="32"/>
          <w:szCs w:val="32"/>
        </w:rPr>
        <w:t>县人民政府继续有效的规范性文件目录（</w:t>
      </w:r>
      <w:r>
        <w:rPr>
          <w:rFonts w:hint="default" w:ascii="Times New Roman" w:hAnsi="Times New Roman" w:eastAsia="仿宋_GB2312" w:cs="Times New Roman"/>
          <w:spacing w:val="-10"/>
          <w:sz w:val="32"/>
          <w:szCs w:val="32"/>
          <w:lang w:val="en-US" w:eastAsia="zh-CN"/>
        </w:rPr>
        <w:t>2</w:t>
      </w:r>
      <w:r>
        <w:rPr>
          <w:rFonts w:hint="default" w:ascii="Times New Roman" w:hAnsi="Times New Roman" w:eastAsia="仿宋_GB2312" w:cs="Times New Roman"/>
          <w:spacing w:val="-10"/>
          <w:sz w:val="32"/>
          <w:szCs w:val="32"/>
          <w:lang w:val="en-US" w:eastAsia="zh-CN"/>
        </w:rPr>
        <w:t>0</w:t>
      </w:r>
      <w:r>
        <w:rPr>
          <w:rFonts w:hint="default" w:ascii="Times New Roman" w:hAnsi="Times New Roman" w:eastAsia="仿宋_GB2312" w:cs="Times New Roman"/>
          <w:spacing w:val="-10"/>
          <w:sz w:val="32"/>
          <w:szCs w:val="32"/>
        </w:rPr>
        <w:t>件）</w:t>
      </w:r>
    </w:p>
    <w:p>
      <w:pPr>
        <w:numPr>
          <w:ilvl w:val="0"/>
          <w:numId w:val="0"/>
        </w:numPr>
        <w:spacing w:line="600" w:lineRule="exact"/>
        <w:ind w:firstLine="1680" w:firstLineChars="600"/>
        <w:jc w:val="both"/>
        <w:rPr>
          <w:rFonts w:hint="default" w:ascii="Times New Roman" w:hAnsi="Times New Roman" w:eastAsia="仿宋_GB2312" w:cs="Times New Roman"/>
          <w:spacing w:val="-20"/>
          <w:sz w:val="32"/>
          <w:szCs w:val="32"/>
        </w:rPr>
      </w:pPr>
      <w:r>
        <w:rPr>
          <w:rFonts w:hint="default" w:ascii="Times New Roman" w:hAnsi="Times New Roman" w:eastAsia="仿宋_GB2312" w:cs="Times New Roman"/>
          <w:spacing w:val="-20"/>
          <w:sz w:val="32"/>
          <w:szCs w:val="32"/>
          <w:lang w:val="en-US" w:eastAsia="zh-CN"/>
        </w:rPr>
        <w:t>2.</w:t>
      </w:r>
      <w:r>
        <w:rPr>
          <w:rFonts w:hint="default" w:ascii="Times New Roman" w:hAnsi="Times New Roman" w:eastAsia="仿宋_GB2312" w:cs="Times New Roman"/>
          <w:spacing w:val="-20"/>
          <w:sz w:val="32"/>
          <w:szCs w:val="32"/>
        </w:rPr>
        <w:t>嵩县人民政府废止</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失效</w:t>
      </w:r>
      <w:r>
        <w:rPr>
          <w:rFonts w:hint="default" w:ascii="Times New Roman" w:hAnsi="Times New Roman" w:eastAsia="仿宋_GB2312" w:cs="Times New Roman"/>
          <w:spacing w:val="-20"/>
          <w:sz w:val="32"/>
          <w:szCs w:val="32"/>
        </w:rPr>
        <w:t>的规范性文件目录（</w:t>
      </w:r>
      <w:r>
        <w:rPr>
          <w:rFonts w:hint="default" w:ascii="Times New Roman" w:hAnsi="Times New Roman" w:eastAsia="仿宋_GB2312" w:cs="Times New Roman"/>
          <w:spacing w:val="-20"/>
          <w:sz w:val="32"/>
          <w:szCs w:val="32"/>
          <w:lang w:val="en-US" w:eastAsia="zh-CN"/>
        </w:rPr>
        <w:t>16</w:t>
      </w:r>
      <w:r>
        <w:rPr>
          <w:rFonts w:hint="default" w:ascii="Times New Roman" w:hAnsi="Times New Roman" w:eastAsia="仿宋_GB2312" w:cs="Times New Roman"/>
          <w:spacing w:val="-20"/>
          <w:sz w:val="32"/>
          <w:szCs w:val="32"/>
        </w:rPr>
        <w:t>件）</w:t>
      </w:r>
    </w:p>
    <w:p>
      <w:pPr>
        <w:spacing w:line="600" w:lineRule="exact"/>
        <w:ind w:firstLine="1600" w:firstLineChars="500"/>
        <w:jc w:val="both"/>
        <w:rPr>
          <w:rFonts w:hint="default" w:ascii="Times New Roman" w:hAnsi="Times New Roman" w:eastAsia="仿宋_GB2312" w:cs="Times New Roman"/>
          <w:spacing w:val="-10"/>
          <w:sz w:val="32"/>
          <w:szCs w:val="32"/>
        </w:rPr>
      </w:pP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嵩</w:t>
      </w:r>
      <w:r>
        <w:rPr>
          <w:rFonts w:hint="default" w:ascii="Times New Roman" w:hAnsi="Times New Roman" w:eastAsia="仿宋_GB2312" w:cs="Times New Roman"/>
          <w:spacing w:val="-10"/>
          <w:sz w:val="32"/>
          <w:szCs w:val="32"/>
        </w:rPr>
        <w:t>县人民政府</w:t>
      </w:r>
      <w:r>
        <w:rPr>
          <w:rFonts w:hint="default" w:ascii="Times New Roman" w:hAnsi="Times New Roman" w:eastAsia="仿宋_GB2312" w:cs="Times New Roman"/>
          <w:spacing w:val="-10"/>
          <w:sz w:val="32"/>
          <w:szCs w:val="32"/>
          <w:lang w:eastAsia="zh-CN"/>
        </w:rPr>
        <w:t>决定修订</w:t>
      </w:r>
      <w:r>
        <w:rPr>
          <w:rFonts w:hint="default" w:ascii="Times New Roman" w:hAnsi="Times New Roman" w:eastAsia="仿宋_GB2312" w:cs="Times New Roman"/>
          <w:spacing w:val="-10"/>
          <w:sz w:val="32"/>
          <w:szCs w:val="32"/>
        </w:rPr>
        <w:t>的规范性文件目录（</w:t>
      </w:r>
      <w:r>
        <w:rPr>
          <w:rFonts w:hint="default" w:ascii="Times New Roman" w:hAnsi="Times New Roman" w:eastAsia="仿宋_GB2312" w:cs="Times New Roman"/>
          <w:spacing w:val="-10"/>
          <w:sz w:val="32"/>
          <w:szCs w:val="32"/>
          <w:lang w:val="en-US" w:eastAsia="zh-CN"/>
        </w:rPr>
        <w:t>1</w:t>
      </w:r>
      <w:r>
        <w:rPr>
          <w:rFonts w:hint="default" w:ascii="Times New Roman" w:hAnsi="Times New Roman" w:eastAsia="仿宋_GB2312" w:cs="Times New Roman"/>
          <w:spacing w:val="-10"/>
          <w:sz w:val="32"/>
          <w:szCs w:val="32"/>
        </w:rPr>
        <w:t>件）</w:t>
      </w:r>
    </w:p>
    <w:p>
      <w:pPr>
        <w:numPr>
          <w:ilvl w:val="0"/>
          <w:numId w:val="0"/>
        </w:numPr>
        <w:spacing w:line="600" w:lineRule="exact"/>
        <w:rPr>
          <w:rFonts w:hint="default" w:ascii="Times New Roman" w:hAnsi="Times New Roman" w:eastAsia="仿宋_GB2312" w:cs="Times New Roman"/>
          <w:spacing w:val="-20"/>
          <w:sz w:val="32"/>
          <w:szCs w:val="32"/>
        </w:rPr>
      </w:pPr>
    </w:p>
    <w:p>
      <w:pPr>
        <w:spacing w:line="600" w:lineRule="exact"/>
        <w:ind w:right="640"/>
        <w:rPr>
          <w:rFonts w:hint="default" w:ascii="Times New Roman" w:hAnsi="Times New Roman" w:eastAsia="仿宋_GB2312" w:cs="Times New Roman"/>
          <w:sz w:val="32"/>
          <w:szCs w:val="32"/>
        </w:rPr>
      </w:pPr>
    </w:p>
    <w:p>
      <w:pPr>
        <w:spacing w:line="600" w:lineRule="exact"/>
        <w:ind w:right="640" w:firstLine="4800" w:firstLineChars="15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14</w:t>
      </w:r>
      <w:r>
        <w:rPr>
          <w:rFonts w:hint="default" w:ascii="Times New Roman" w:hAnsi="Times New Roman" w:eastAsia="仿宋_GB2312" w:cs="Times New Roman"/>
          <w:sz w:val="32"/>
          <w:szCs w:val="32"/>
        </w:rPr>
        <w:t xml:space="preserve">日 </w:t>
      </w:r>
    </w:p>
    <w:p>
      <w:pPr>
        <w:spacing w:line="590" w:lineRule="exact"/>
        <w:ind w:left="-376" w:leftChars="-171"/>
        <w:rPr>
          <w:rFonts w:hint="default" w:ascii="Times New Roman" w:hAnsi="Times New Roman" w:eastAsia="仿宋_GB2312" w:cs="Times New Roman"/>
          <w:sz w:val="32"/>
          <w:szCs w:val="32"/>
        </w:rPr>
      </w:pPr>
    </w:p>
    <w:p>
      <w:pPr>
        <w:spacing w:line="590" w:lineRule="exact"/>
        <w:ind w:left="-376" w:leftChars="-171"/>
        <w:rPr>
          <w:rFonts w:hint="default" w:ascii="Times New Roman" w:hAnsi="Times New Roman" w:eastAsia="仿宋_GB2312" w:cs="Times New Roman"/>
          <w:sz w:val="32"/>
          <w:szCs w:val="32"/>
        </w:rPr>
      </w:pPr>
    </w:p>
    <w:p>
      <w:pPr>
        <w:spacing w:line="590" w:lineRule="exact"/>
        <w:ind w:left="-376" w:leftChars="-171"/>
        <w:rPr>
          <w:rFonts w:hint="default" w:ascii="Times New Roman" w:hAnsi="Times New Roman" w:eastAsia="仿宋_GB2312" w:cs="Times New Roman"/>
          <w:sz w:val="32"/>
          <w:szCs w:val="32"/>
        </w:rPr>
      </w:pPr>
    </w:p>
    <w:p>
      <w:pPr>
        <w:spacing w:line="590" w:lineRule="exact"/>
        <w:ind w:left="-376" w:leftChars="-171"/>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90" w:lineRule="exact"/>
        <w:ind w:left="0" w:leftChars="0"/>
        <w:textAlignment w:val="auto"/>
        <w:rPr>
          <w:rFonts w:hint="default" w:ascii="Times New Roman" w:hAnsi="Times New Roman" w:eastAsia="方正黑体简体" w:cs="Times New Roman"/>
          <w:sz w:val="32"/>
          <w:szCs w:val="32"/>
        </w:rPr>
      </w:pPr>
    </w:p>
    <w:p>
      <w:pPr>
        <w:keepNext w:val="0"/>
        <w:keepLines w:val="0"/>
        <w:pageBreakBefore w:val="0"/>
        <w:widowControl w:val="0"/>
        <w:kinsoku/>
        <w:wordWrap/>
        <w:overflowPunct/>
        <w:topLinePunct w:val="0"/>
        <w:autoSpaceDE/>
        <w:autoSpaceDN/>
        <w:bidi w:val="0"/>
        <w:adjustRightInd/>
        <w:snapToGrid/>
        <w:spacing w:line="590" w:lineRule="exact"/>
        <w:ind w:left="0" w:leftChars="0"/>
        <w:textAlignment w:val="auto"/>
        <w:rPr>
          <w:rFonts w:hint="default" w:ascii="Times New Roman" w:hAnsi="Times New Roman" w:eastAsia="方正黑体简体" w:cs="Times New Roman"/>
          <w:sz w:val="32"/>
          <w:szCs w:val="32"/>
        </w:rPr>
      </w:pPr>
    </w:p>
    <w:p>
      <w:pPr>
        <w:keepNext w:val="0"/>
        <w:keepLines w:val="0"/>
        <w:pageBreakBefore w:val="0"/>
        <w:widowControl w:val="0"/>
        <w:kinsoku/>
        <w:wordWrap/>
        <w:overflowPunct/>
        <w:topLinePunct w:val="0"/>
        <w:autoSpaceDE/>
        <w:autoSpaceDN/>
        <w:bidi w:val="0"/>
        <w:adjustRightInd/>
        <w:snapToGrid/>
        <w:spacing w:line="590" w:lineRule="exact"/>
        <w:ind w:left="0" w:leftChars="0"/>
        <w:textAlignment w:val="auto"/>
        <w:rPr>
          <w:rFonts w:hint="default" w:ascii="Times New Roman" w:hAnsi="Times New Roman" w:eastAsia="方正黑体简体" w:cs="Times New Roman"/>
          <w:sz w:val="32"/>
          <w:szCs w:val="32"/>
        </w:rPr>
      </w:pPr>
    </w:p>
    <w:p>
      <w:pPr>
        <w:keepNext w:val="0"/>
        <w:keepLines w:val="0"/>
        <w:pageBreakBefore w:val="0"/>
        <w:widowControl w:val="0"/>
        <w:kinsoku/>
        <w:wordWrap/>
        <w:overflowPunct/>
        <w:topLinePunct w:val="0"/>
        <w:autoSpaceDE/>
        <w:autoSpaceDN/>
        <w:bidi w:val="0"/>
        <w:adjustRightInd/>
        <w:snapToGrid/>
        <w:spacing w:line="590" w:lineRule="exact"/>
        <w:ind w:left="0" w:leftChars="0"/>
        <w:textAlignment w:val="auto"/>
        <w:rPr>
          <w:rFonts w:hint="default" w:ascii="Times New Roman" w:hAnsi="Times New Roman" w:eastAsia="方正黑体简体" w:cs="Times New Roman"/>
          <w:sz w:val="32"/>
          <w:szCs w:val="32"/>
        </w:rPr>
      </w:pPr>
    </w:p>
    <w:p>
      <w:pPr>
        <w:keepNext w:val="0"/>
        <w:keepLines w:val="0"/>
        <w:pageBreakBefore w:val="0"/>
        <w:widowControl w:val="0"/>
        <w:kinsoku/>
        <w:wordWrap/>
        <w:overflowPunct/>
        <w:topLinePunct w:val="0"/>
        <w:autoSpaceDE/>
        <w:autoSpaceDN/>
        <w:bidi w:val="0"/>
        <w:adjustRightInd/>
        <w:snapToGrid/>
        <w:spacing w:line="590" w:lineRule="exact"/>
        <w:ind w:left="0" w:leftChars="0"/>
        <w:textAlignment w:val="auto"/>
        <w:rPr>
          <w:rFonts w:hint="default" w:ascii="Times New Roman" w:hAnsi="Times New Roman" w:eastAsia="方正黑体简体" w:cs="Times New Roman"/>
          <w:sz w:val="32"/>
          <w:szCs w:val="32"/>
        </w:rPr>
      </w:pPr>
    </w:p>
    <w:p>
      <w:pPr>
        <w:keepNext w:val="0"/>
        <w:keepLines w:val="0"/>
        <w:pageBreakBefore w:val="0"/>
        <w:widowControl w:val="0"/>
        <w:kinsoku/>
        <w:wordWrap/>
        <w:overflowPunct/>
        <w:topLinePunct w:val="0"/>
        <w:autoSpaceDE/>
        <w:autoSpaceDN/>
        <w:bidi w:val="0"/>
        <w:adjustRightInd/>
        <w:snapToGrid/>
        <w:spacing w:line="590" w:lineRule="exact"/>
        <w:ind w:left="0" w:leftChars="0"/>
        <w:textAlignment w:val="auto"/>
        <w:rPr>
          <w:rFonts w:hint="default" w:ascii="Times New Roman" w:hAnsi="Times New Roman" w:eastAsia="方正黑体简体" w:cs="Times New Roman"/>
          <w:sz w:val="32"/>
          <w:szCs w:val="32"/>
        </w:rPr>
      </w:pPr>
    </w:p>
    <w:p>
      <w:pPr>
        <w:keepNext w:val="0"/>
        <w:keepLines w:val="0"/>
        <w:pageBreakBefore w:val="0"/>
        <w:widowControl w:val="0"/>
        <w:kinsoku/>
        <w:wordWrap/>
        <w:overflowPunct/>
        <w:topLinePunct w:val="0"/>
        <w:autoSpaceDE/>
        <w:autoSpaceDN/>
        <w:bidi w:val="0"/>
        <w:adjustRightInd/>
        <w:snapToGrid/>
        <w:spacing w:line="590" w:lineRule="exact"/>
        <w:ind w:left="0" w:leftChars="0"/>
        <w:textAlignment w:val="auto"/>
        <w:rPr>
          <w:rFonts w:hint="default" w:ascii="Times New Roman" w:hAnsi="Times New Roman" w:eastAsia="方正黑体简体" w:cs="Times New Roman"/>
          <w:sz w:val="32"/>
          <w:szCs w:val="32"/>
          <w:lang w:eastAsia="zh-CN"/>
        </w:rPr>
      </w:pPr>
      <w:r>
        <w:rPr>
          <w:rFonts w:hint="default" w:ascii="Times New Roman" w:hAnsi="Times New Roman" w:eastAsia="方正黑体简体" w:cs="Times New Roman"/>
          <w:sz w:val="32"/>
          <w:szCs w:val="32"/>
        </w:rPr>
        <w:t>附件</w:t>
      </w:r>
      <w:r>
        <w:rPr>
          <w:rFonts w:hint="default" w:ascii="Times New Roman" w:hAnsi="Times New Roman" w:eastAsia="方正黑体简体" w:cs="Times New Roman"/>
          <w:sz w:val="32"/>
          <w:szCs w:val="32"/>
          <w:lang w:val="en-US" w:eastAsia="zh-CN"/>
        </w:rPr>
        <w:t>1</w:t>
      </w:r>
    </w:p>
    <w:p>
      <w:pPr>
        <w:spacing w:line="590" w:lineRule="exact"/>
        <w:jc w:val="center"/>
        <w:rPr>
          <w:rFonts w:hint="default" w:ascii="Times New Roman" w:hAnsi="Times New Roman" w:eastAsia="仿宋_GB2312" w:cs="Times New Roman"/>
          <w:spacing w:val="-10"/>
          <w:sz w:val="44"/>
          <w:szCs w:val="44"/>
        </w:rPr>
      </w:pPr>
      <w:r>
        <w:rPr>
          <w:rFonts w:hint="default" w:ascii="Times New Roman" w:hAnsi="Times New Roman" w:eastAsia="方正小标宋_GBK" w:cs="Times New Roman"/>
          <w:spacing w:val="-10"/>
          <w:sz w:val="44"/>
          <w:szCs w:val="44"/>
        </w:rPr>
        <w:t>嵩县人民政府决定</w:t>
      </w:r>
      <w:r>
        <w:rPr>
          <w:rFonts w:hint="default" w:ascii="Times New Roman" w:hAnsi="Times New Roman" w:eastAsia="方正小标宋_GBK" w:cs="Times New Roman"/>
          <w:spacing w:val="-10"/>
          <w:sz w:val="44"/>
          <w:szCs w:val="44"/>
          <w:lang w:eastAsia="zh-CN"/>
        </w:rPr>
        <w:t>继续有效</w:t>
      </w:r>
      <w:r>
        <w:rPr>
          <w:rFonts w:hint="default" w:ascii="Times New Roman" w:hAnsi="Times New Roman" w:eastAsia="方正小标宋_GBK" w:cs="Times New Roman"/>
          <w:spacing w:val="-10"/>
          <w:sz w:val="44"/>
          <w:szCs w:val="44"/>
        </w:rPr>
        <w:t>的规范性文件目录（</w:t>
      </w:r>
      <w:r>
        <w:rPr>
          <w:rFonts w:hint="default" w:ascii="Times New Roman" w:hAnsi="Times New Roman" w:eastAsia="方正小标宋_GBK" w:cs="Times New Roman"/>
          <w:spacing w:val="-10"/>
          <w:sz w:val="44"/>
          <w:szCs w:val="44"/>
          <w:lang w:val="en-US" w:eastAsia="zh-CN"/>
        </w:rPr>
        <w:t>20</w:t>
      </w:r>
      <w:r>
        <w:rPr>
          <w:rFonts w:hint="default" w:ascii="Times New Roman" w:hAnsi="Times New Roman" w:eastAsia="方正小标宋_GBK" w:cs="Times New Roman"/>
          <w:spacing w:val="-10"/>
          <w:sz w:val="44"/>
          <w:szCs w:val="44"/>
        </w:rPr>
        <w:t>件）</w:t>
      </w:r>
    </w:p>
    <w:tbl>
      <w:tblPr>
        <w:tblStyle w:val="9"/>
        <w:tblpPr w:leftFromText="180" w:rightFromText="180" w:vertAnchor="text" w:horzAnchor="page" w:tblpXSpec="center" w:tblpY="314"/>
        <w:tblOverlap w:val="never"/>
        <w:tblW w:w="8838" w:type="dxa"/>
        <w:jc w:val="center"/>
        <w:tblLayout w:type="fixed"/>
        <w:tblCellMar>
          <w:top w:w="15" w:type="dxa"/>
          <w:left w:w="15" w:type="dxa"/>
          <w:bottom w:w="15" w:type="dxa"/>
          <w:right w:w="15" w:type="dxa"/>
        </w:tblCellMar>
      </w:tblPr>
      <w:tblGrid>
        <w:gridCol w:w="895"/>
        <w:gridCol w:w="5030"/>
        <w:gridCol w:w="2913"/>
      </w:tblGrid>
      <w:tr>
        <w:tblPrEx>
          <w:tblCellMar>
            <w:top w:w="15" w:type="dxa"/>
            <w:left w:w="15" w:type="dxa"/>
            <w:bottom w:w="15" w:type="dxa"/>
            <w:right w:w="15" w:type="dxa"/>
          </w:tblCellMar>
        </w:tblPrEx>
        <w:trPr>
          <w:trHeight w:val="1088" w:hRule="atLeast"/>
          <w:jc w:val="center"/>
        </w:trPr>
        <w:tc>
          <w:tcPr>
            <w:tcW w:w="8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kern w:val="0"/>
                <w:sz w:val="24"/>
                <w:szCs w:val="24"/>
              </w:rPr>
            </w:pPr>
            <w:r>
              <w:rPr>
                <w:rFonts w:hint="default" w:ascii="Times New Roman" w:hAnsi="Times New Roman" w:eastAsia="黑体" w:cs="Times New Roman"/>
                <w:color w:val="000000"/>
                <w:kern w:val="0"/>
                <w:sz w:val="24"/>
                <w:szCs w:val="24"/>
              </w:rPr>
              <w:t>序号</w:t>
            </w:r>
          </w:p>
        </w:tc>
        <w:tc>
          <w:tcPr>
            <w:tcW w:w="50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kern w:val="0"/>
                <w:sz w:val="24"/>
                <w:szCs w:val="24"/>
              </w:rPr>
            </w:pPr>
            <w:r>
              <w:rPr>
                <w:rFonts w:hint="default" w:ascii="Times New Roman" w:hAnsi="Times New Roman" w:eastAsia="黑体" w:cs="Times New Roman"/>
                <w:color w:val="000000"/>
                <w:kern w:val="0"/>
                <w:sz w:val="24"/>
                <w:szCs w:val="24"/>
              </w:rPr>
              <w:t>规范性文件名称</w:t>
            </w:r>
          </w:p>
        </w:tc>
        <w:tc>
          <w:tcPr>
            <w:tcW w:w="2913"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kern w:val="0"/>
                <w:sz w:val="24"/>
                <w:szCs w:val="24"/>
              </w:rPr>
            </w:pPr>
            <w:r>
              <w:rPr>
                <w:rFonts w:hint="default" w:ascii="Times New Roman" w:hAnsi="Times New Roman" w:eastAsia="黑体" w:cs="Times New Roman"/>
                <w:color w:val="000000"/>
                <w:kern w:val="0"/>
                <w:sz w:val="24"/>
                <w:szCs w:val="24"/>
              </w:rPr>
              <w:t>发文字号</w:t>
            </w:r>
          </w:p>
        </w:tc>
      </w:tr>
      <w:tr>
        <w:tblPrEx>
          <w:tblCellMar>
            <w:top w:w="15" w:type="dxa"/>
            <w:left w:w="15" w:type="dxa"/>
            <w:bottom w:w="15" w:type="dxa"/>
            <w:right w:w="15" w:type="dxa"/>
          </w:tblCellMar>
        </w:tblPrEx>
        <w:trPr>
          <w:trHeight w:val="878" w:hRule="exact"/>
          <w:jc w:val="center"/>
        </w:trPr>
        <w:tc>
          <w:tcPr>
            <w:tcW w:w="8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28"/>
                <w:szCs w:val="28"/>
                <w:lang w:val="en-US" w:eastAsia="zh-CN" w:bidi="ar-SA"/>
              </w:rPr>
              <w:t>1</w:t>
            </w:r>
          </w:p>
        </w:tc>
        <w:tc>
          <w:tcPr>
            <w:tcW w:w="50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仿宋_GB2312" w:cs="Times New Roman"/>
                <w:color w:val="auto"/>
                <w:kern w:val="0"/>
                <w:sz w:val="28"/>
                <w:szCs w:val="28"/>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关于印发嵩县家庭医生签约服务实施方案的通知</w:t>
            </w:r>
          </w:p>
        </w:tc>
        <w:tc>
          <w:tcPr>
            <w:tcW w:w="2913"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嵩政〔2018〕10号</w:t>
            </w:r>
          </w:p>
        </w:tc>
      </w:tr>
      <w:tr>
        <w:tblPrEx>
          <w:tblCellMar>
            <w:top w:w="15" w:type="dxa"/>
            <w:left w:w="15" w:type="dxa"/>
            <w:bottom w:w="15" w:type="dxa"/>
            <w:right w:w="15" w:type="dxa"/>
          </w:tblCellMar>
        </w:tblPrEx>
        <w:trPr>
          <w:trHeight w:val="965" w:hRule="exact"/>
          <w:jc w:val="center"/>
        </w:trPr>
        <w:tc>
          <w:tcPr>
            <w:tcW w:w="8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28"/>
                <w:szCs w:val="28"/>
                <w:lang w:val="en-US" w:eastAsia="zh-CN" w:bidi="ar-SA"/>
              </w:rPr>
              <w:t>2</w:t>
            </w:r>
          </w:p>
        </w:tc>
        <w:tc>
          <w:tcPr>
            <w:tcW w:w="50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关于印发嵩县农村房屋不动产登记实施方案的通知</w:t>
            </w:r>
          </w:p>
        </w:tc>
        <w:tc>
          <w:tcPr>
            <w:tcW w:w="2913"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嵩政办〔2018〕31号</w:t>
            </w:r>
          </w:p>
        </w:tc>
      </w:tr>
      <w:tr>
        <w:tblPrEx>
          <w:tblCellMar>
            <w:top w:w="15" w:type="dxa"/>
            <w:left w:w="15" w:type="dxa"/>
            <w:bottom w:w="15" w:type="dxa"/>
            <w:right w:w="15" w:type="dxa"/>
          </w:tblCellMar>
        </w:tblPrEx>
        <w:trPr>
          <w:trHeight w:val="965" w:hRule="exact"/>
          <w:jc w:val="center"/>
        </w:trPr>
        <w:tc>
          <w:tcPr>
            <w:tcW w:w="8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28"/>
                <w:szCs w:val="28"/>
                <w:lang w:val="en-US" w:eastAsia="zh-CN" w:bidi="ar-SA"/>
              </w:rPr>
              <w:t>3</w:t>
            </w:r>
          </w:p>
        </w:tc>
        <w:tc>
          <w:tcPr>
            <w:tcW w:w="50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仿宋_GB2312" w:cs="Times New Roman"/>
                <w:color w:val="auto"/>
                <w:kern w:val="0"/>
                <w:sz w:val="28"/>
                <w:szCs w:val="28"/>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关于加强禁煤区管理工作的通告</w:t>
            </w:r>
          </w:p>
        </w:tc>
        <w:tc>
          <w:tcPr>
            <w:tcW w:w="2913"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嵩政通〔2020〕10号</w:t>
            </w:r>
          </w:p>
        </w:tc>
      </w:tr>
      <w:tr>
        <w:tblPrEx>
          <w:tblCellMar>
            <w:top w:w="15" w:type="dxa"/>
            <w:left w:w="15" w:type="dxa"/>
            <w:bottom w:w="15" w:type="dxa"/>
            <w:right w:w="15" w:type="dxa"/>
          </w:tblCellMar>
        </w:tblPrEx>
        <w:trPr>
          <w:trHeight w:val="945" w:hRule="exact"/>
          <w:jc w:val="center"/>
        </w:trPr>
        <w:tc>
          <w:tcPr>
            <w:tcW w:w="8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28"/>
                <w:szCs w:val="28"/>
                <w:lang w:val="en-US" w:eastAsia="zh-CN" w:bidi="ar-SA"/>
              </w:rPr>
              <w:t>4</w:t>
            </w:r>
          </w:p>
        </w:tc>
        <w:tc>
          <w:tcPr>
            <w:tcW w:w="50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关于印发嵩县畜禽养殖禁养区调整方案的通知</w:t>
            </w:r>
          </w:p>
        </w:tc>
        <w:tc>
          <w:tcPr>
            <w:tcW w:w="2913"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嵩政〔2020〕4号</w:t>
            </w:r>
          </w:p>
        </w:tc>
      </w:tr>
      <w:tr>
        <w:tblPrEx>
          <w:tblCellMar>
            <w:top w:w="15" w:type="dxa"/>
            <w:left w:w="15" w:type="dxa"/>
            <w:bottom w:w="15" w:type="dxa"/>
            <w:right w:w="15" w:type="dxa"/>
          </w:tblCellMar>
        </w:tblPrEx>
        <w:trPr>
          <w:trHeight w:val="1013" w:hRule="exact"/>
          <w:jc w:val="center"/>
        </w:trPr>
        <w:tc>
          <w:tcPr>
            <w:tcW w:w="8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28"/>
                <w:szCs w:val="28"/>
                <w:lang w:val="en-US" w:eastAsia="zh-CN" w:bidi="ar-SA"/>
              </w:rPr>
              <w:t>5</w:t>
            </w:r>
          </w:p>
        </w:tc>
        <w:tc>
          <w:tcPr>
            <w:tcW w:w="50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仿宋_GB2312" w:cs="Times New Roman"/>
                <w:color w:val="auto"/>
                <w:kern w:val="0"/>
                <w:sz w:val="28"/>
                <w:szCs w:val="28"/>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关于G344东灵线（原Z001）嵩县陆浑至箭沟河段改建工程建设征收土地地上附着物树木类补偿实施细则的通知</w:t>
            </w:r>
          </w:p>
        </w:tc>
        <w:tc>
          <w:tcPr>
            <w:tcW w:w="2913"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嵩政〔2020〕26号</w:t>
            </w:r>
          </w:p>
        </w:tc>
      </w:tr>
      <w:tr>
        <w:tblPrEx>
          <w:tblCellMar>
            <w:top w:w="15" w:type="dxa"/>
            <w:left w:w="15" w:type="dxa"/>
            <w:bottom w:w="15" w:type="dxa"/>
            <w:right w:w="15" w:type="dxa"/>
          </w:tblCellMar>
        </w:tblPrEx>
        <w:trPr>
          <w:trHeight w:val="705" w:hRule="exact"/>
          <w:jc w:val="center"/>
        </w:trPr>
        <w:tc>
          <w:tcPr>
            <w:tcW w:w="8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28"/>
                <w:szCs w:val="28"/>
                <w:lang w:val="en-US" w:eastAsia="zh-CN" w:bidi="ar-SA"/>
              </w:rPr>
              <w:t>6</w:t>
            </w:r>
          </w:p>
        </w:tc>
        <w:tc>
          <w:tcPr>
            <w:tcW w:w="50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关于大力发展装配式建筑的实施意见</w:t>
            </w:r>
          </w:p>
        </w:tc>
        <w:tc>
          <w:tcPr>
            <w:tcW w:w="2913"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嵩政办〔2020〕26号</w:t>
            </w:r>
          </w:p>
        </w:tc>
      </w:tr>
      <w:tr>
        <w:tblPrEx>
          <w:tblCellMar>
            <w:top w:w="15" w:type="dxa"/>
            <w:left w:w="15" w:type="dxa"/>
            <w:bottom w:w="15" w:type="dxa"/>
            <w:right w:w="15" w:type="dxa"/>
          </w:tblCellMar>
        </w:tblPrEx>
        <w:trPr>
          <w:trHeight w:val="920" w:hRule="exact"/>
          <w:jc w:val="center"/>
        </w:trPr>
        <w:tc>
          <w:tcPr>
            <w:tcW w:w="8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28"/>
                <w:szCs w:val="28"/>
                <w:lang w:val="en-US" w:eastAsia="zh-CN" w:bidi="ar-SA"/>
              </w:rPr>
              <w:t>7</w:t>
            </w:r>
          </w:p>
        </w:tc>
        <w:tc>
          <w:tcPr>
            <w:tcW w:w="50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关于印发嵩县建设工程验线和竣工规划核实管理办法（试行）的通知</w:t>
            </w:r>
          </w:p>
        </w:tc>
        <w:tc>
          <w:tcPr>
            <w:tcW w:w="2913"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嵩政办〔2020〕29号</w:t>
            </w:r>
          </w:p>
        </w:tc>
      </w:tr>
      <w:tr>
        <w:tblPrEx>
          <w:tblCellMar>
            <w:top w:w="15" w:type="dxa"/>
            <w:left w:w="15" w:type="dxa"/>
            <w:bottom w:w="15" w:type="dxa"/>
            <w:right w:w="15" w:type="dxa"/>
          </w:tblCellMar>
        </w:tblPrEx>
        <w:trPr>
          <w:trHeight w:val="1028" w:hRule="exact"/>
          <w:jc w:val="center"/>
        </w:trPr>
        <w:tc>
          <w:tcPr>
            <w:tcW w:w="8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28"/>
                <w:szCs w:val="28"/>
                <w:lang w:val="en-US" w:eastAsia="zh-CN" w:bidi="ar-SA"/>
              </w:rPr>
              <w:t>8</w:t>
            </w:r>
          </w:p>
        </w:tc>
        <w:tc>
          <w:tcPr>
            <w:tcW w:w="50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关于推进健康嵩县行动的实施意见</w:t>
            </w:r>
          </w:p>
        </w:tc>
        <w:tc>
          <w:tcPr>
            <w:tcW w:w="2913"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嵩政〔2021〕16号</w:t>
            </w:r>
          </w:p>
        </w:tc>
      </w:tr>
      <w:tr>
        <w:tblPrEx>
          <w:tblCellMar>
            <w:top w:w="15" w:type="dxa"/>
            <w:left w:w="15" w:type="dxa"/>
            <w:bottom w:w="15" w:type="dxa"/>
            <w:right w:w="15" w:type="dxa"/>
          </w:tblCellMar>
        </w:tblPrEx>
        <w:trPr>
          <w:trHeight w:val="611" w:hRule="exact"/>
          <w:jc w:val="center"/>
        </w:trPr>
        <w:tc>
          <w:tcPr>
            <w:tcW w:w="8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28"/>
                <w:szCs w:val="28"/>
                <w:lang w:val="en-US" w:eastAsia="zh-CN" w:bidi="ar-SA"/>
              </w:rPr>
              <w:t>9</w:t>
            </w:r>
          </w:p>
        </w:tc>
        <w:tc>
          <w:tcPr>
            <w:tcW w:w="50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仿宋_GB2312" w:cs="Times New Roman"/>
                <w:color w:val="auto"/>
                <w:kern w:val="0"/>
                <w:sz w:val="28"/>
                <w:szCs w:val="28"/>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关于印发嵩县农村房屋不动产登记发证实施方案的通知</w:t>
            </w:r>
          </w:p>
        </w:tc>
        <w:tc>
          <w:tcPr>
            <w:tcW w:w="2913"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嵩政办〔2021〕9号</w:t>
            </w:r>
          </w:p>
        </w:tc>
      </w:tr>
      <w:tr>
        <w:tblPrEx>
          <w:tblCellMar>
            <w:top w:w="15" w:type="dxa"/>
            <w:left w:w="15" w:type="dxa"/>
            <w:bottom w:w="15" w:type="dxa"/>
            <w:right w:w="15" w:type="dxa"/>
          </w:tblCellMar>
        </w:tblPrEx>
        <w:trPr>
          <w:trHeight w:val="1031" w:hRule="exact"/>
          <w:jc w:val="center"/>
        </w:trPr>
        <w:tc>
          <w:tcPr>
            <w:tcW w:w="8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28"/>
                <w:szCs w:val="28"/>
                <w:lang w:val="en-US" w:eastAsia="zh-CN" w:bidi="ar-SA"/>
              </w:rPr>
              <w:t>10</w:t>
            </w:r>
          </w:p>
        </w:tc>
        <w:tc>
          <w:tcPr>
            <w:tcW w:w="50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嵩县人民政府办公室关于加强和改进生活无着的流浪乞讨人员救助管理工作的实施意见</w:t>
            </w:r>
          </w:p>
        </w:tc>
        <w:tc>
          <w:tcPr>
            <w:tcW w:w="2913"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嵩政办〔2021〕10号</w:t>
            </w:r>
          </w:p>
        </w:tc>
      </w:tr>
      <w:tr>
        <w:tblPrEx>
          <w:tblCellMar>
            <w:top w:w="15" w:type="dxa"/>
            <w:left w:w="15" w:type="dxa"/>
            <w:bottom w:w="15" w:type="dxa"/>
            <w:right w:w="15" w:type="dxa"/>
          </w:tblCellMar>
        </w:tblPrEx>
        <w:trPr>
          <w:trHeight w:val="1031" w:hRule="exact"/>
          <w:jc w:val="center"/>
        </w:trPr>
        <w:tc>
          <w:tcPr>
            <w:tcW w:w="8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28"/>
                <w:szCs w:val="28"/>
                <w:lang w:val="en-US" w:eastAsia="zh-CN" w:bidi="ar-SA"/>
              </w:rPr>
              <w:t>11</w:t>
            </w:r>
          </w:p>
        </w:tc>
        <w:tc>
          <w:tcPr>
            <w:tcW w:w="50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嵩县人民政府办公室关于印发《嵩县农村道路旅客运输班线通行条件联合审核机制》等四个工作办法的通知</w:t>
            </w:r>
          </w:p>
        </w:tc>
        <w:tc>
          <w:tcPr>
            <w:tcW w:w="2913"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嵩政办〔2021〕21号</w:t>
            </w:r>
          </w:p>
        </w:tc>
      </w:tr>
      <w:tr>
        <w:tblPrEx>
          <w:tblCellMar>
            <w:top w:w="15" w:type="dxa"/>
            <w:left w:w="15" w:type="dxa"/>
            <w:bottom w:w="15" w:type="dxa"/>
            <w:right w:w="15" w:type="dxa"/>
          </w:tblCellMar>
        </w:tblPrEx>
        <w:trPr>
          <w:trHeight w:val="1031" w:hRule="exact"/>
          <w:jc w:val="center"/>
        </w:trPr>
        <w:tc>
          <w:tcPr>
            <w:tcW w:w="8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28"/>
                <w:szCs w:val="28"/>
                <w:lang w:val="en-US" w:eastAsia="zh-CN" w:bidi="ar-SA"/>
              </w:rPr>
              <w:t>12</w:t>
            </w:r>
          </w:p>
        </w:tc>
        <w:tc>
          <w:tcPr>
            <w:tcW w:w="50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关于划定嵩县野生动物禁猎区和禁猎期的通告</w:t>
            </w:r>
          </w:p>
        </w:tc>
        <w:tc>
          <w:tcPr>
            <w:tcW w:w="2913"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嵩政通〔2021〕7号</w:t>
            </w:r>
          </w:p>
        </w:tc>
      </w:tr>
      <w:tr>
        <w:tblPrEx>
          <w:tblCellMar>
            <w:top w:w="15" w:type="dxa"/>
            <w:left w:w="15" w:type="dxa"/>
            <w:bottom w:w="15" w:type="dxa"/>
            <w:right w:w="15" w:type="dxa"/>
          </w:tblCellMar>
        </w:tblPrEx>
        <w:trPr>
          <w:trHeight w:val="1031" w:hRule="exact"/>
          <w:jc w:val="center"/>
        </w:trPr>
        <w:tc>
          <w:tcPr>
            <w:tcW w:w="8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28"/>
                <w:szCs w:val="28"/>
                <w:lang w:val="en-US" w:eastAsia="zh-CN" w:bidi="ar-SA"/>
              </w:rPr>
              <w:t>13</w:t>
            </w:r>
          </w:p>
        </w:tc>
        <w:tc>
          <w:tcPr>
            <w:tcW w:w="50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嵩县人民政府关于调整划定高污染燃料禁燃区管理的通告</w:t>
            </w:r>
          </w:p>
        </w:tc>
        <w:tc>
          <w:tcPr>
            <w:tcW w:w="2913"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嵩政通〔2022〕10号</w:t>
            </w:r>
          </w:p>
        </w:tc>
      </w:tr>
      <w:tr>
        <w:tblPrEx>
          <w:tblCellMar>
            <w:top w:w="15" w:type="dxa"/>
            <w:left w:w="15" w:type="dxa"/>
            <w:bottom w:w="15" w:type="dxa"/>
            <w:right w:w="15" w:type="dxa"/>
          </w:tblCellMar>
        </w:tblPrEx>
        <w:trPr>
          <w:trHeight w:val="1031" w:hRule="exact"/>
          <w:jc w:val="center"/>
        </w:trPr>
        <w:tc>
          <w:tcPr>
            <w:tcW w:w="8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28"/>
                <w:szCs w:val="28"/>
                <w:lang w:val="en-US" w:eastAsia="zh-CN" w:bidi="ar-SA"/>
              </w:rPr>
              <w:t>14</w:t>
            </w:r>
          </w:p>
        </w:tc>
        <w:tc>
          <w:tcPr>
            <w:tcW w:w="50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嵩县农村土胚房改造实施方案</w:t>
            </w:r>
          </w:p>
        </w:tc>
        <w:tc>
          <w:tcPr>
            <w:tcW w:w="2913"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嵩政办〔2022〕27号</w:t>
            </w:r>
          </w:p>
        </w:tc>
      </w:tr>
      <w:tr>
        <w:tblPrEx>
          <w:tblCellMar>
            <w:top w:w="15" w:type="dxa"/>
            <w:left w:w="15" w:type="dxa"/>
            <w:bottom w:w="15" w:type="dxa"/>
            <w:right w:w="15" w:type="dxa"/>
          </w:tblCellMar>
        </w:tblPrEx>
        <w:trPr>
          <w:trHeight w:val="1031" w:hRule="exact"/>
          <w:jc w:val="center"/>
        </w:trPr>
        <w:tc>
          <w:tcPr>
            <w:tcW w:w="8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28"/>
                <w:szCs w:val="28"/>
                <w:lang w:val="en-US" w:eastAsia="zh-CN" w:bidi="ar-SA"/>
              </w:rPr>
              <w:t>15</w:t>
            </w:r>
          </w:p>
        </w:tc>
        <w:tc>
          <w:tcPr>
            <w:tcW w:w="50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嵩县人民政府关于严禁采集、收购、运输、加工、出售、贮藏和破坏、毁损野生植物的通告</w:t>
            </w:r>
          </w:p>
        </w:tc>
        <w:tc>
          <w:tcPr>
            <w:tcW w:w="2913"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嵩政通〔2023〕2号</w:t>
            </w:r>
          </w:p>
        </w:tc>
      </w:tr>
      <w:tr>
        <w:tblPrEx>
          <w:tblCellMar>
            <w:top w:w="15" w:type="dxa"/>
            <w:left w:w="15" w:type="dxa"/>
            <w:bottom w:w="15" w:type="dxa"/>
            <w:right w:w="15" w:type="dxa"/>
          </w:tblCellMar>
        </w:tblPrEx>
        <w:trPr>
          <w:trHeight w:val="1031" w:hRule="exact"/>
          <w:jc w:val="center"/>
        </w:trPr>
        <w:tc>
          <w:tcPr>
            <w:tcW w:w="8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28"/>
                <w:szCs w:val="28"/>
                <w:lang w:val="en-US" w:eastAsia="zh-CN" w:bidi="ar-SA"/>
              </w:rPr>
              <w:t>16</w:t>
            </w:r>
          </w:p>
        </w:tc>
        <w:tc>
          <w:tcPr>
            <w:tcW w:w="50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嵩县人民政府关于嵩县抽水蓄能电站工程建设征收土地地上附着物树木类补偿实施细则的通知</w:t>
            </w:r>
          </w:p>
        </w:tc>
        <w:tc>
          <w:tcPr>
            <w:tcW w:w="2913"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嵩政〔2023〕12号</w:t>
            </w:r>
          </w:p>
        </w:tc>
      </w:tr>
      <w:tr>
        <w:tblPrEx>
          <w:tblCellMar>
            <w:top w:w="15" w:type="dxa"/>
            <w:left w:w="15" w:type="dxa"/>
            <w:bottom w:w="15" w:type="dxa"/>
            <w:right w:w="15" w:type="dxa"/>
          </w:tblCellMar>
        </w:tblPrEx>
        <w:trPr>
          <w:trHeight w:val="1031" w:hRule="exact"/>
          <w:jc w:val="center"/>
        </w:trPr>
        <w:tc>
          <w:tcPr>
            <w:tcW w:w="8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28"/>
                <w:szCs w:val="28"/>
                <w:lang w:val="en-US" w:eastAsia="zh-CN" w:bidi="ar-SA"/>
              </w:rPr>
              <w:t>17</w:t>
            </w:r>
          </w:p>
        </w:tc>
        <w:tc>
          <w:tcPr>
            <w:tcW w:w="50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关于大力促进市场主体发展及个转企的十条意见</w:t>
            </w:r>
          </w:p>
        </w:tc>
        <w:tc>
          <w:tcPr>
            <w:tcW w:w="2913"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嵩政〔2022〕23号</w:t>
            </w:r>
          </w:p>
        </w:tc>
      </w:tr>
      <w:tr>
        <w:tblPrEx>
          <w:tblCellMar>
            <w:top w:w="15" w:type="dxa"/>
            <w:left w:w="15" w:type="dxa"/>
            <w:bottom w:w="15" w:type="dxa"/>
            <w:right w:w="15" w:type="dxa"/>
          </w:tblCellMar>
        </w:tblPrEx>
        <w:trPr>
          <w:trHeight w:val="1031" w:hRule="exact"/>
          <w:jc w:val="center"/>
        </w:trPr>
        <w:tc>
          <w:tcPr>
            <w:tcW w:w="8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28"/>
                <w:szCs w:val="28"/>
                <w:lang w:val="en-US" w:eastAsia="zh-CN" w:bidi="ar-SA"/>
              </w:rPr>
              <w:t>18</w:t>
            </w:r>
          </w:p>
        </w:tc>
        <w:tc>
          <w:tcPr>
            <w:tcW w:w="50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kern w:val="0"/>
                <w:sz w:val="28"/>
                <w:szCs w:val="28"/>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嵩县人民政府办公室关于进一步加强集体建设用地管理的通知</w:t>
            </w:r>
          </w:p>
        </w:tc>
        <w:tc>
          <w:tcPr>
            <w:tcW w:w="2913"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嵩政办〔2023]15号</w:t>
            </w:r>
          </w:p>
        </w:tc>
      </w:tr>
      <w:tr>
        <w:tblPrEx>
          <w:tblCellMar>
            <w:top w:w="15" w:type="dxa"/>
            <w:left w:w="15" w:type="dxa"/>
            <w:bottom w:w="15" w:type="dxa"/>
            <w:right w:w="15" w:type="dxa"/>
          </w:tblCellMar>
        </w:tblPrEx>
        <w:trPr>
          <w:trHeight w:val="1028" w:hRule="exact"/>
          <w:jc w:val="center"/>
        </w:trPr>
        <w:tc>
          <w:tcPr>
            <w:tcW w:w="8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28"/>
                <w:szCs w:val="28"/>
                <w:lang w:val="en-US" w:eastAsia="zh-CN" w:bidi="ar-SA"/>
              </w:rPr>
              <w:t>19</w:t>
            </w:r>
          </w:p>
        </w:tc>
        <w:tc>
          <w:tcPr>
            <w:tcW w:w="50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kern w:val="0"/>
                <w:sz w:val="28"/>
                <w:szCs w:val="28"/>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嵩县人民政府办公室关于印发嵩县既有住宅建筑加装电梯实施办法的通知</w:t>
            </w:r>
          </w:p>
        </w:tc>
        <w:tc>
          <w:tcPr>
            <w:tcW w:w="2913"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嵩政办〔2024〕8号</w:t>
            </w:r>
          </w:p>
        </w:tc>
      </w:tr>
      <w:tr>
        <w:tblPrEx>
          <w:tblCellMar>
            <w:top w:w="15" w:type="dxa"/>
            <w:left w:w="15" w:type="dxa"/>
            <w:bottom w:w="15" w:type="dxa"/>
            <w:right w:w="15" w:type="dxa"/>
          </w:tblCellMar>
        </w:tblPrEx>
        <w:trPr>
          <w:trHeight w:val="902" w:hRule="exact"/>
          <w:jc w:val="center"/>
        </w:trPr>
        <w:tc>
          <w:tcPr>
            <w:tcW w:w="8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28"/>
                <w:szCs w:val="28"/>
                <w:lang w:val="en-US" w:eastAsia="zh-CN" w:bidi="ar-SA"/>
              </w:rPr>
              <w:t>20</w:t>
            </w:r>
          </w:p>
        </w:tc>
        <w:tc>
          <w:tcPr>
            <w:tcW w:w="50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kern w:val="0"/>
                <w:sz w:val="28"/>
                <w:szCs w:val="28"/>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嵩县人民政府办公室关于印发嵩县湿地保护实施方案的通知</w:t>
            </w:r>
          </w:p>
        </w:tc>
        <w:tc>
          <w:tcPr>
            <w:tcW w:w="2913"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嵩政办〔2024〕9号</w:t>
            </w:r>
          </w:p>
        </w:tc>
      </w:tr>
    </w:tbl>
    <w:p>
      <w:pPr>
        <w:keepNext w:val="0"/>
        <w:keepLines w:val="0"/>
        <w:pageBreakBefore w:val="0"/>
        <w:widowControl w:val="0"/>
        <w:kinsoku/>
        <w:wordWrap/>
        <w:overflowPunct/>
        <w:topLinePunct w:val="0"/>
        <w:autoSpaceDE/>
        <w:autoSpaceDN/>
        <w:bidi w:val="0"/>
        <w:adjustRightInd/>
        <w:snapToGrid/>
        <w:spacing w:line="590" w:lineRule="exact"/>
        <w:ind w:left="0" w:leftChars="0"/>
        <w:textAlignment w:val="auto"/>
        <w:rPr>
          <w:rFonts w:hint="default" w:ascii="Times New Roman" w:hAnsi="Times New Roman" w:eastAsia="方正黑体简体" w:cs="Times New Roman"/>
          <w:sz w:val="32"/>
          <w:szCs w:val="32"/>
        </w:rPr>
      </w:pPr>
    </w:p>
    <w:p>
      <w:pPr>
        <w:keepNext w:val="0"/>
        <w:keepLines w:val="0"/>
        <w:pageBreakBefore w:val="0"/>
        <w:widowControl w:val="0"/>
        <w:kinsoku/>
        <w:wordWrap/>
        <w:overflowPunct/>
        <w:topLinePunct w:val="0"/>
        <w:autoSpaceDE/>
        <w:autoSpaceDN/>
        <w:bidi w:val="0"/>
        <w:adjustRightInd/>
        <w:snapToGrid/>
        <w:spacing w:line="590" w:lineRule="exact"/>
        <w:ind w:left="0" w:leftChars="0"/>
        <w:textAlignment w:val="auto"/>
        <w:rPr>
          <w:rFonts w:hint="default" w:ascii="Times New Roman" w:hAnsi="Times New Roman" w:eastAsia="仿宋_GB2312" w:cs="Times New Roman"/>
          <w:sz w:val="32"/>
          <w:szCs w:val="32"/>
          <w:lang w:eastAsia="zh-CN"/>
        </w:rPr>
      </w:pPr>
      <w:r>
        <w:rPr>
          <w:rFonts w:hint="default" w:ascii="Times New Roman" w:hAnsi="Times New Roman" w:eastAsia="方正黑体简体" w:cs="Times New Roman"/>
          <w:sz w:val="32"/>
          <w:szCs w:val="32"/>
        </w:rPr>
        <w:t>附件</w:t>
      </w:r>
      <w:r>
        <w:rPr>
          <w:rFonts w:hint="default" w:ascii="Times New Roman" w:hAnsi="Times New Roman" w:eastAsia="方正黑体简体" w:cs="Times New Roman"/>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小标宋_GBK" w:cs="Times New Roman"/>
          <w:spacing w:val="-20"/>
          <w:sz w:val="44"/>
          <w:szCs w:val="44"/>
        </w:rPr>
      </w:pPr>
      <w:r>
        <w:rPr>
          <w:rFonts w:hint="default" w:ascii="Times New Roman" w:hAnsi="Times New Roman" w:eastAsia="方正小标宋_GBK" w:cs="Times New Roman"/>
          <w:spacing w:val="-20"/>
          <w:sz w:val="44"/>
          <w:szCs w:val="44"/>
        </w:rPr>
        <w:t>嵩县人民政府</w:t>
      </w:r>
      <w:r>
        <w:rPr>
          <w:rFonts w:hint="default" w:ascii="Times New Roman" w:hAnsi="Times New Roman" w:eastAsia="方正小标宋_GBK" w:cs="Times New Roman"/>
          <w:spacing w:val="-20"/>
          <w:sz w:val="44"/>
          <w:szCs w:val="44"/>
          <w:lang w:eastAsia="zh-CN"/>
        </w:rPr>
        <w:t>废止</w:t>
      </w:r>
      <w:r>
        <w:rPr>
          <w:rFonts w:hint="default" w:ascii="Times New Roman" w:hAnsi="Times New Roman" w:eastAsia="方正小标宋_GBK" w:cs="Times New Roman"/>
          <w:spacing w:val="-20"/>
          <w:sz w:val="44"/>
          <w:szCs w:val="44"/>
          <w:lang w:val="en-US" w:eastAsia="zh-CN"/>
        </w:rPr>
        <w:t>/</w:t>
      </w:r>
      <w:r>
        <w:rPr>
          <w:rFonts w:hint="default" w:ascii="Times New Roman" w:hAnsi="Times New Roman" w:eastAsia="方正小标宋_GBK" w:cs="Times New Roman"/>
          <w:spacing w:val="-20"/>
          <w:sz w:val="44"/>
          <w:szCs w:val="44"/>
        </w:rPr>
        <w:t>失效的规范性文件目录</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w:t>
      </w:r>
      <w:r>
        <w:rPr>
          <w:rFonts w:hint="default" w:ascii="Times New Roman" w:hAnsi="Times New Roman" w:eastAsia="方正小标宋_GBK" w:cs="Times New Roman"/>
          <w:sz w:val="44"/>
          <w:szCs w:val="44"/>
          <w:lang w:val="en-US" w:eastAsia="zh-CN"/>
        </w:rPr>
        <w:t>16</w:t>
      </w:r>
      <w:r>
        <w:rPr>
          <w:rFonts w:hint="default" w:ascii="Times New Roman" w:hAnsi="Times New Roman" w:eastAsia="方正小标宋_GBK" w:cs="Times New Roman"/>
          <w:sz w:val="44"/>
          <w:szCs w:val="44"/>
        </w:rPr>
        <w:t>件）</w:t>
      </w:r>
    </w:p>
    <w:tbl>
      <w:tblPr>
        <w:tblStyle w:val="9"/>
        <w:tblW w:w="885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09"/>
        <w:gridCol w:w="5450"/>
        <w:gridCol w:w="24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jc w:val="center"/>
        </w:trPr>
        <w:tc>
          <w:tcPr>
            <w:tcW w:w="9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480" w:lineRule="exact"/>
              <w:ind w:left="0" w:right="0"/>
              <w:jc w:val="center"/>
              <w:rPr>
                <w:rFonts w:hint="default" w:ascii="Times New Roman" w:hAnsi="Times New Roman" w:eastAsia="黑体" w:cs="Times New Roman"/>
                <w:color w:val="000000"/>
                <w:kern w:val="0"/>
                <w:sz w:val="28"/>
                <w:szCs w:val="28"/>
                <w:lang w:val="en-US"/>
              </w:rPr>
            </w:pPr>
            <w:r>
              <w:rPr>
                <w:rFonts w:hint="default" w:ascii="Times New Roman" w:hAnsi="Times New Roman" w:eastAsia="黑体" w:cs="Times New Roman"/>
                <w:color w:val="000000"/>
                <w:kern w:val="0"/>
                <w:sz w:val="28"/>
                <w:szCs w:val="28"/>
                <w:lang w:val="en-US" w:eastAsia="zh-CN" w:bidi="ar"/>
              </w:rPr>
              <w:t>序号</w:t>
            </w:r>
          </w:p>
        </w:tc>
        <w:tc>
          <w:tcPr>
            <w:tcW w:w="5450"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480" w:lineRule="exact"/>
              <w:ind w:left="0" w:right="0"/>
              <w:jc w:val="center"/>
              <w:rPr>
                <w:rFonts w:hint="default" w:ascii="Times New Roman" w:hAnsi="Times New Roman" w:eastAsia="黑体" w:cs="Times New Roman"/>
                <w:color w:val="000000"/>
                <w:kern w:val="0"/>
                <w:sz w:val="28"/>
                <w:szCs w:val="28"/>
                <w:lang w:val="en-US"/>
              </w:rPr>
            </w:pPr>
            <w:r>
              <w:rPr>
                <w:rFonts w:hint="default" w:ascii="Times New Roman" w:hAnsi="Times New Roman" w:eastAsia="黑体" w:cs="Times New Roman"/>
                <w:color w:val="000000"/>
                <w:kern w:val="0"/>
                <w:sz w:val="28"/>
                <w:szCs w:val="28"/>
                <w:lang w:val="en-US" w:eastAsia="zh-CN" w:bidi="ar"/>
              </w:rPr>
              <w:t>规范性文件名称</w:t>
            </w:r>
          </w:p>
        </w:tc>
        <w:tc>
          <w:tcPr>
            <w:tcW w:w="2493"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480" w:lineRule="exact"/>
              <w:ind w:left="0" w:right="0"/>
              <w:jc w:val="center"/>
              <w:rPr>
                <w:rFonts w:hint="default" w:ascii="Times New Roman" w:hAnsi="Times New Roman" w:eastAsia="黑体" w:cs="Times New Roman"/>
                <w:color w:val="000000"/>
                <w:kern w:val="0"/>
                <w:sz w:val="28"/>
                <w:szCs w:val="28"/>
                <w:lang w:val="en-US"/>
              </w:rPr>
            </w:pPr>
            <w:r>
              <w:rPr>
                <w:rFonts w:hint="default" w:ascii="Times New Roman" w:hAnsi="Times New Roman" w:eastAsia="黑体" w:cs="Times New Roman"/>
                <w:color w:val="000000"/>
                <w:kern w:val="0"/>
                <w:sz w:val="28"/>
                <w:szCs w:val="28"/>
                <w:lang w:val="en-US" w:eastAsia="zh-CN" w:bidi="ar"/>
              </w:rPr>
              <w:t>发文字号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9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rPr>
            </w:pPr>
            <w:r>
              <w:rPr>
                <w:rFonts w:hint="default" w:ascii="Times New Roman" w:hAnsi="Times New Roman" w:eastAsia="仿宋_GB2312" w:cs="Times New Roman"/>
                <w:color w:val="000000"/>
                <w:kern w:val="0"/>
                <w:sz w:val="28"/>
                <w:szCs w:val="28"/>
                <w:lang w:val="en-US" w:eastAsia="zh-CN"/>
              </w:rPr>
              <w:t>1</w:t>
            </w:r>
          </w:p>
        </w:tc>
        <w:tc>
          <w:tcPr>
            <w:tcW w:w="5450"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仿宋_GB2312" w:cs="Times New Roman"/>
                <w:color w:val="000000"/>
                <w:sz w:val="28"/>
                <w:szCs w:val="28"/>
                <w:lang w:val="en-US"/>
              </w:rPr>
            </w:pPr>
            <w:r>
              <w:rPr>
                <w:rFonts w:hint="default" w:ascii="Times New Roman" w:hAnsi="Times New Roman" w:eastAsia="宋体" w:cs="Times New Roman"/>
                <w:i w:val="0"/>
                <w:iCs w:val="0"/>
                <w:color w:val="000000"/>
                <w:kern w:val="0"/>
                <w:sz w:val="22"/>
                <w:szCs w:val="22"/>
                <w:u w:val="none"/>
                <w:lang w:val="en-US" w:eastAsia="zh-CN" w:bidi="ar"/>
              </w:rPr>
              <w:t>关于印发全面拖欠农民工工资问题的实施办法的通知</w:t>
            </w:r>
          </w:p>
        </w:tc>
        <w:tc>
          <w:tcPr>
            <w:tcW w:w="2493"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color w:val="000000"/>
                <w:sz w:val="28"/>
                <w:szCs w:val="28"/>
                <w:lang w:val="en-US"/>
              </w:rPr>
            </w:pPr>
            <w:r>
              <w:rPr>
                <w:rFonts w:hint="default" w:ascii="Times New Roman" w:hAnsi="Times New Roman" w:eastAsia="宋体" w:cs="Times New Roman"/>
                <w:i w:val="0"/>
                <w:iCs w:val="0"/>
                <w:color w:val="000000"/>
                <w:kern w:val="0"/>
                <w:sz w:val="22"/>
                <w:szCs w:val="22"/>
                <w:u w:val="none"/>
                <w:lang w:val="en-US" w:eastAsia="zh-CN" w:bidi="ar"/>
              </w:rPr>
              <w:t>嵩政办〔2018〕19号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jc w:val="center"/>
        </w:trPr>
        <w:tc>
          <w:tcPr>
            <w:tcW w:w="9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rPr>
            </w:pPr>
            <w:r>
              <w:rPr>
                <w:rFonts w:hint="default" w:ascii="Times New Roman" w:hAnsi="Times New Roman" w:eastAsia="仿宋_GB2312" w:cs="Times New Roman"/>
                <w:color w:val="000000"/>
                <w:kern w:val="0"/>
                <w:sz w:val="28"/>
                <w:szCs w:val="28"/>
                <w:lang w:val="en-US" w:eastAsia="zh-CN"/>
              </w:rPr>
              <w:t>2</w:t>
            </w:r>
          </w:p>
        </w:tc>
        <w:tc>
          <w:tcPr>
            <w:tcW w:w="5450"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leftChars="0" w:right="0" w:rightChars="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关于印发嵩县突发事件预警信息发布运行管理办法的通知</w:t>
            </w:r>
          </w:p>
        </w:tc>
        <w:tc>
          <w:tcPr>
            <w:tcW w:w="2493"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嵩政办﹝2018﹞87号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9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rPr>
            </w:pPr>
            <w:r>
              <w:rPr>
                <w:rFonts w:hint="default" w:ascii="Times New Roman" w:hAnsi="Times New Roman" w:eastAsia="仿宋_GB2312" w:cs="Times New Roman"/>
                <w:color w:val="000000"/>
                <w:kern w:val="0"/>
                <w:sz w:val="28"/>
                <w:szCs w:val="28"/>
                <w:lang w:val="en-US" w:eastAsia="zh-CN"/>
              </w:rPr>
              <w:t>3</w:t>
            </w:r>
          </w:p>
        </w:tc>
        <w:tc>
          <w:tcPr>
            <w:tcW w:w="5450"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leftChars="0" w:right="0" w:rightChars="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嵩县大中型水库移民后期扶持项目管理实施细则（试行）</w:t>
            </w:r>
          </w:p>
        </w:tc>
        <w:tc>
          <w:tcPr>
            <w:tcW w:w="2493"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嵩政办〔2019〕12号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3" w:hRule="atLeast"/>
          <w:jc w:val="center"/>
        </w:trPr>
        <w:tc>
          <w:tcPr>
            <w:tcW w:w="9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rPr>
            </w:pPr>
            <w:r>
              <w:rPr>
                <w:rFonts w:hint="default" w:ascii="Times New Roman" w:hAnsi="Times New Roman" w:eastAsia="仿宋_GB2312" w:cs="Times New Roman"/>
                <w:color w:val="000000"/>
                <w:kern w:val="0"/>
                <w:sz w:val="28"/>
                <w:szCs w:val="28"/>
                <w:lang w:val="en-US" w:eastAsia="zh-CN"/>
              </w:rPr>
              <w:t>4</w:t>
            </w:r>
          </w:p>
        </w:tc>
        <w:tc>
          <w:tcPr>
            <w:tcW w:w="5450"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仿宋_GB2312" w:cs="Times New Roman"/>
                <w:color w:val="000000"/>
                <w:sz w:val="28"/>
                <w:szCs w:val="28"/>
                <w:lang w:val="en-US"/>
              </w:rPr>
            </w:pPr>
            <w:r>
              <w:rPr>
                <w:rFonts w:hint="default" w:ascii="Times New Roman" w:hAnsi="Times New Roman" w:eastAsia="宋体" w:cs="Times New Roman"/>
                <w:i w:val="0"/>
                <w:iCs w:val="0"/>
                <w:color w:val="000000"/>
                <w:kern w:val="0"/>
                <w:sz w:val="22"/>
                <w:szCs w:val="22"/>
                <w:u w:val="none"/>
                <w:lang w:val="en-US" w:eastAsia="zh-CN" w:bidi="ar"/>
              </w:rPr>
              <w:t>关于禁止燃放烟花爆竹的通告</w:t>
            </w:r>
          </w:p>
        </w:tc>
        <w:tc>
          <w:tcPr>
            <w:tcW w:w="2493"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color w:val="000000"/>
                <w:sz w:val="28"/>
                <w:szCs w:val="28"/>
                <w:lang w:val="en-US"/>
              </w:rPr>
            </w:pPr>
            <w:r>
              <w:rPr>
                <w:rFonts w:hint="default" w:ascii="Times New Roman" w:hAnsi="Times New Roman" w:eastAsia="宋体" w:cs="Times New Roman"/>
                <w:i w:val="0"/>
                <w:iCs w:val="0"/>
                <w:color w:val="000000"/>
                <w:kern w:val="0"/>
                <w:sz w:val="22"/>
                <w:szCs w:val="22"/>
                <w:u w:val="none"/>
                <w:lang w:val="en-US" w:eastAsia="zh-CN" w:bidi="ar"/>
              </w:rPr>
              <w:t>嵩政通〔2020〕1号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9" w:hRule="atLeast"/>
          <w:jc w:val="center"/>
        </w:trPr>
        <w:tc>
          <w:tcPr>
            <w:tcW w:w="9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rPr>
            </w:pPr>
            <w:r>
              <w:rPr>
                <w:rFonts w:hint="default" w:ascii="Times New Roman" w:hAnsi="Times New Roman" w:eastAsia="仿宋_GB2312" w:cs="Times New Roman"/>
                <w:color w:val="000000"/>
                <w:kern w:val="0"/>
                <w:sz w:val="28"/>
                <w:szCs w:val="28"/>
                <w:lang w:val="en-US" w:eastAsia="zh-CN"/>
              </w:rPr>
              <w:t>5</w:t>
            </w:r>
          </w:p>
        </w:tc>
        <w:tc>
          <w:tcPr>
            <w:tcW w:w="5450"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关于治理私搭乱建、非法圈占土地等违法行为的通告</w:t>
            </w:r>
          </w:p>
        </w:tc>
        <w:tc>
          <w:tcPr>
            <w:tcW w:w="2493"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嵩政通〔2021〕1号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9" w:hRule="atLeast"/>
          <w:jc w:val="center"/>
        </w:trPr>
        <w:tc>
          <w:tcPr>
            <w:tcW w:w="9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rPr>
            </w:pPr>
            <w:r>
              <w:rPr>
                <w:rFonts w:hint="default" w:ascii="Times New Roman" w:hAnsi="Times New Roman" w:eastAsia="仿宋_GB2312" w:cs="Times New Roman"/>
                <w:color w:val="000000"/>
                <w:kern w:val="0"/>
                <w:sz w:val="28"/>
                <w:szCs w:val="28"/>
                <w:lang w:val="en-US" w:eastAsia="zh-CN"/>
              </w:rPr>
              <w:t>6</w:t>
            </w:r>
          </w:p>
        </w:tc>
        <w:tc>
          <w:tcPr>
            <w:tcW w:w="5450"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仿宋_GB2312" w:cs="Times New Roman"/>
                <w:color w:val="000000"/>
                <w:sz w:val="28"/>
                <w:szCs w:val="28"/>
                <w:lang w:val="en-US"/>
              </w:rPr>
            </w:pPr>
            <w:r>
              <w:rPr>
                <w:rFonts w:hint="default" w:ascii="Times New Roman" w:hAnsi="Times New Roman" w:eastAsia="宋体" w:cs="Times New Roman"/>
                <w:i w:val="0"/>
                <w:iCs w:val="0"/>
                <w:color w:val="000000"/>
                <w:kern w:val="0"/>
                <w:sz w:val="22"/>
                <w:szCs w:val="22"/>
                <w:u w:val="none"/>
                <w:lang w:val="en-US" w:eastAsia="zh-CN" w:bidi="ar"/>
              </w:rPr>
              <w:t>嵩县人民政府办公室关于印发嵩县2021年大气污染防治攻坚战实施方案等三个方案的通知</w:t>
            </w:r>
          </w:p>
        </w:tc>
        <w:tc>
          <w:tcPr>
            <w:tcW w:w="2493"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color w:val="000000"/>
                <w:sz w:val="28"/>
                <w:szCs w:val="28"/>
                <w:lang w:val="en-US"/>
              </w:rPr>
            </w:pPr>
            <w:r>
              <w:rPr>
                <w:rFonts w:hint="default" w:ascii="Times New Roman" w:hAnsi="Times New Roman" w:eastAsia="宋体" w:cs="Times New Roman"/>
                <w:i w:val="0"/>
                <w:iCs w:val="0"/>
                <w:color w:val="000000"/>
                <w:kern w:val="0"/>
                <w:sz w:val="22"/>
                <w:szCs w:val="22"/>
                <w:u w:val="none"/>
                <w:lang w:val="en-US" w:eastAsia="zh-CN" w:bidi="ar"/>
              </w:rPr>
              <w:t>嵩政办〔2021〕12号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9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rPr>
            </w:pPr>
            <w:r>
              <w:rPr>
                <w:rFonts w:hint="default" w:ascii="Times New Roman" w:hAnsi="Times New Roman" w:eastAsia="仿宋_GB2312" w:cs="Times New Roman"/>
                <w:color w:val="000000"/>
                <w:kern w:val="0"/>
                <w:sz w:val="28"/>
                <w:szCs w:val="28"/>
                <w:lang w:val="en-US" w:eastAsia="zh-CN"/>
              </w:rPr>
              <w:t>7</w:t>
            </w:r>
          </w:p>
        </w:tc>
        <w:tc>
          <w:tcPr>
            <w:tcW w:w="5450"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仿宋_GB2312" w:cs="Times New Roman"/>
                <w:color w:val="000000"/>
                <w:sz w:val="28"/>
                <w:szCs w:val="28"/>
                <w:lang w:val="en-US"/>
              </w:rPr>
            </w:pPr>
            <w:r>
              <w:rPr>
                <w:rFonts w:hint="default" w:ascii="Times New Roman" w:hAnsi="Times New Roman" w:eastAsia="宋体" w:cs="Times New Roman"/>
                <w:i w:val="0"/>
                <w:iCs w:val="0"/>
                <w:color w:val="000000"/>
                <w:kern w:val="0"/>
                <w:sz w:val="22"/>
                <w:szCs w:val="22"/>
                <w:u w:val="none"/>
                <w:lang w:val="en-US" w:eastAsia="zh-CN" w:bidi="ar"/>
              </w:rPr>
              <w:t>嵩县人民政府办公室关于印发嵩县2021年农房品质提升项目实施方案的通知</w:t>
            </w:r>
          </w:p>
        </w:tc>
        <w:tc>
          <w:tcPr>
            <w:tcW w:w="2493"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color w:val="000000"/>
                <w:sz w:val="28"/>
                <w:szCs w:val="28"/>
                <w:lang w:val="en-US"/>
              </w:rPr>
            </w:pPr>
            <w:r>
              <w:rPr>
                <w:rFonts w:hint="default" w:ascii="Times New Roman" w:hAnsi="Times New Roman" w:eastAsia="宋体" w:cs="Times New Roman"/>
                <w:i w:val="0"/>
                <w:iCs w:val="0"/>
                <w:color w:val="000000"/>
                <w:kern w:val="0"/>
                <w:sz w:val="22"/>
                <w:szCs w:val="22"/>
                <w:u w:val="none"/>
                <w:lang w:val="en-US" w:eastAsia="zh-CN" w:bidi="ar"/>
              </w:rPr>
              <w:t>嵩政办〔2021〕23号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9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480" w:lineRule="exact"/>
              <w:ind w:left="0" w:leftChars="0" w:right="0" w:rightChars="0"/>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28"/>
                <w:szCs w:val="28"/>
                <w:lang w:val="en-US" w:eastAsia="zh-CN" w:bidi="ar-SA"/>
              </w:rPr>
              <w:t>8</w:t>
            </w:r>
          </w:p>
        </w:tc>
        <w:tc>
          <w:tcPr>
            <w:tcW w:w="5450"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仿宋_GB2312" w:cs="Times New Roman"/>
                <w:color w:val="000000"/>
                <w:kern w:val="2"/>
                <w:sz w:val="28"/>
                <w:szCs w:val="28"/>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嵩县人民政府办公室关于印发嵩县村民住房灾后恢复重建工作方案的通知</w:t>
            </w:r>
          </w:p>
        </w:tc>
        <w:tc>
          <w:tcPr>
            <w:tcW w:w="2493"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嵩政办〔2021〕24号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9" w:hRule="atLeast"/>
          <w:jc w:val="center"/>
        </w:trPr>
        <w:tc>
          <w:tcPr>
            <w:tcW w:w="9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rPr>
            </w:pPr>
            <w:r>
              <w:rPr>
                <w:rFonts w:hint="default" w:ascii="Times New Roman" w:hAnsi="Times New Roman" w:eastAsia="仿宋_GB2312" w:cs="Times New Roman"/>
                <w:color w:val="000000"/>
                <w:kern w:val="0"/>
                <w:sz w:val="28"/>
                <w:szCs w:val="28"/>
                <w:lang w:val="en-US" w:eastAsia="zh-CN"/>
              </w:rPr>
              <w:t>9</w:t>
            </w:r>
          </w:p>
        </w:tc>
        <w:tc>
          <w:tcPr>
            <w:tcW w:w="5450"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leftChars="0" w:right="0" w:rightChars="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嵩县人民政府办公室关于印发中小企业纾困帮扶政策措施的通知</w:t>
            </w:r>
          </w:p>
        </w:tc>
        <w:tc>
          <w:tcPr>
            <w:tcW w:w="2493"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嵩政办〔2022〕19号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9" w:hRule="atLeast"/>
          <w:jc w:val="center"/>
        </w:trPr>
        <w:tc>
          <w:tcPr>
            <w:tcW w:w="9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rPr>
            </w:pPr>
            <w:r>
              <w:rPr>
                <w:rFonts w:hint="default" w:ascii="Times New Roman" w:hAnsi="Times New Roman" w:eastAsia="仿宋_GB2312" w:cs="Times New Roman"/>
                <w:color w:val="000000"/>
                <w:kern w:val="0"/>
                <w:sz w:val="28"/>
                <w:szCs w:val="28"/>
                <w:lang w:val="en-US" w:eastAsia="zh-CN"/>
              </w:rPr>
              <w:t>10</w:t>
            </w:r>
          </w:p>
        </w:tc>
        <w:tc>
          <w:tcPr>
            <w:tcW w:w="5450"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leftChars="0" w:right="0" w:rightChars="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嵩县人民政府办公室关于印发嵩县城市低收入家庭认定实施意见（暂行）的通知</w:t>
            </w:r>
          </w:p>
        </w:tc>
        <w:tc>
          <w:tcPr>
            <w:tcW w:w="2493"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嵩政办〔2022〕31号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9" w:hRule="atLeast"/>
          <w:jc w:val="center"/>
        </w:trPr>
        <w:tc>
          <w:tcPr>
            <w:tcW w:w="9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rPr>
            </w:pPr>
            <w:r>
              <w:rPr>
                <w:rFonts w:hint="default" w:ascii="Times New Roman" w:hAnsi="Times New Roman" w:eastAsia="仿宋_GB2312" w:cs="Times New Roman"/>
                <w:color w:val="000000"/>
                <w:kern w:val="0"/>
                <w:sz w:val="28"/>
                <w:szCs w:val="28"/>
                <w:lang w:val="en-US" w:eastAsia="zh-CN"/>
              </w:rPr>
              <w:t>11</w:t>
            </w:r>
          </w:p>
        </w:tc>
        <w:tc>
          <w:tcPr>
            <w:tcW w:w="5450"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仿宋_GB2312" w:cs="Times New Roman"/>
                <w:color w:val="000000"/>
                <w:sz w:val="28"/>
                <w:szCs w:val="28"/>
                <w:lang w:val="en-US"/>
              </w:rPr>
            </w:pPr>
            <w:r>
              <w:rPr>
                <w:rFonts w:hint="default" w:ascii="Times New Roman" w:hAnsi="Times New Roman" w:eastAsia="宋体" w:cs="Times New Roman"/>
                <w:i w:val="0"/>
                <w:iCs w:val="0"/>
                <w:color w:val="000000"/>
                <w:kern w:val="0"/>
                <w:sz w:val="22"/>
                <w:szCs w:val="22"/>
                <w:u w:val="none"/>
                <w:lang w:val="en-US" w:eastAsia="zh-CN" w:bidi="ar"/>
              </w:rPr>
              <w:t>银行业金融机构支持嵩县经济发展业绩考核激励办法</w:t>
            </w:r>
          </w:p>
        </w:tc>
        <w:tc>
          <w:tcPr>
            <w:tcW w:w="2493"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color w:val="000000"/>
                <w:sz w:val="28"/>
                <w:szCs w:val="28"/>
                <w:lang w:val="en-US"/>
              </w:rPr>
            </w:pPr>
            <w:r>
              <w:rPr>
                <w:rFonts w:hint="default" w:ascii="Times New Roman" w:hAnsi="Times New Roman" w:eastAsia="宋体" w:cs="Times New Roman"/>
                <w:i w:val="0"/>
                <w:iCs w:val="0"/>
                <w:color w:val="000000"/>
                <w:kern w:val="0"/>
                <w:sz w:val="22"/>
                <w:szCs w:val="22"/>
                <w:u w:val="none"/>
                <w:lang w:val="en-US" w:eastAsia="zh-CN" w:bidi="ar"/>
              </w:rPr>
              <w:t>嵩政办〔2022〕32号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4" w:hRule="atLeast"/>
          <w:jc w:val="center"/>
        </w:trPr>
        <w:tc>
          <w:tcPr>
            <w:tcW w:w="9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rPr>
            </w:pPr>
            <w:r>
              <w:rPr>
                <w:rFonts w:hint="default" w:ascii="Times New Roman" w:hAnsi="Times New Roman" w:eastAsia="仿宋_GB2312" w:cs="Times New Roman"/>
                <w:color w:val="000000"/>
                <w:kern w:val="0"/>
                <w:sz w:val="28"/>
                <w:szCs w:val="28"/>
                <w:lang w:val="en-US" w:eastAsia="zh-CN"/>
              </w:rPr>
              <w:t>12</w:t>
            </w:r>
          </w:p>
        </w:tc>
        <w:tc>
          <w:tcPr>
            <w:tcW w:w="5450"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仿宋_GB2312" w:cs="Times New Roman"/>
                <w:color w:val="000000"/>
                <w:sz w:val="28"/>
                <w:szCs w:val="28"/>
                <w:lang w:val="en-US"/>
              </w:rPr>
            </w:pPr>
            <w:r>
              <w:rPr>
                <w:rFonts w:hint="default" w:ascii="Times New Roman" w:hAnsi="Times New Roman" w:eastAsia="宋体" w:cs="Times New Roman"/>
                <w:i w:val="0"/>
                <w:iCs w:val="0"/>
                <w:color w:val="000000"/>
                <w:kern w:val="0"/>
                <w:sz w:val="22"/>
                <w:szCs w:val="22"/>
                <w:u w:val="none"/>
                <w:lang w:val="en-US" w:eastAsia="zh-CN" w:bidi="ar"/>
              </w:rPr>
              <w:t>关于印发嵩县资本市场发展专项奖补办法的通知</w:t>
            </w:r>
          </w:p>
        </w:tc>
        <w:tc>
          <w:tcPr>
            <w:tcW w:w="2493"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color w:val="000000"/>
                <w:sz w:val="28"/>
                <w:szCs w:val="28"/>
                <w:lang w:val="en-US"/>
              </w:rPr>
            </w:pPr>
            <w:r>
              <w:rPr>
                <w:rFonts w:hint="default" w:ascii="Times New Roman" w:hAnsi="Times New Roman" w:eastAsia="宋体" w:cs="Times New Roman"/>
                <w:i w:val="0"/>
                <w:iCs w:val="0"/>
                <w:color w:val="000000"/>
                <w:kern w:val="0"/>
                <w:sz w:val="22"/>
                <w:szCs w:val="22"/>
                <w:u w:val="none"/>
                <w:lang w:val="en-US" w:eastAsia="zh-CN" w:bidi="ar"/>
              </w:rPr>
              <w:t>嵩政办〔2022〕38号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jc w:val="center"/>
        </w:trPr>
        <w:tc>
          <w:tcPr>
            <w:tcW w:w="9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rPr>
            </w:pPr>
            <w:r>
              <w:rPr>
                <w:rFonts w:hint="default" w:ascii="Times New Roman" w:hAnsi="Times New Roman" w:eastAsia="仿宋_GB2312" w:cs="Times New Roman"/>
                <w:color w:val="000000"/>
                <w:kern w:val="0"/>
                <w:sz w:val="28"/>
                <w:szCs w:val="28"/>
                <w:lang w:val="en-US" w:eastAsia="zh-CN"/>
              </w:rPr>
              <w:t>13</w:t>
            </w:r>
          </w:p>
        </w:tc>
        <w:tc>
          <w:tcPr>
            <w:tcW w:w="5450"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leftChars="0" w:right="0" w:rightChars="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嵩县人民政府关于进一步加强规上企业培育和升规纳统工作的实施意见</w:t>
            </w:r>
          </w:p>
        </w:tc>
        <w:tc>
          <w:tcPr>
            <w:tcW w:w="2493"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嵩政〔2022〕15号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jc w:val="center"/>
        </w:trPr>
        <w:tc>
          <w:tcPr>
            <w:tcW w:w="9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rPr>
            </w:pPr>
            <w:r>
              <w:rPr>
                <w:rFonts w:hint="default" w:ascii="Times New Roman" w:hAnsi="Times New Roman" w:eastAsia="仿宋_GB2312" w:cs="Times New Roman"/>
                <w:color w:val="000000"/>
                <w:kern w:val="0"/>
                <w:sz w:val="28"/>
                <w:szCs w:val="28"/>
                <w:lang w:val="en-US" w:eastAsia="zh-CN"/>
              </w:rPr>
              <w:t>14</w:t>
            </w:r>
          </w:p>
        </w:tc>
        <w:tc>
          <w:tcPr>
            <w:tcW w:w="5450"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仿宋_GB2312" w:cs="Times New Roman"/>
                <w:color w:val="000000"/>
                <w:sz w:val="28"/>
                <w:szCs w:val="28"/>
                <w:lang w:val="en-US"/>
              </w:rPr>
            </w:pPr>
            <w:r>
              <w:rPr>
                <w:rFonts w:hint="default" w:ascii="Times New Roman" w:hAnsi="Times New Roman" w:eastAsia="宋体" w:cs="Times New Roman"/>
                <w:i w:val="0"/>
                <w:iCs w:val="0"/>
                <w:color w:val="000000"/>
                <w:kern w:val="0"/>
                <w:sz w:val="22"/>
                <w:szCs w:val="22"/>
                <w:u w:val="none"/>
                <w:lang w:val="en-US" w:eastAsia="zh-CN" w:bidi="ar"/>
              </w:rPr>
              <w:t>嵩县支持总部经济发展办法（试行）</w:t>
            </w:r>
          </w:p>
        </w:tc>
        <w:tc>
          <w:tcPr>
            <w:tcW w:w="2493"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color w:val="000000"/>
                <w:sz w:val="28"/>
                <w:szCs w:val="28"/>
                <w:lang w:val="en-US"/>
              </w:rPr>
            </w:pPr>
            <w:r>
              <w:rPr>
                <w:rFonts w:hint="default" w:ascii="Times New Roman" w:hAnsi="Times New Roman" w:eastAsia="宋体" w:cs="Times New Roman"/>
                <w:i w:val="0"/>
                <w:iCs w:val="0"/>
                <w:color w:val="000000"/>
                <w:kern w:val="0"/>
                <w:sz w:val="22"/>
                <w:szCs w:val="22"/>
                <w:u w:val="none"/>
                <w:lang w:val="en-US" w:eastAsia="zh-CN" w:bidi="ar"/>
              </w:rPr>
              <w:t>嵩政〔2022〕17号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jc w:val="center"/>
        </w:trPr>
        <w:tc>
          <w:tcPr>
            <w:tcW w:w="9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rPr>
            </w:pPr>
            <w:r>
              <w:rPr>
                <w:rFonts w:hint="default" w:ascii="Times New Roman" w:hAnsi="Times New Roman" w:eastAsia="仿宋_GB2312" w:cs="Times New Roman"/>
                <w:color w:val="000000"/>
                <w:kern w:val="0"/>
                <w:sz w:val="28"/>
                <w:szCs w:val="28"/>
                <w:lang w:val="en-US" w:eastAsia="zh-CN"/>
              </w:rPr>
              <w:t>15</w:t>
            </w:r>
          </w:p>
        </w:tc>
        <w:tc>
          <w:tcPr>
            <w:tcW w:w="5450"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关于印发《嵩县支持养牛产业发展十条措施》的通知</w:t>
            </w:r>
          </w:p>
        </w:tc>
        <w:tc>
          <w:tcPr>
            <w:tcW w:w="2493"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嵩政〔2022〕19号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9" w:hRule="atLeast"/>
          <w:jc w:val="center"/>
        </w:trPr>
        <w:tc>
          <w:tcPr>
            <w:tcW w:w="9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480" w:lineRule="exact"/>
              <w:ind w:left="0" w:right="0"/>
              <w:jc w:val="center"/>
              <w:textAlignment w:val="center"/>
              <w:rPr>
                <w:rFonts w:hint="default" w:ascii="Times New Roman" w:hAnsi="Times New Roman" w:eastAsia="仿宋_GB2312" w:cs="Times New Roman"/>
                <w:color w:val="000000"/>
                <w:kern w:val="0"/>
                <w:sz w:val="28"/>
                <w:szCs w:val="28"/>
                <w:lang w:val="en-US" w:eastAsia="zh-CN"/>
              </w:rPr>
            </w:pPr>
            <w:r>
              <w:rPr>
                <w:rFonts w:hint="default" w:ascii="Times New Roman" w:hAnsi="Times New Roman" w:eastAsia="仿宋_GB2312" w:cs="Times New Roman"/>
                <w:color w:val="000000"/>
                <w:kern w:val="0"/>
                <w:sz w:val="28"/>
                <w:szCs w:val="28"/>
                <w:lang w:val="en-US" w:eastAsia="zh-CN"/>
              </w:rPr>
              <w:t>16</w:t>
            </w:r>
          </w:p>
        </w:tc>
        <w:tc>
          <w:tcPr>
            <w:tcW w:w="5450"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仿宋_GB2312" w:cs="Times New Roman"/>
                <w:color w:val="000000"/>
                <w:sz w:val="28"/>
                <w:szCs w:val="28"/>
                <w:lang w:val="en-US"/>
              </w:rPr>
            </w:pPr>
            <w:r>
              <w:rPr>
                <w:rFonts w:hint="default" w:ascii="Times New Roman" w:hAnsi="Times New Roman" w:eastAsia="宋体" w:cs="Times New Roman"/>
                <w:i w:val="0"/>
                <w:iCs w:val="0"/>
                <w:color w:val="000000"/>
                <w:kern w:val="0"/>
                <w:sz w:val="22"/>
                <w:szCs w:val="22"/>
                <w:u w:val="none"/>
                <w:lang w:val="en-US" w:eastAsia="zh-CN" w:bidi="ar"/>
              </w:rPr>
              <w:t>关于公布规范性文件清理结果的决定</w:t>
            </w:r>
          </w:p>
        </w:tc>
        <w:tc>
          <w:tcPr>
            <w:tcW w:w="2493"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color w:val="000000"/>
                <w:sz w:val="28"/>
                <w:szCs w:val="28"/>
                <w:lang w:val="en-US"/>
              </w:rPr>
            </w:pPr>
            <w:r>
              <w:rPr>
                <w:rFonts w:hint="default" w:ascii="Times New Roman" w:hAnsi="Times New Roman" w:eastAsia="宋体" w:cs="Times New Roman"/>
                <w:i w:val="0"/>
                <w:iCs w:val="0"/>
                <w:color w:val="000000"/>
                <w:kern w:val="0"/>
                <w:sz w:val="22"/>
                <w:szCs w:val="22"/>
                <w:u w:val="none"/>
                <w:lang w:val="en-US" w:eastAsia="zh-CN" w:bidi="ar"/>
              </w:rPr>
              <w:t>嵩政〔2022〕20号</w:t>
            </w:r>
          </w:p>
        </w:tc>
      </w:tr>
    </w:tbl>
    <w:p>
      <w:pPr>
        <w:keepNext w:val="0"/>
        <w:keepLines w:val="0"/>
        <w:pageBreakBefore w:val="0"/>
        <w:widowControl w:val="0"/>
        <w:kinsoku/>
        <w:wordWrap/>
        <w:overflowPunct/>
        <w:topLinePunct w:val="0"/>
        <w:autoSpaceDE/>
        <w:autoSpaceDN/>
        <w:bidi w:val="0"/>
        <w:adjustRightInd/>
        <w:snapToGrid/>
        <w:spacing w:line="590" w:lineRule="exact"/>
        <w:ind w:left="0" w:leftChars="0"/>
        <w:jc w:val="left"/>
        <w:textAlignment w:val="auto"/>
        <w:rPr>
          <w:rFonts w:hint="default" w:ascii="Times New Roman" w:hAnsi="Times New Roman" w:eastAsia="仿宋_GB2312" w:cs="Times New Roman"/>
          <w:sz w:val="32"/>
          <w:szCs w:val="32"/>
          <w:lang w:eastAsia="zh-CN"/>
        </w:rPr>
      </w:pPr>
      <w:r>
        <w:rPr>
          <w:rFonts w:hint="default" w:ascii="Times New Roman" w:hAnsi="Times New Roman" w:eastAsia="方正黑体简体" w:cs="Times New Roman"/>
          <w:sz w:val="32"/>
          <w:szCs w:val="32"/>
        </w:rPr>
        <w:t>附件</w:t>
      </w:r>
      <w:r>
        <w:rPr>
          <w:rFonts w:hint="default" w:ascii="Times New Roman" w:hAnsi="Times New Roman" w:eastAsia="方正黑体简体" w:cs="Times New Roman"/>
          <w:sz w:val="32"/>
          <w:szCs w:val="32"/>
          <w:lang w:val="en-US" w:eastAsia="zh-CN"/>
        </w:rPr>
        <w:t>3</w:t>
      </w:r>
    </w:p>
    <w:p>
      <w:pPr>
        <w:spacing w:line="500" w:lineRule="exact"/>
        <w:jc w:val="center"/>
        <w:rPr>
          <w:rFonts w:hint="default" w:ascii="Times New Roman" w:hAnsi="Times New Roman" w:eastAsia="方正小标宋简体" w:cs="Times New Roman"/>
          <w:sz w:val="44"/>
          <w:szCs w:val="44"/>
        </w:rPr>
      </w:pPr>
    </w:p>
    <w:p>
      <w:pPr>
        <w:spacing w:line="50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嵩县人民政府</w:t>
      </w:r>
      <w:r>
        <w:rPr>
          <w:rFonts w:hint="default" w:ascii="Times New Roman" w:hAnsi="Times New Roman" w:eastAsia="方正小标宋_GBK" w:cs="Times New Roman"/>
          <w:sz w:val="44"/>
          <w:szCs w:val="44"/>
          <w:lang w:eastAsia="zh-CN"/>
        </w:rPr>
        <w:t>决定修订</w:t>
      </w:r>
      <w:r>
        <w:rPr>
          <w:rFonts w:hint="default" w:ascii="Times New Roman" w:hAnsi="Times New Roman" w:eastAsia="方正小标宋_GBK" w:cs="Times New Roman"/>
          <w:sz w:val="44"/>
          <w:szCs w:val="44"/>
        </w:rPr>
        <w:t>的规范性文件目录</w:t>
      </w:r>
    </w:p>
    <w:p>
      <w:pPr>
        <w:spacing w:line="50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_GBK" w:cs="Times New Roman"/>
          <w:sz w:val="44"/>
          <w:szCs w:val="44"/>
        </w:rPr>
        <w:t>（</w:t>
      </w:r>
      <w:r>
        <w:rPr>
          <w:rFonts w:hint="default" w:ascii="Times New Roman" w:hAnsi="Times New Roman" w:eastAsia="方正小标宋_GBK" w:cs="Times New Roman"/>
          <w:sz w:val="44"/>
          <w:szCs w:val="44"/>
          <w:lang w:val="en-US" w:eastAsia="zh-CN"/>
        </w:rPr>
        <w:t>1</w:t>
      </w:r>
      <w:r>
        <w:rPr>
          <w:rFonts w:hint="default" w:ascii="Times New Roman" w:hAnsi="Times New Roman" w:eastAsia="方正小标宋_GBK" w:cs="Times New Roman"/>
          <w:sz w:val="44"/>
          <w:szCs w:val="44"/>
        </w:rPr>
        <w:t>件）</w:t>
      </w:r>
    </w:p>
    <w:tbl>
      <w:tblPr>
        <w:tblStyle w:val="9"/>
        <w:tblpPr w:leftFromText="180" w:rightFromText="180" w:vertAnchor="text" w:horzAnchor="page" w:tblpXSpec="center" w:tblpY="670"/>
        <w:tblOverlap w:val="never"/>
        <w:tblW w:w="9047" w:type="dxa"/>
        <w:jc w:val="center"/>
        <w:tblLayout w:type="fixed"/>
        <w:tblCellMar>
          <w:top w:w="15" w:type="dxa"/>
          <w:left w:w="15" w:type="dxa"/>
          <w:bottom w:w="15" w:type="dxa"/>
          <w:right w:w="15" w:type="dxa"/>
        </w:tblCellMar>
      </w:tblPr>
      <w:tblGrid>
        <w:gridCol w:w="909"/>
        <w:gridCol w:w="5546"/>
        <w:gridCol w:w="2592"/>
      </w:tblGrid>
      <w:tr>
        <w:tblPrEx>
          <w:tblCellMar>
            <w:top w:w="15" w:type="dxa"/>
            <w:left w:w="15" w:type="dxa"/>
            <w:bottom w:w="15" w:type="dxa"/>
            <w:right w:w="15" w:type="dxa"/>
          </w:tblCellMar>
        </w:tblPrEx>
        <w:trPr>
          <w:trHeight w:val="649" w:hRule="atLeas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auto"/>
                <w:kern w:val="0"/>
                <w:sz w:val="24"/>
                <w:szCs w:val="24"/>
              </w:rPr>
            </w:pPr>
            <w:r>
              <w:rPr>
                <w:rFonts w:hint="default" w:ascii="Times New Roman" w:hAnsi="Times New Roman" w:eastAsia="黑体" w:cs="Times New Roman"/>
                <w:color w:val="auto"/>
                <w:kern w:val="0"/>
                <w:sz w:val="24"/>
                <w:szCs w:val="24"/>
              </w:rPr>
              <w:t>序号</w:t>
            </w:r>
          </w:p>
        </w:tc>
        <w:tc>
          <w:tcPr>
            <w:tcW w:w="55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auto"/>
                <w:kern w:val="0"/>
                <w:sz w:val="24"/>
                <w:szCs w:val="24"/>
              </w:rPr>
            </w:pPr>
            <w:r>
              <w:rPr>
                <w:rFonts w:hint="default" w:ascii="Times New Roman" w:hAnsi="Times New Roman" w:eastAsia="黑体" w:cs="Times New Roman"/>
                <w:color w:val="auto"/>
                <w:kern w:val="0"/>
                <w:sz w:val="24"/>
                <w:szCs w:val="24"/>
              </w:rPr>
              <w:t>规范性文件名称</w:t>
            </w:r>
          </w:p>
        </w:tc>
        <w:tc>
          <w:tcPr>
            <w:tcW w:w="25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auto"/>
                <w:kern w:val="0"/>
                <w:sz w:val="24"/>
                <w:szCs w:val="24"/>
              </w:rPr>
            </w:pPr>
            <w:r>
              <w:rPr>
                <w:rFonts w:hint="default" w:ascii="Times New Roman" w:hAnsi="Times New Roman" w:eastAsia="黑体" w:cs="Times New Roman"/>
                <w:color w:val="auto"/>
                <w:kern w:val="0"/>
                <w:sz w:val="24"/>
                <w:szCs w:val="24"/>
              </w:rPr>
              <w:t>发文字号</w:t>
            </w:r>
          </w:p>
        </w:tc>
      </w:tr>
      <w:tr>
        <w:tblPrEx>
          <w:tblCellMar>
            <w:top w:w="15" w:type="dxa"/>
            <w:left w:w="15" w:type="dxa"/>
            <w:bottom w:w="15" w:type="dxa"/>
            <w:right w:w="15" w:type="dxa"/>
          </w:tblCellMar>
        </w:tblPrEx>
        <w:trPr>
          <w:trHeight w:val="872" w:hRule="atLeas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kern w:val="0"/>
                <w:sz w:val="28"/>
                <w:szCs w:val="28"/>
                <w:lang w:val="en-US" w:eastAsia="zh-CN" w:bidi="ar-SA"/>
              </w:rPr>
            </w:pPr>
            <w:r>
              <w:rPr>
                <w:rFonts w:hint="default" w:ascii="Times New Roman" w:hAnsi="Times New Roman" w:eastAsia="仿宋_GB2312" w:cs="Times New Roman"/>
                <w:color w:val="auto"/>
                <w:kern w:val="0"/>
                <w:sz w:val="28"/>
                <w:szCs w:val="28"/>
                <w:lang w:val="en-US" w:eastAsia="zh-CN" w:bidi="ar-SA"/>
              </w:rPr>
              <w:t>1</w:t>
            </w:r>
          </w:p>
        </w:tc>
        <w:tc>
          <w:tcPr>
            <w:tcW w:w="55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仿宋_GB2312" w:cs="Times New Roman"/>
                <w:color w:val="auto"/>
                <w:kern w:val="0"/>
                <w:sz w:val="28"/>
                <w:szCs w:val="28"/>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关于印发嵩县建立病死畜禽无害化处理长效机制实施方案的通知</w:t>
            </w:r>
          </w:p>
        </w:tc>
        <w:tc>
          <w:tcPr>
            <w:tcW w:w="25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kern w:val="0"/>
                <w:sz w:val="28"/>
                <w:szCs w:val="28"/>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嵩政办〔2018〕27号</w:t>
            </w:r>
          </w:p>
        </w:tc>
      </w:tr>
    </w:tbl>
    <w:p>
      <w:pPr>
        <w:rPr>
          <w:rFonts w:hint="default" w:ascii="Times New Roman" w:hAnsi="Times New Roman" w:eastAsia="仿宋_GB2312" w:cs="Times New Roman"/>
          <w:color w:val="000000"/>
          <w:kern w:val="0"/>
          <w:sz w:val="21"/>
          <w:szCs w:val="21"/>
          <w:lang w:val="en-US" w:eastAsia="zh-CN" w:bidi="ar-SA"/>
        </w:rPr>
      </w:pPr>
    </w:p>
    <w:p>
      <w:pPr>
        <w:spacing w:line="600" w:lineRule="exact"/>
        <w:rPr>
          <w:rFonts w:hint="default" w:ascii="Times New Roman" w:hAnsi="Times New Roman" w:eastAsia="方正小标宋简体" w:cs="Times New Roman"/>
          <w:sz w:val="44"/>
          <w:szCs w:val="44"/>
        </w:rPr>
      </w:pPr>
    </w:p>
    <w:p>
      <w:pPr>
        <w:pStyle w:val="4"/>
        <w:rPr>
          <w:rFonts w:hint="default" w:ascii="Times New Roman" w:hAnsi="Times New Roman" w:eastAsia="仿宋" w:cs="Times New Roman"/>
          <w:kern w:val="2"/>
          <w:sz w:val="32"/>
          <w:szCs w:val="32"/>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B45E35D-4465-446C-8A42-B4B0B44D893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embedRegular r:id="rId2" w:fontKey="{EDA41411-A4D9-496B-8925-A1AF13EBAEA3}"/>
  </w:font>
  <w:font w:name="NEU-BZ">
    <w:altName w:val="宋体"/>
    <w:panose1 w:val="02010600010101010101"/>
    <w:charset w:val="86"/>
    <w:family w:val="auto"/>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DE7C7426-D5EE-45EE-A4C8-6C6757135A7B}"/>
  </w:font>
  <w:font w:name="方正书宋简体">
    <w:altName w:val="宋体"/>
    <w:panose1 w:val="03000509000000000000"/>
    <w:charset w:val="86"/>
    <w:family w:val="script"/>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embedRegular r:id="rId4" w:fontKey="{94500EA6-D29F-4CFC-9D79-7185ED7F77CC}"/>
  </w:font>
  <w:font w:name="楷体_GB2312">
    <w:panose1 w:val="02010609030101010101"/>
    <w:charset w:val="86"/>
    <w:family w:val="auto"/>
    <w:pitch w:val="default"/>
    <w:sig w:usb0="00000001" w:usb1="080E0000" w:usb2="00000000" w:usb3="00000000" w:csb0="00040000" w:csb1="00000000"/>
  </w:font>
  <w:font w:name="穝灿砰">
    <w:altName w:val="宋体"/>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embedRegular r:id="rId5" w:fontKey="{CB170C14-911A-4FBB-B0D3-2CAEAFCC87BA}"/>
  </w:font>
  <w:font w:name="方正小标宋简体">
    <w:panose1 w:val="02010601030101010101"/>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embedRegular r:id="rId6" w:fontKey="{1E6074DD-1B71-424A-A14E-4357342B99B3}"/>
  </w:font>
  <w:font w:name="方正仿宋简体">
    <w:panose1 w:val="03000509000000000000"/>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895" w:leftChars="407" w:firstLine="10518" w:firstLineChars="3287"/>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洛洛阳市嵩县</w:t>
    </w:r>
    <w:r>
      <w:rPr>
        <w:rFonts w:hint="eastAsia" w:ascii="宋体" w:hAnsi="宋体" w:eastAsia="宋体" w:cs="宋体"/>
        <w:b/>
        <w:bCs/>
        <w:color w:val="005192"/>
        <w:sz w:val="28"/>
        <w:szCs w:val="44"/>
        <w:lang w:val="en-US" w:eastAsia="zh-CN"/>
      </w:rPr>
      <w:t xml:space="preserve">人民政府发布    </w:t>
    </w:r>
  </w:p>
  <w:p>
    <w:pPr>
      <w:pStyle w:val="7"/>
      <w:wordWrap w:val="0"/>
      <w:ind w:left="501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w:t>
    </w:r>
    <w:r>
      <w:rPr>
        <w:rFonts w:hint="eastAsia" w:ascii="宋体" w:hAnsi="宋体" w:cs="宋体"/>
        <w:b/>
        <w:bCs/>
        <w:color w:val="005192"/>
        <w:sz w:val="32"/>
        <w:szCs w:val="32"/>
        <w:lang w:val="en-US" w:eastAsia="zh-CN"/>
      </w:rPr>
      <w:t>嵩县人民政府行政规范性文件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1ZTdlNTRhMWZkMDgyMzRhMzNkNzA2NTY2Y2FiOGYifQ=="/>
  </w:docVars>
  <w:rsids>
    <w:rsidRoot w:val="7C9011D9"/>
    <w:rsid w:val="019E71BD"/>
    <w:rsid w:val="01C32272"/>
    <w:rsid w:val="05440955"/>
    <w:rsid w:val="056A6FAB"/>
    <w:rsid w:val="066E5641"/>
    <w:rsid w:val="06A67E67"/>
    <w:rsid w:val="080F63D8"/>
    <w:rsid w:val="09006E92"/>
    <w:rsid w:val="09341458"/>
    <w:rsid w:val="09553C02"/>
    <w:rsid w:val="0CE65B2C"/>
    <w:rsid w:val="0D5C5CF8"/>
    <w:rsid w:val="0ED818A4"/>
    <w:rsid w:val="101F0538"/>
    <w:rsid w:val="10254BD6"/>
    <w:rsid w:val="123B7E78"/>
    <w:rsid w:val="129E7932"/>
    <w:rsid w:val="13244EFC"/>
    <w:rsid w:val="13A23C39"/>
    <w:rsid w:val="152D2DCA"/>
    <w:rsid w:val="181E5F9F"/>
    <w:rsid w:val="183F1D57"/>
    <w:rsid w:val="1C86388D"/>
    <w:rsid w:val="1E466CFF"/>
    <w:rsid w:val="22440422"/>
    <w:rsid w:val="23F13B42"/>
    <w:rsid w:val="287C616C"/>
    <w:rsid w:val="2911329D"/>
    <w:rsid w:val="2FCE575A"/>
    <w:rsid w:val="2FFC7EDE"/>
    <w:rsid w:val="303C2C32"/>
    <w:rsid w:val="31A15F24"/>
    <w:rsid w:val="360949B7"/>
    <w:rsid w:val="39A232A0"/>
    <w:rsid w:val="3A1C636B"/>
    <w:rsid w:val="3B5A6BBB"/>
    <w:rsid w:val="3BE16DE7"/>
    <w:rsid w:val="3E0E7999"/>
    <w:rsid w:val="3EDA13A6"/>
    <w:rsid w:val="3F233925"/>
    <w:rsid w:val="3F5730EA"/>
    <w:rsid w:val="42F058B7"/>
    <w:rsid w:val="436109F6"/>
    <w:rsid w:val="441A38D4"/>
    <w:rsid w:val="46BB40FD"/>
    <w:rsid w:val="474E2EF2"/>
    <w:rsid w:val="49B91357"/>
    <w:rsid w:val="4AEC52E8"/>
    <w:rsid w:val="4AFF8CDB"/>
    <w:rsid w:val="4BC77339"/>
    <w:rsid w:val="4C9236C5"/>
    <w:rsid w:val="4E2A37E2"/>
    <w:rsid w:val="4F1521CC"/>
    <w:rsid w:val="4F9714A0"/>
    <w:rsid w:val="4FD27FA4"/>
    <w:rsid w:val="50414CBD"/>
    <w:rsid w:val="51E247E8"/>
    <w:rsid w:val="526F08CC"/>
    <w:rsid w:val="52F46F0B"/>
    <w:rsid w:val="55274B4C"/>
    <w:rsid w:val="55E064E0"/>
    <w:rsid w:val="56031AAA"/>
    <w:rsid w:val="5A4F3EF9"/>
    <w:rsid w:val="5D0D7ECB"/>
    <w:rsid w:val="608816D1"/>
    <w:rsid w:val="69D03F98"/>
    <w:rsid w:val="6A7F4576"/>
    <w:rsid w:val="6BF75DB0"/>
    <w:rsid w:val="6D0E3F22"/>
    <w:rsid w:val="6D772313"/>
    <w:rsid w:val="70AF1C83"/>
    <w:rsid w:val="714A2531"/>
    <w:rsid w:val="71C61E01"/>
    <w:rsid w:val="71E9213F"/>
    <w:rsid w:val="75AA717D"/>
    <w:rsid w:val="7C9011D9"/>
    <w:rsid w:val="7CFB3184"/>
    <w:rsid w:val="7DC651C5"/>
    <w:rsid w:val="7DFBC28B"/>
    <w:rsid w:val="7FED60B9"/>
    <w:rsid w:val="D5F6BFC8"/>
    <w:rsid w:val="D6DD9B99"/>
    <w:rsid w:val="F7CE0210"/>
    <w:rsid w:val="FDB75BAD"/>
    <w:rsid w:val="FFDA27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NEU-BZ" w:eastAsia="宋体" w:cs="Times New Roman"/>
      <w:sz w:val="22"/>
      <w:szCs w:val="22"/>
      <w:lang w:val="en-US" w:eastAsia="zh-CN" w:bidi="ar-SA"/>
    </w:rPr>
  </w:style>
  <w:style w:type="paragraph" w:styleId="2">
    <w:name w:val="heading 1"/>
    <w:next w:val="1"/>
    <w:qFormat/>
    <w:uiPriority w:val="0"/>
    <w:pPr>
      <w:keepNext/>
      <w:keepLines/>
      <w:widowControl w:val="0"/>
      <w:spacing w:before="340" w:beforeLines="0" w:beforeAutospacing="0" w:after="330" w:afterLines="0" w:afterAutospacing="0" w:line="576" w:lineRule="auto"/>
      <w:jc w:val="both"/>
      <w:outlineLvl w:val="0"/>
    </w:pPr>
    <w:rPr>
      <w:rFonts w:asciiTheme="minorHAnsi" w:hAnsiTheme="minorHAnsi" w:eastAsiaTheme="minorEastAsia" w:cstheme="minorBidi"/>
      <w:b/>
      <w:kern w:val="44"/>
      <w:sz w:val="44"/>
      <w:szCs w:val="24"/>
      <w:lang w:val="en-US" w:eastAsia="zh-CN" w:bidi="ar-SA"/>
    </w:rPr>
  </w:style>
  <w:style w:type="paragraph" w:styleId="3">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Body Text"/>
    <w:qFormat/>
    <w:uiPriority w:val="0"/>
    <w:pPr>
      <w:widowControl w:val="0"/>
      <w:jc w:val="center"/>
    </w:pPr>
    <w:rPr>
      <w:rFonts w:ascii="仿宋_GB2312" w:hAnsi="Calibri" w:eastAsia="仿宋_GB2312" w:cs="Times New Roman"/>
      <w:color w:val="000000"/>
      <w:kern w:val="2"/>
      <w:sz w:val="24"/>
      <w:szCs w:val="24"/>
      <w:lang w:val="en-US" w:eastAsia="zh-CN" w:bidi="ar-SA"/>
    </w:rPr>
  </w:style>
  <w:style w:type="paragraph" w:styleId="5">
    <w:name w:val="Plain Text"/>
    <w:basedOn w:val="1"/>
    <w:qFormat/>
    <w:uiPriority w:val="99"/>
    <w:rPr>
      <w:rFonts w:ascii="宋体" w:hAnsi="宋体" w:eastAsia="宋体" w:cs="宋体"/>
      <w:sz w:val="21"/>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1">
    <w:name w:val="page number"/>
    <w:basedOn w:val="10"/>
    <w:qFormat/>
    <w:uiPriority w:val="0"/>
  </w:style>
  <w:style w:type="paragraph" w:customStyle="1" w:styleId="12">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3">
    <w:name w:val="一级标题（二号小标宋）"/>
    <w:basedOn w:val="1"/>
    <w:link w:val="16"/>
    <w:qFormat/>
    <w:uiPriority w:val="0"/>
    <w:pPr>
      <w:jc w:val="center"/>
    </w:pPr>
    <w:rPr>
      <w:rFonts w:ascii="方正书宋简体" w:hAnsi="方正书宋简体" w:eastAsia="方正小标宋_GBK"/>
      <w:color w:val="000000"/>
      <w:sz w:val="42"/>
      <w:szCs w:val="42"/>
    </w:rPr>
  </w:style>
  <w:style w:type="paragraph" w:customStyle="1" w:styleId="14">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15">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16">
    <w:name w:val="一级标题（二号小标宋） Char"/>
    <w:basedOn w:val="10"/>
    <w:link w:val="13"/>
    <w:qFormat/>
    <w:uiPriority w:val="0"/>
    <w:rPr>
      <w:rFonts w:ascii="方正书宋简体" w:hAnsi="方正书宋简体" w:eastAsia="方正小标宋_GBK"/>
      <w:color w:val="000000"/>
      <w:sz w:val="42"/>
      <w:szCs w:val="42"/>
    </w:rPr>
  </w:style>
  <w:style w:type="paragraph" w:customStyle="1" w:styleId="17">
    <w:name w:val="WPS Plain"/>
    <w:qFormat/>
    <w:uiPriority w:val="0"/>
    <w:rPr>
      <w:rFonts w:ascii="Times New Roman" w:hAnsi="Times New Roman" w:eastAsia="宋体" w:cs="Times New Roman"/>
    </w:rPr>
  </w:style>
  <w:style w:type="character" w:customStyle="1" w:styleId="18">
    <w:name w:val="font11"/>
    <w:qFormat/>
    <w:uiPriority w:val="0"/>
    <w:rPr>
      <w:rFonts w:ascii="穝灿砰" w:hAnsi="穝灿砰" w:eastAsia="穝灿砰" w:cs="穝灿砰"/>
      <w:color w:val="000000"/>
      <w:sz w:val="21"/>
      <w:szCs w:val="21"/>
      <w:u w:val="none"/>
    </w:rPr>
  </w:style>
  <w:style w:type="character" w:customStyle="1" w:styleId="19">
    <w:name w:val="font31"/>
    <w:qFormat/>
    <w:uiPriority w:val="0"/>
    <w:rPr>
      <w:rFonts w:hint="default" w:ascii="Times New Roman" w:hAnsi="Times New Roman" w:cs="Times New Roman"/>
      <w:color w:val="000000"/>
      <w:sz w:val="21"/>
      <w:szCs w:val="21"/>
      <w:u w:val="none"/>
    </w:rPr>
  </w:style>
  <w:style w:type="character" w:customStyle="1" w:styleId="20">
    <w:name w:val="font21"/>
    <w:qFormat/>
    <w:uiPriority w:val="0"/>
    <w:rPr>
      <w:rFonts w:hint="default" w:ascii="Times New Roman" w:hAnsi="Times New Roman" w:cs="Times New Roman"/>
      <w:color w:val="000000"/>
      <w:sz w:val="21"/>
      <w:szCs w:val="21"/>
      <w:u w:val="none"/>
    </w:rPr>
  </w:style>
  <w:style w:type="paragraph" w:customStyle="1" w:styleId="21">
    <w:name w:val="正文1"/>
    <w:next w:val="22"/>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1"/>
      <w:szCs w:val="22"/>
      <w:lang w:val="en-US" w:eastAsia="zh-CN" w:bidi="ar-SA"/>
    </w:rPr>
  </w:style>
  <w:style w:type="paragraph" w:customStyle="1" w:styleId="22">
    <w:name w:val="正文文本1"/>
    <w:basedOn w:val="21"/>
    <w:next w:val="23"/>
    <w:qFormat/>
    <w:uiPriority w:val="0"/>
    <w:pPr>
      <w:spacing w:beforeLines="0" w:beforeAutospacing="0" w:after="120" w:afterAutospacing="0"/>
    </w:pPr>
  </w:style>
  <w:style w:type="paragraph" w:customStyle="1" w:styleId="23">
    <w:name w:val="Body Text 2"/>
    <w:basedOn w:val="21"/>
    <w:qFormat/>
    <w:uiPriority w:val="0"/>
    <w:pPr>
      <w:spacing w:beforeLines="0" w:beforeAutospacing="0" w:after="120" w:afterAutospacing="0" w:line="480" w:lineRule="auto"/>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2720</Words>
  <Characters>2724</Characters>
  <Lines>0</Lines>
  <Paragraphs>0</Paragraphs>
  <TotalTime>1</TotalTime>
  <ScaleCrop>false</ScaleCrop>
  <LinksUpToDate>false</LinksUpToDate>
  <CharactersWithSpaces>2816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2021-09-11T10:41:00Z</dcterms:created>
  <dc:creator>t</dc:creator>
  <cp:lastModifiedBy>Teruzuki14</cp:lastModifiedBy>
  <cp:lastPrinted>2021-09-24T09:19:00Z</cp:lastPrinted>
  <dcterms:modified xsi:type="dcterms:W3CDTF">2025-12-17T07:09:28Z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EA81D458E3AB4A69903AF521ABD08688_13</vt:lpwstr>
  </property>
</Properties>
</file>