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0BE0F5">
      <w:pPr>
        <w:overflowPunct w:val="0"/>
        <w:spacing w:line="600" w:lineRule="exact"/>
        <w:jc w:val="center"/>
        <w:rPr>
          <w:rFonts w:hint="eastAsia" w:ascii="方正小标宋简体" w:hAnsi="方正小标宋简体" w:eastAsia="方正小标宋简体" w:cs="方正小标宋简体"/>
          <w:b w:val="0"/>
          <w:bCs/>
          <w:color w:val="auto"/>
          <w:kern w:val="0"/>
          <w:sz w:val="44"/>
          <w:szCs w:val="44"/>
        </w:rPr>
      </w:pPr>
      <w:r>
        <w:rPr>
          <w:rFonts w:hint="eastAsia" w:ascii="方正小标宋简体" w:hAnsi="方正小标宋简体" w:eastAsia="方正小标宋简体" w:cs="方正小标宋简体"/>
          <w:b w:val="0"/>
          <w:bCs/>
          <w:color w:val="auto"/>
          <w:kern w:val="0"/>
          <w:sz w:val="44"/>
          <w:szCs w:val="44"/>
        </w:rPr>
        <w:t>洛阳市基本建设考古调查勘探、发掘</w:t>
      </w:r>
    </w:p>
    <w:p w14:paraId="1A0700F3">
      <w:pPr>
        <w:overflowPunct w:val="0"/>
        <w:spacing w:line="600" w:lineRule="exact"/>
        <w:jc w:val="center"/>
        <w:rPr>
          <w:rFonts w:hint="eastAsia" w:ascii="方正小标宋简体" w:hAnsi="方正小标宋简体" w:eastAsia="方正小标宋简体" w:cs="方正小标宋简体"/>
          <w:b w:val="0"/>
          <w:bCs/>
          <w:color w:val="auto"/>
          <w:kern w:val="0"/>
          <w:sz w:val="44"/>
          <w:szCs w:val="44"/>
        </w:rPr>
      </w:pPr>
      <w:r>
        <w:rPr>
          <w:rFonts w:hint="eastAsia" w:ascii="方正小标宋简体" w:hAnsi="方正小标宋简体" w:eastAsia="方正小标宋简体" w:cs="方正小标宋简体"/>
          <w:b w:val="0"/>
          <w:bCs/>
          <w:color w:val="auto"/>
          <w:kern w:val="0"/>
          <w:sz w:val="44"/>
          <w:szCs w:val="44"/>
        </w:rPr>
        <w:t>经费预算定额操作办法</w:t>
      </w:r>
    </w:p>
    <w:p w14:paraId="0F4AFEA8">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hint="default" w:ascii="Times New Roman" w:hAnsi="Times New Roman" w:cs="Times New Roman"/>
          <w:b/>
          <w:color w:val="auto"/>
          <w:kern w:val="0"/>
          <w:sz w:val="44"/>
          <w:szCs w:val="44"/>
        </w:rPr>
      </w:pPr>
      <w:r>
        <w:rPr>
          <w:rFonts w:hint="eastAsia" w:ascii="楷体_GB2312" w:hAnsi="楷体_GB2312" w:eastAsia="楷体_GB2312" w:cs="楷体_GB2312"/>
          <w:b w:val="0"/>
          <w:bCs/>
          <w:snapToGrid/>
          <w:color w:val="auto"/>
          <w:kern w:val="0"/>
          <w:sz w:val="32"/>
          <w:szCs w:val="32"/>
          <w:lang w:val="en-US" w:eastAsia="zh-CN"/>
        </w:rPr>
        <w:t>（征求意见稿）</w:t>
      </w:r>
    </w:p>
    <w:p w14:paraId="6F80885C">
      <w:pPr>
        <w:overflowPunct w:val="0"/>
        <w:spacing w:line="600" w:lineRule="exact"/>
        <w:ind w:firstLine="640" w:firstLineChars="200"/>
        <w:rPr>
          <w:rFonts w:hint="default" w:ascii="Times New Roman" w:hAnsi="Times New Roman" w:eastAsia="仿宋_GB2312" w:cs="Times New Roman"/>
          <w:color w:val="auto"/>
          <w:kern w:val="0"/>
          <w:sz w:val="32"/>
          <w:szCs w:val="32"/>
        </w:rPr>
      </w:pPr>
    </w:p>
    <w:p w14:paraId="5D1AA2AD">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hint="default" w:ascii="Times New Roman" w:hAnsi="Times New Roman" w:eastAsia="黑体" w:cs="Times New Roman"/>
          <w:b/>
          <w:bCs/>
          <w:color w:val="auto"/>
          <w:kern w:val="0"/>
          <w:sz w:val="32"/>
          <w:szCs w:val="32"/>
        </w:rPr>
      </w:pPr>
      <w:r>
        <w:rPr>
          <w:rFonts w:hint="default" w:ascii="Times New Roman" w:hAnsi="Times New Roman" w:eastAsia="黑体" w:cs="Times New Roman"/>
          <w:color w:val="auto"/>
          <w:kern w:val="0"/>
          <w:sz w:val="32"/>
          <w:szCs w:val="32"/>
        </w:rPr>
        <w:t>第一章  总</w:t>
      </w:r>
      <w:r>
        <w:rPr>
          <w:rFonts w:hint="default" w:ascii="Times New Roman" w:hAnsi="Times New Roman" w:eastAsia="黑体" w:cs="Times New Roman"/>
          <w:color w:val="auto"/>
          <w:kern w:val="0"/>
          <w:sz w:val="32"/>
          <w:szCs w:val="32"/>
          <w:lang w:val="en-US" w:eastAsia="zh-CN"/>
        </w:rPr>
        <w:t xml:space="preserve">  </w:t>
      </w:r>
      <w:r>
        <w:rPr>
          <w:rFonts w:hint="default" w:ascii="Times New Roman" w:hAnsi="Times New Roman" w:eastAsia="黑体" w:cs="Times New Roman"/>
          <w:color w:val="auto"/>
          <w:kern w:val="0"/>
          <w:sz w:val="32"/>
          <w:szCs w:val="32"/>
        </w:rPr>
        <w:t>则</w:t>
      </w:r>
    </w:p>
    <w:p w14:paraId="34198F39">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val="0"/>
          <w:color w:val="auto"/>
          <w:kern w:val="0"/>
          <w:sz w:val="32"/>
          <w:szCs w:val="32"/>
        </w:rPr>
        <w:t>第一条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rPr>
        <w:t>为做好基本建设中的文化遗产保护工作，</w:t>
      </w:r>
      <w:r>
        <w:rPr>
          <w:rFonts w:hint="default" w:ascii="Times New Roman" w:hAnsi="Times New Roman" w:eastAsia="仿宋_GB2312" w:cs="Times New Roman"/>
          <w:strike w:val="0"/>
          <w:dstrike w:val="0"/>
          <w:color w:val="auto"/>
          <w:kern w:val="0"/>
          <w:sz w:val="32"/>
          <w:szCs w:val="32"/>
          <w:lang w:val="en-US" w:eastAsia="zh-CN"/>
        </w:rPr>
        <w:t>保障</w:t>
      </w:r>
      <w:r>
        <w:rPr>
          <w:rFonts w:hint="default" w:ascii="Times New Roman" w:hAnsi="Times New Roman" w:eastAsia="仿宋_GB2312" w:cs="Times New Roman"/>
          <w:color w:val="auto"/>
          <w:kern w:val="0"/>
          <w:sz w:val="32"/>
          <w:szCs w:val="32"/>
        </w:rPr>
        <w:t>考古工作与基本建设项目顺利进行，根据《中华人民共和国文物保护法》《国家文物局关于颁发〈考古调查、勘探、发掘收费定额管理办法〉的通知》（1990文物字第248号）以及《河南省人民政府关于调整河南省最低工资标准的通知》，结合工作实际，制定本办法。</w:t>
      </w:r>
    </w:p>
    <w:p w14:paraId="1B240EAA">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b/>
          <w:bCs w:val="0"/>
          <w:color w:val="auto"/>
          <w:kern w:val="0"/>
          <w:sz w:val="32"/>
          <w:szCs w:val="32"/>
        </w:rPr>
        <w:t>第二条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lang w:val="en-US" w:eastAsia="zh-CN"/>
        </w:rPr>
        <w:t>洛阳</w:t>
      </w:r>
      <w:r>
        <w:rPr>
          <w:rFonts w:hint="default" w:ascii="Times New Roman" w:hAnsi="Times New Roman" w:eastAsia="仿宋_GB2312" w:cs="Times New Roman"/>
          <w:color w:val="auto"/>
          <w:kern w:val="0"/>
          <w:sz w:val="32"/>
          <w:szCs w:val="32"/>
        </w:rPr>
        <w:t>市行政区域</w:t>
      </w:r>
      <w:r>
        <w:rPr>
          <w:rFonts w:hint="default" w:ascii="Times New Roman" w:hAnsi="Times New Roman" w:eastAsia="仿宋_GB2312" w:cs="Times New Roman"/>
          <w:color w:val="auto"/>
          <w:kern w:val="0"/>
          <w:sz w:val="32"/>
          <w:szCs w:val="32"/>
          <w:lang w:val="en-US" w:eastAsia="zh-CN"/>
        </w:rPr>
        <w:t>内</w:t>
      </w:r>
      <w:r>
        <w:rPr>
          <w:rFonts w:hint="default" w:ascii="Times New Roman" w:hAnsi="Times New Roman" w:eastAsia="仿宋_GB2312" w:cs="Times New Roman"/>
          <w:color w:val="auto"/>
          <w:kern w:val="0"/>
          <w:sz w:val="32"/>
          <w:szCs w:val="32"/>
        </w:rPr>
        <w:t>基本建设考古调查勘探、发掘经费预算编制工作</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适用于本办法</w:t>
      </w:r>
      <w:r>
        <w:rPr>
          <w:rFonts w:hint="default" w:ascii="Times New Roman" w:hAnsi="Times New Roman" w:eastAsia="仿宋_GB2312" w:cs="Times New Roman"/>
          <w:color w:val="auto"/>
          <w:kern w:val="0"/>
          <w:sz w:val="32"/>
          <w:szCs w:val="32"/>
          <w:lang w:eastAsia="zh-CN"/>
        </w:rPr>
        <w:t>。</w:t>
      </w:r>
    </w:p>
    <w:p w14:paraId="6926E8DB">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trike w:val="0"/>
          <w:dstrike w:val="0"/>
          <w:snapToGrid w:val="0"/>
          <w:color w:val="auto"/>
          <w:spacing w:val="-4"/>
          <w:kern w:val="0"/>
          <w:sz w:val="31"/>
          <w:szCs w:val="31"/>
          <w:lang w:val="en-US" w:eastAsia="zh-CN" w:bidi="ar-SA"/>
        </w:rPr>
      </w:pPr>
      <w:r>
        <w:rPr>
          <w:rFonts w:hint="default" w:ascii="Times New Roman" w:hAnsi="Times New Roman" w:eastAsia="仿宋_GB2312" w:cs="Times New Roman"/>
          <w:b/>
          <w:bCs w:val="0"/>
          <w:color w:val="auto"/>
          <w:kern w:val="0"/>
          <w:sz w:val="32"/>
          <w:szCs w:val="32"/>
          <w:lang w:val="en-US" w:eastAsia="zh-CN"/>
        </w:rPr>
        <w:t>第三条</w:t>
      </w:r>
      <w:r>
        <w:rPr>
          <w:rFonts w:hint="default" w:ascii="Times New Roman" w:hAnsi="Times New Roman" w:eastAsia="仿宋_GB2312" w:cs="Times New Roman"/>
          <w:color w:val="auto"/>
          <w:kern w:val="0"/>
          <w:sz w:val="32"/>
          <w:szCs w:val="32"/>
          <w:lang w:val="en-US" w:eastAsia="zh-CN"/>
        </w:rPr>
        <w:t xml:space="preserve"> </w:t>
      </w:r>
      <w:r>
        <w:rPr>
          <w:rFonts w:hint="default" w:ascii="Times New Roman" w:hAnsi="Times New Roman" w:eastAsia="仿宋_GB2312" w:cs="Times New Roman"/>
          <w:color w:val="auto"/>
          <w:kern w:val="0"/>
          <w:sz w:val="32"/>
          <w:szCs w:val="32"/>
        </w:rPr>
        <w:t>市级筹措资金收储土地出让的，所需考古调查勘探、发掘经费纳入文物部门年度预算，由市财政部门从历史文化名城和文物保护专项资金中列支；</w:t>
      </w:r>
      <w:r>
        <w:rPr>
          <w:rFonts w:hint="default" w:ascii="Times New Roman" w:hAnsi="Times New Roman" w:eastAsia="仿宋_GB2312" w:cs="Times New Roman"/>
          <w:color w:val="auto"/>
          <w:kern w:val="0"/>
          <w:sz w:val="32"/>
          <w:szCs w:val="32"/>
          <w:lang w:val="en-US" w:eastAsia="zh-CN"/>
        </w:rPr>
        <w:t>县</w:t>
      </w:r>
      <w:r>
        <w:rPr>
          <w:rFonts w:hint="default" w:ascii="Times New Roman" w:hAnsi="Times New Roman" w:eastAsia="仿宋_GB2312" w:cs="Times New Roman"/>
          <w:color w:val="auto"/>
          <w:kern w:val="0"/>
          <w:sz w:val="32"/>
          <w:szCs w:val="32"/>
        </w:rPr>
        <w:t>级筹措资金收储土地出让的，所需考古调查勘探、发掘经费由各区</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lang w:val="en-US" w:eastAsia="zh-CN"/>
        </w:rPr>
        <w:t>县</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据实拨付考古单位。</w:t>
      </w:r>
    </w:p>
    <w:p w14:paraId="256F7599">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color w:val="auto"/>
          <w:kern w:val="0"/>
          <w:sz w:val="32"/>
          <w:szCs w:val="32"/>
        </w:rPr>
        <w:t>以划拨方式供应土地使用权的财政投资的建设项目，所需考古调查勘探、发掘经费列入建设工程预算，由建设单位据实拨付考古单位</w:t>
      </w:r>
      <w:r>
        <w:rPr>
          <w:rFonts w:hint="default" w:ascii="Times New Roman" w:hAnsi="Times New Roman" w:eastAsia="仿宋_GB2312" w:cs="Times New Roman"/>
          <w:color w:val="auto"/>
          <w:kern w:val="0"/>
          <w:sz w:val="32"/>
          <w:szCs w:val="32"/>
          <w:lang w:eastAsia="zh-CN"/>
        </w:rPr>
        <w:t>。</w:t>
      </w:r>
    </w:p>
    <w:p w14:paraId="200BB8A1">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采用特许经营等方式引入社会资本的建设项目，考古调查勘探、发掘费用从项目投资中列支。</w:t>
      </w:r>
    </w:p>
    <w:p w14:paraId="6C3454D3">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rPr>
        <w:t>2022年6月1日前已取得土地使用权，在新的项目建设时需要进行考古调查勘探、发掘的，所需考古调查勘探、发掘经费由</w:t>
      </w:r>
      <w:r>
        <w:rPr>
          <w:rFonts w:hint="default" w:ascii="Times New Roman" w:hAnsi="Times New Roman" w:eastAsia="仿宋_GB2312" w:cs="Times New Roman"/>
          <w:strike w:val="0"/>
          <w:dstrike w:val="0"/>
          <w:snapToGrid w:val="0"/>
          <w:color w:val="auto"/>
          <w:spacing w:val="-4"/>
          <w:kern w:val="0"/>
          <w:sz w:val="31"/>
          <w:szCs w:val="31"/>
          <w:lang w:val="en-US" w:eastAsia="en-US" w:bidi="ar-SA"/>
        </w:rPr>
        <w:t>用地单位</w:t>
      </w:r>
      <w:r>
        <w:rPr>
          <w:rFonts w:hint="default" w:ascii="Times New Roman" w:hAnsi="Times New Roman" w:eastAsia="仿宋_GB2312" w:cs="Times New Roman"/>
          <w:color w:val="auto"/>
          <w:kern w:val="0"/>
          <w:sz w:val="32"/>
          <w:szCs w:val="32"/>
        </w:rPr>
        <w:t>列支。</w:t>
      </w:r>
    </w:p>
    <w:p w14:paraId="60BE5D58">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val="0"/>
          <w:color w:val="auto"/>
          <w:kern w:val="0"/>
          <w:sz w:val="32"/>
          <w:szCs w:val="32"/>
          <w:lang w:val="en-US" w:eastAsia="zh-CN"/>
        </w:rPr>
        <w:t>第四条</w:t>
      </w:r>
      <w:r>
        <w:rPr>
          <w:rFonts w:hint="default" w:ascii="Times New Roman" w:hAnsi="Times New Roman" w:eastAsia="仿宋_GB2312" w:cs="Times New Roman"/>
          <w:b/>
          <w:bCs w:val="0"/>
          <w:color w:val="auto"/>
          <w:kern w:val="0"/>
          <w:sz w:val="32"/>
          <w:szCs w:val="32"/>
        </w:rPr>
        <w:t xml:space="preserve"> </w:t>
      </w:r>
      <w:r>
        <w:rPr>
          <w:rFonts w:hint="default" w:ascii="Times New Roman" w:hAnsi="Times New Roman" w:eastAsia="仿宋_GB2312" w:cs="Times New Roman"/>
          <w:color w:val="auto"/>
          <w:kern w:val="0"/>
          <w:sz w:val="32"/>
          <w:szCs w:val="32"/>
          <w:lang w:val="en-US" w:eastAsia="zh-CN"/>
        </w:rPr>
        <w:t>人工工资按照</w:t>
      </w:r>
      <w:r>
        <w:rPr>
          <w:rFonts w:hint="default" w:ascii="Times New Roman" w:hAnsi="Times New Roman" w:eastAsia="仿宋_GB2312" w:cs="Times New Roman"/>
          <w:color w:val="auto"/>
          <w:kern w:val="0"/>
          <w:sz w:val="32"/>
          <w:szCs w:val="32"/>
        </w:rPr>
        <w:t>《河南省人民政府关于调整河南省最低工资标准的通知》</w:t>
      </w:r>
      <w:r>
        <w:rPr>
          <w:rFonts w:hint="default" w:ascii="Times New Roman" w:hAnsi="Times New Roman" w:eastAsia="仿宋_GB2312" w:cs="Times New Roman"/>
          <w:color w:val="auto"/>
          <w:kern w:val="0"/>
          <w:sz w:val="32"/>
          <w:szCs w:val="32"/>
          <w:lang w:val="en-US" w:eastAsia="zh-CN"/>
        </w:rPr>
        <w:t>规定的一、二类行政区域工资标准执行。</w:t>
      </w:r>
    </w:p>
    <w:p w14:paraId="55A9B8E0">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rPr>
        <w:t>第二章  考古调查勘探</w:t>
      </w:r>
    </w:p>
    <w:p w14:paraId="1C895CFC">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val="0"/>
          <w:color w:val="auto"/>
          <w:kern w:val="0"/>
          <w:sz w:val="32"/>
          <w:szCs w:val="32"/>
        </w:rPr>
        <w:t>第</w:t>
      </w:r>
      <w:r>
        <w:rPr>
          <w:rFonts w:hint="default" w:ascii="Times New Roman" w:hAnsi="Times New Roman" w:eastAsia="仿宋_GB2312" w:cs="Times New Roman"/>
          <w:b/>
          <w:bCs w:val="0"/>
          <w:color w:val="auto"/>
          <w:kern w:val="0"/>
          <w:sz w:val="32"/>
          <w:szCs w:val="32"/>
          <w:lang w:val="en-US" w:eastAsia="zh-CN"/>
        </w:rPr>
        <w:t>五</w:t>
      </w:r>
      <w:r>
        <w:rPr>
          <w:rFonts w:hint="default" w:ascii="Times New Roman" w:hAnsi="Times New Roman" w:eastAsia="仿宋_GB2312" w:cs="Times New Roman"/>
          <w:b/>
          <w:bCs w:val="0"/>
          <w:color w:val="auto"/>
          <w:kern w:val="0"/>
          <w:sz w:val="32"/>
          <w:szCs w:val="32"/>
        </w:rPr>
        <w:t>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rPr>
        <w:t>考古调查指为了解建设用地区域地面、地下的古代文化遗存而进行的查阅文献、实地踏勘、采集标本并做出文字、绘图、摄影记录，提出勘探或考古发掘计划等工作。</w:t>
      </w:r>
    </w:p>
    <w:p w14:paraId="2408C02E">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val="0"/>
          <w:color w:val="auto"/>
          <w:kern w:val="0"/>
          <w:sz w:val="32"/>
          <w:szCs w:val="32"/>
        </w:rPr>
        <w:t>第</w:t>
      </w:r>
      <w:r>
        <w:rPr>
          <w:rFonts w:hint="default" w:ascii="Times New Roman" w:hAnsi="Times New Roman" w:eastAsia="仿宋_GB2312" w:cs="Times New Roman"/>
          <w:b/>
          <w:bCs w:val="0"/>
          <w:color w:val="auto"/>
          <w:kern w:val="0"/>
          <w:sz w:val="32"/>
          <w:szCs w:val="32"/>
          <w:lang w:val="en-US" w:eastAsia="zh-CN"/>
        </w:rPr>
        <w:t>六</w:t>
      </w:r>
      <w:r>
        <w:rPr>
          <w:rFonts w:hint="default" w:ascii="Times New Roman" w:hAnsi="Times New Roman" w:eastAsia="仿宋_GB2312" w:cs="Times New Roman"/>
          <w:b/>
          <w:bCs w:val="0"/>
          <w:color w:val="auto"/>
          <w:kern w:val="0"/>
          <w:sz w:val="32"/>
          <w:szCs w:val="32"/>
        </w:rPr>
        <w:t>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rPr>
        <w:t>考古勘探指为了解建设用地区域地下古代文化遗存的分布范围、遗存类型、性质、分布面积等基本情况而进行的田野勘探工作。</w:t>
      </w:r>
    </w:p>
    <w:p w14:paraId="508AA8C5">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val="0"/>
          <w:color w:val="auto"/>
          <w:kern w:val="0"/>
          <w:sz w:val="32"/>
          <w:szCs w:val="32"/>
        </w:rPr>
        <w:t>第</w:t>
      </w:r>
      <w:r>
        <w:rPr>
          <w:rFonts w:hint="default" w:ascii="Times New Roman" w:hAnsi="Times New Roman" w:eastAsia="仿宋_GB2312" w:cs="Times New Roman"/>
          <w:b/>
          <w:bCs w:val="0"/>
          <w:color w:val="auto"/>
          <w:kern w:val="0"/>
          <w:sz w:val="32"/>
          <w:szCs w:val="32"/>
          <w:lang w:val="en-US" w:eastAsia="zh-CN"/>
        </w:rPr>
        <w:t>七</w:t>
      </w:r>
      <w:r>
        <w:rPr>
          <w:rFonts w:hint="default" w:ascii="Times New Roman" w:hAnsi="Times New Roman" w:eastAsia="仿宋_GB2312" w:cs="Times New Roman"/>
          <w:b/>
          <w:bCs w:val="0"/>
          <w:color w:val="auto"/>
          <w:kern w:val="0"/>
          <w:sz w:val="32"/>
          <w:szCs w:val="32"/>
        </w:rPr>
        <w:t>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rPr>
        <w:t>考古勘探经费包含：交通费、补助费、普通工人费、技术工人费、文具及工具损耗费、设备更新折旧费、资料整理费、不可预见费等。</w:t>
      </w:r>
    </w:p>
    <w:p w14:paraId="15E6C3E2">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trike w:val="0"/>
          <w:dstrike w:val="0"/>
          <w:color w:val="auto"/>
          <w:kern w:val="0"/>
          <w:sz w:val="32"/>
          <w:szCs w:val="32"/>
          <w:lang w:val="en-US" w:eastAsia="zh-CN"/>
        </w:rPr>
      </w:pPr>
      <w:r>
        <w:rPr>
          <w:rFonts w:hint="default" w:ascii="Times New Roman" w:hAnsi="Times New Roman" w:eastAsia="仿宋_GB2312" w:cs="Times New Roman"/>
          <w:b/>
          <w:bCs w:val="0"/>
          <w:color w:val="auto"/>
          <w:kern w:val="0"/>
          <w:sz w:val="32"/>
          <w:szCs w:val="32"/>
        </w:rPr>
        <w:t>第八条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rPr>
        <w:t>普通用地区域定额标准以每百平方米用工数6工/日，</w:t>
      </w:r>
      <w:r>
        <w:rPr>
          <w:rFonts w:hint="default" w:ascii="Times New Roman" w:hAnsi="Times New Roman" w:eastAsia="仿宋_GB2312" w:cs="Times New Roman"/>
          <w:strike w:val="0"/>
          <w:dstrike w:val="0"/>
          <w:color w:val="auto"/>
          <w:kern w:val="0"/>
          <w:sz w:val="32"/>
          <w:szCs w:val="32"/>
          <w:lang w:val="en-US" w:eastAsia="zh-CN"/>
        </w:rPr>
        <w:t>每平方米费用为：最低工资标准</w:t>
      </w:r>
      <w:r>
        <w:rPr>
          <w:rFonts w:hint="default" w:ascii="Times New Roman" w:hAnsi="Times New Roman" w:eastAsia="仿宋_GB2312" w:cs="Times New Roman"/>
          <w:strike w:val="0"/>
          <w:dstrike w:val="0"/>
          <w:color w:val="auto"/>
          <w:kern w:val="0"/>
          <w:sz w:val="32"/>
          <w:szCs w:val="32"/>
        </w:rPr>
        <w:t>÷</w:t>
      </w:r>
      <w:r>
        <w:rPr>
          <w:rFonts w:hint="default" w:ascii="Times New Roman" w:hAnsi="Times New Roman" w:eastAsia="仿宋_GB2312" w:cs="Times New Roman"/>
          <w:strike w:val="0"/>
          <w:dstrike w:val="0"/>
          <w:color w:val="auto"/>
          <w:kern w:val="0"/>
          <w:sz w:val="32"/>
          <w:szCs w:val="32"/>
          <w:lang w:val="en-US" w:eastAsia="zh-CN"/>
        </w:rPr>
        <w:t>22</w:t>
      </w:r>
      <w:r>
        <w:rPr>
          <w:rFonts w:hint="default" w:ascii="Times New Roman" w:hAnsi="Times New Roman" w:eastAsia="仿宋_GB2312" w:cs="Times New Roman"/>
          <w:strike w:val="0"/>
          <w:dstrike w:val="0"/>
          <w:color w:val="auto"/>
          <w:kern w:val="0"/>
          <w:sz w:val="32"/>
          <w:szCs w:val="32"/>
        </w:rPr>
        <w:t>×</w:t>
      </w:r>
      <w:r>
        <w:rPr>
          <w:rFonts w:hint="default" w:ascii="Times New Roman" w:hAnsi="Times New Roman" w:eastAsia="仿宋_GB2312" w:cs="Times New Roman"/>
          <w:strike w:val="0"/>
          <w:dstrike w:val="0"/>
          <w:color w:val="auto"/>
          <w:kern w:val="0"/>
          <w:sz w:val="32"/>
          <w:szCs w:val="32"/>
          <w:lang w:val="en-US" w:eastAsia="zh-CN"/>
        </w:rPr>
        <w:t>6</w:t>
      </w:r>
      <w:r>
        <w:rPr>
          <w:rFonts w:hint="default" w:ascii="Times New Roman" w:hAnsi="Times New Roman" w:eastAsia="仿宋_GB2312" w:cs="Times New Roman"/>
          <w:strike w:val="0"/>
          <w:dstrike w:val="0"/>
          <w:color w:val="auto"/>
          <w:kern w:val="0"/>
          <w:sz w:val="32"/>
          <w:szCs w:val="32"/>
        </w:rPr>
        <w:t>÷100</w:t>
      </w:r>
      <w:r>
        <w:rPr>
          <w:rFonts w:hint="default" w:ascii="Times New Roman" w:hAnsi="Times New Roman" w:eastAsia="仿宋_GB2312" w:cs="Times New Roman"/>
          <w:strike w:val="0"/>
          <w:dstrike w:val="0"/>
          <w:color w:val="auto"/>
          <w:kern w:val="0"/>
          <w:sz w:val="32"/>
          <w:szCs w:val="32"/>
          <w:lang w:eastAsia="zh-CN"/>
        </w:rPr>
        <w:t>。</w:t>
      </w:r>
    </w:p>
    <w:p w14:paraId="35144BB6">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trike w:val="0"/>
          <w:dstrike w:val="0"/>
          <w:color w:val="auto"/>
          <w:kern w:val="0"/>
          <w:sz w:val="32"/>
          <w:szCs w:val="32"/>
          <w:lang w:val="en-US" w:eastAsia="zh-CN"/>
        </w:rPr>
      </w:pPr>
      <w:r>
        <w:rPr>
          <w:rFonts w:hint="default" w:ascii="Times New Roman" w:hAnsi="Times New Roman" w:eastAsia="仿宋_GB2312" w:cs="Times New Roman"/>
          <w:b/>
          <w:bCs w:val="0"/>
          <w:color w:val="auto"/>
          <w:kern w:val="0"/>
          <w:sz w:val="32"/>
          <w:szCs w:val="32"/>
        </w:rPr>
        <w:t>第九条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rPr>
        <w:t>文物保护单位的建设控制地带区域定额标准以每百平方米用工数7工/日，</w:t>
      </w:r>
      <w:r>
        <w:rPr>
          <w:rFonts w:hint="default" w:ascii="Times New Roman" w:hAnsi="Times New Roman" w:eastAsia="仿宋_GB2312" w:cs="Times New Roman"/>
          <w:strike w:val="0"/>
          <w:dstrike w:val="0"/>
          <w:color w:val="auto"/>
          <w:kern w:val="0"/>
          <w:sz w:val="32"/>
          <w:szCs w:val="32"/>
          <w:lang w:val="en-US" w:eastAsia="zh-CN"/>
        </w:rPr>
        <w:t>每平方米费用为：最低工资标准</w:t>
      </w:r>
      <w:r>
        <w:rPr>
          <w:rFonts w:hint="default" w:ascii="Times New Roman" w:hAnsi="Times New Roman" w:eastAsia="仿宋_GB2312" w:cs="Times New Roman"/>
          <w:strike w:val="0"/>
          <w:dstrike w:val="0"/>
          <w:color w:val="auto"/>
          <w:kern w:val="0"/>
          <w:sz w:val="32"/>
          <w:szCs w:val="32"/>
        </w:rPr>
        <w:t>÷</w:t>
      </w:r>
      <w:r>
        <w:rPr>
          <w:rFonts w:hint="default" w:ascii="Times New Roman" w:hAnsi="Times New Roman" w:eastAsia="仿宋_GB2312" w:cs="Times New Roman"/>
          <w:strike w:val="0"/>
          <w:dstrike w:val="0"/>
          <w:color w:val="auto"/>
          <w:kern w:val="0"/>
          <w:sz w:val="32"/>
          <w:szCs w:val="32"/>
          <w:lang w:val="en-US" w:eastAsia="zh-CN"/>
        </w:rPr>
        <w:t>22</w:t>
      </w:r>
      <w:r>
        <w:rPr>
          <w:rFonts w:hint="default" w:ascii="Times New Roman" w:hAnsi="Times New Roman" w:eastAsia="仿宋_GB2312" w:cs="Times New Roman"/>
          <w:strike w:val="0"/>
          <w:dstrike w:val="0"/>
          <w:color w:val="auto"/>
          <w:kern w:val="0"/>
          <w:sz w:val="32"/>
          <w:szCs w:val="32"/>
        </w:rPr>
        <w:t>×</w:t>
      </w:r>
      <w:r>
        <w:rPr>
          <w:rFonts w:hint="default" w:ascii="Times New Roman" w:hAnsi="Times New Roman" w:eastAsia="仿宋_GB2312" w:cs="Times New Roman"/>
          <w:strike w:val="0"/>
          <w:dstrike w:val="0"/>
          <w:color w:val="auto"/>
          <w:kern w:val="0"/>
          <w:sz w:val="32"/>
          <w:szCs w:val="32"/>
          <w:lang w:val="en-US" w:eastAsia="zh-CN"/>
        </w:rPr>
        <w:t>7</w:t>
      </w:r>
      <w:r>
        <w:rPr>
          <w:rFonts w:hint="default" w:ascii="Times New Roman" w:hAnsi="Times New Roman" w:eastAsia="仿宋_GB2312" w:cs="Times New Roman"/>
          <w:strike w:val="0"/>
          <w:dstrike w:val="0"/>
          <w:color w:val="auto"/>
          <w:kern w:val="0"/>
          <w:sz w:val="32"/>
          <w:szCs w:val="32"/>
        </w:rPr>
        <w:t>÷100</w:t>
      </w:r>
      <w:r>
        <w:rPr>
          <w:rFonts w:hint="default" w:ascii="Times New Roman" w:hAnsi="Times New Roman" w:eastAsia="仿宋_GB2312" w:cs="Times New Roman"/>
          <w:strike w:val="0"/>
          <w:dstrike w:val="0"/>
          <w:color w:val="auto"/>
          <w:kern w:val="0"/>
          <w:sz w:val="32"/>
          <w:szCs w:val="32"/>
          <w:lang w:eastAsia="zh-CN"/>
        </w:rPr>
        <w:t>。</w:t>
      </w:r>
    </w:p>
    <w:p w14:paraId="6DF2CAFC">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strike w:val="0"/>
          <w:dstrike w:val="0"/>
          <w:color w:val="auto"/>
          <w:kern w:val="0"/>
          <w:sz w:val="32"/>
          <w:szCs w:val="32"/>
          <w:lang w:val="en-US" w:eastAsia="zh-CN"/>
        </w:rPr>
      </w:pPr>
      <w:r>
        <w:rPr>
          <w:rFonts w:hint="default" w:ascii="Times New Roman" w:hAnsi="Times New Roman" w:eastAsia="仿宋_GB2312" w:cs="Times New Roman"/>
          <w:b/>
          <w:bCs w:val="0"/>
          <w:color w:val="auto"/>
          <w:kern w:val="0"/>
          <w:sz w:val="32"/>
          <w:szCs w:val="32"/>
        </w:rPr>
        <w:t xml:space="preserve">第十条 </w:t>
      </w:r>
      <w:r>
        <w:rPr>
          <w:rFonts w:hint="default" w:ascii="Times New Roman" w:hAnsi="Times New Roman" w:eastAsia="仿宋_GB2312" w:cs="Times New Roman"/>
          <w:color w:val="auto"/>
          <w:kern w:val="0"/>
          <w:sz w:val="32"/>
          <w:szCs w:val="32"/>
        </w:rPr>
        <w:t>文物保护单位保护范围区域定额标准以每百平方米用工数8工/日，</w:t>
      </w:r>
      <w:r>
        <w:rPr>
          <w:rFonts w:hint="default" w:ascii="Times New Roman" w:hAnsi="Times New Roman" w:eastAsia="仿宋_GB2312" w:cs="Times New Roman"/>
          <w:strike w:val="0"/>
          <w:dstrike w:val="0"/>
          <w:color w:val="auto"/>
          <w:kern w:val="0"/>
          <w:sz w:val="32"/>
          <w:szCs w:val="32"/>
          <w:lang w:val="en-US" w:eastAsia="zh-CN"/>
        </w:rPr>
        <w:t>每平方米费用为：最低工资标准</w:t>
      </w:r>
      <w:r>
        <w:rPr>
          <w:rFonts w:hint="default" w:ascii="Times New Roman" w:hAnsi="Times New Roman" w:eastAsia="仿宋_GB2312" w:cs="Times New Roman"/>
          <w:strike w:val="0"/>
          <w:dstrike w:val="0"/>
          <w:color w:val="auto"/>
          <w:kern w:val="0"/>
          <w:sz w:val="32"/>
          <w:szCs w:val="32"/>
        </w:rPr>
        <w:t>÷</w:t>
      </w:r>
      <w:r>
        <w:rPr>
          <w:rFonts w:hint="default" w:ascii="Times New Roman" w:hAnsi="Times New Roman" w:eastAsia="仿宋_GB2312" w:cs="Times New Roman"/>
          <w:strike w:val="0"/>
          <w:dstrike w:val="0"/>
          <w:color w:val="auto"/>
          <w:kern w:val="0"/>
          <w:sz w:val="32"/>
          <w:szCs w:val="32"/>
          <w:lang w:val="en-US" w:eastAsia="zh-CN"/>
        </w:rPr>
        <w:t>22</w:t>
      </w:r>
      <w:r>
        <w:rPr>
          <w:rFonts w:hint="default" w:ascii="Times New Roman" w:hAnsi="Times New Roman" w:eastAsia="仿宋_GB2312" w:cs="Times New Roman"/>
          <w:strike w:val="0"/>
          <w:dstrike w:val="0"/>
          <w:color w:val="auto"/>
          <w:kern w:val="0"/>
          <w:sz w:val="32"/>
          <w:szCs w:val="32"/>
        </w:rPr>
        <w:t>×</w:t>
      </w:r>
      <w:r>
        <w:rPr>
          <w:rFonts w:hint="default" w:ascii="Times New Roman" w:hAnsi="Times New Roman" w:eastAsia="仿宋_GB2312" w:cs="Times New Roman"/>
          <w:strike w:val="0"/>
          <w:dstrike w:val="0"/>
          <w:color w:val="auto"/>
          <w:kern w:val="0"/>
          <w:sz w:val="32"/>
          <w:szCs w:val="32"/>
          <w:lang w:val="en-US" w:eastAsia="zh-CN"/>
        </w:rPr>
        <w:t>8</w:t>
      </w:r>
      <w:r>
        <w:rPr>
          <w:rFonts w:hint="default" w:ascii="Times New Roman" w:hAnsi="Times New Roman" w:eastAsia="仿宋_GB2312" w:cs="Times New Roman"/>
          <w:strike w:val="0"/>
          <w:dstrike w:val="0"/>
          <w:color w:val="auto"/>
          <w:kern w:val="0"/>
          <w:sz w:val="32"/>
          <w:szCs w:val="32"/>
        </w:rPr>
        <w:t>÷100</w:t>
      </w:r>
      <w:r>
        <w:rPr>
          <w:rFonts w:hint="default" w:ascii="Times New Roman" w:hAnsi="Times New Roman" w:eastAsia="仿宋_GB2312" w:cs="Times New Roman"/>
          <w:strike w:val="0"/>
          <w:dstrike w:val="0"/>
          <w:color w:val="auto"/>
          <w:kern w:val="0"/>
          <w:sz w:val="32"/>
          <w:szCs w:val="32"/>
          <w:lang w:eastAsia="zh-CN"/>
        </w:rPr>
        <w:t>。</w:t>
      </w:r>
    </w:p>
    <w:p w14:paraId="7EE1D367">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lang w:eastAsia="zh-CN"/>
        </w:rPr>
      </w:pPr>
      <w:r>
        <w:rPr>
          <w:rFonts w:hint="default" w:ascii="Times New Roman" w:hAnsi="Times New Roman" w:eastAsia="仿宋_GB2312" w:cs="Times New Roman"/>
          <w:b/>
          <w:bCs w:val="0"/>
          <w:color w:val="auto"/>
          <w:kern w:val="0"/>
          <w:sz w:val="32"/>
          <w:szCs w:val="32"/>
        </w:rPr>
        <w:t>第十一条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rPr>
        <w:t>考古勘探面积根</w:t>
      </w:r>
      <w:r>
        <w:rPr>
          <w:rFonts w:hint="default" w:ascii="Times New Roman" w:hAnsi="Times New Roman" w:eastAsia="仿宋_GB2312" w:cs="Times New Roman"/>
          <w:strike w:val="0"/>
          <w:dstrike w:val="0"/>
          <w:color w:val="auto"/>
          <w:kern w:val="0"/>
          <w:sz w:val="32"/>
          <w:szCs w:val="32"/>
          <w:lang w:val="en-US" w:eastAsia="zh-CN"/>
        </w:rPr>
        <w:t>据考古调查勘探申请方（以下简称申请方）提供的用地坐标图确</w:t>
      </w:r>
      <w:r>
        <w:rPr>
          <w:rFonts w:hint="default" w:ascii="Times New Roman" w:hAnsi="Times New Roman" w:eastAsia="仿宋_GB2312" w:cs="Times New Roman"/>
          <w:color w:val="auto"/>
          <w:kern w:val="0"/>
          <w:sz w:val="32"/>
          <w:szCs w:val="32"/>
        </w:rPr>
        <w:t>定</w:t>
      </w:r>
      <w:r>
        <w:rPr>
          <w:rFonts w:hint="default" w:ascii="Times New Roman" w:hAnsi="Times New Roman" w:eastAsia="仿宋_GB2312" w:cs="Times New Roman"/>
          <w:color w:val="auto"/>
          <w:kern w:val="0"/>
          <w:sz w:val="32"/>
          <w:szCs w:val="32"/>
          <w:lang w:eastAsia="zh-CN"/>
        </w:rPr>
        <w:t>。</w:t>
      </w:r>
    </w:p>
    <w:p w14:paraId="78AE3CD7">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滩涂、山地等遗迹分布稀疏地区的勘探项目，由</w:t>
      </w:r>
      <w:r>
        <w:rPr>
          <w:rFonts w:hint="default" w:ascii="Times New Roman" w:hAnsi="Times New Roman" w:eastAsia="仿宋_GB2312" w:cs="Times New Roman"/>
          <w:color w:val="auto"/>
          <w:kern w:val="0"/>
          <w:sz w:val="32"/>
          <w:szCs w:val="32"/>
          <w:lang w:val="en-US" w:eastAsia="zh-CN"/>
        </w:rPr>
        <w:t>市级文物行政部门</w:t>
      </w:r>
      <w:r>
        <w:rPr>
          <w:rFonts w:hint="default" w:ascii="Times New Roman" w:hAnsi="Times New Roman" w:eastAsia="仿宋_GB2312" w:cs="Times New Roman"/>
          <w:color w:val="auto"/>
          <w:kern w:val="0"/>
          <w:sz w:val="32"/>
          <w:szCs w:val="32"/>
        </w:rPr>
        <w:t>组织专业人员实地勘察，或组织专家会议讨论确定勘探工作方案，根据勘探工作方案编制经费预算。</w:t>
      </w:r>
    </w:p>
    <w:p w14:paraId="63B0509E">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hint="default" w:ascii="Times New Roman" w:hAnsi="Times New Roman" w:eastAsia="黑体" w:cs="Times New Roman"/>
          <w:color w:val="auto"/>
          <w:kern w:val="0"/>
          <w:sz w:val="32"/>
          <w:szCs w:val="32"/>
        </w:rPr>
      </w:pPr>
      <w:r>
        <w:rPr>
          <w:rFonts w:hint="default" w:ascii="Times New Roman" w:hAnsi="Times New Roman" w:eastAsia="黑体" w:cs="Times New Roman"/>
          <w:color w:val="auto"/>
          <w:kern w:val="0"/>
          <w:sz w:val="32"/>
          <w:szCs w:val="32"/>
        </w:rPr>
        <w:t>第三章  考古发掘</w:t>
      </w:r>
    </w:p>
    <w:p w14:paraId="42D27B67">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val="0"/>
          <w:color w:val="auto"/>
          <w:kern w:val="0"/>
          <w:sz w:val="32"/>
          <w:szCs w:val="32"/>
        </w:rPr>
        <w:t>第十二条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rPr>
        <w:t>考古发掘指对建设用地范围内勘探所发现的古代文化遗产所进行的田野考古清理工作。</w:t>
      </w:r>
    </w:p>
    <w:p w14:paraId="02EA0ABF">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val="0"/>
          <w:color w:val="auto"/>
          <w:kern w:val="0"/>
          <w:sz w:val="32"/>
          <w:szCs w:val="32"/>
        </w:rPr>
        <w:t>第十三条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rPr>
        <w:t>考古发掘经费预算主要包括：人工费、其他发掘费用、管理费、安全保卫费、不可预见费等。费用构成及占比按以下标准计算：</w:t>
      </w:r>
    </w:p>
    <w:p w14:paraId="0907A3AC">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b w:val="0"/>
          <w:bCs/>
          <w:color w:val="auto"/>
          <w:kern w:val="0"/>
          <w:sz w:val="32"/>
          <w:szCs w:val="32"/>
        </w:rPr>
      </w:pPr>
      <w:r>
        <w:rPr>
          <w:rFonts w:hint="default" w:ascii="Times New Roman" w:hAnsi="Times New Roman" w:eastAsia="楷体_GB2312" w:cs="Times New Roman"/>
          <w:b w:val="0"/>
          <w:bCs/>
          <w:color w:val="auto"/>
          <w:kern w:val="0"/>
          <w:sz w:val="32"/>
          <w:szCs w:val="32"/>
        </w:rPr>
        <w:t xml:space="preserve">（一）人工费用 </w:t>
      </w:r>
    </w:p>
    <w:p w14:paraId="343431A5">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1.普通工人费用：用工</w:t>
      </w:r>
      <w:r>
        <w:rPr>
          <w:rFonts w:hint="default" w:ascii="Times New Roman" w:hAnsi="Times New Roman" w:eastAsia="仿宋_GB2312" w:cs="Times New Roman"/>
          <w:color w:val="auto"/>
          <w:kern w:val="0"/>
          <w:sz w:val="32"/>
          <w:szCs w:val="32"/>
          <w:lang w:val="en-US" w:eastAsia="zh-CN"/>
        </w:rPr>
        <w:t>数量标准</w:t>
      </w:r>
      <w:r>
        <w:rPr>
          <w:rFonts w:hint="default" w:ascii="Times New Roman" w:hAnsi="Times New Roman" w:eastAsia="仿宋_GB2312" w:cs="Times New Roman"/>
          <w:color w:val="auto"/>
          <w:kern w:val="0"/>
          <w:sz w:val="32"/>
          <w:szCs w:val="32"/>
        </w:rPr>
        <w:t xml:space="preserve">按每平方米8工/日计算。 </w:t>
      </w:r>
    </w:p>
    <w:p w14:paraId="1476E01A">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 xml:space="preserve">2.技术工人费：为普通工人日工资的200%，技术工人用工数量为普通工人用工数量的20%。   </w:t>
      </w:r>
    </w:p>
    <w:p w14:paraId="640B66D4">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b w:val="0"/>
          <w:bCs/>
          <w:color w:val="auto"/>
          <w:kern w:val="0"/>
          <w:sz w:val="32"/>
          <w:szCs w:val="32"/>
        </w:rPr>
      </w:pPr>
      <w:r>
        <w:rPr>
          <w:rFonts w:hint="default" w:ascii="Times New Roman" w:hAnsi="Times New Roman" w:eastAsia="楷体_GB2312" w:cs="Times New Roman"/>
          <w:b w:val="0"/>
          <w:bCs/>
          <w:color w:val="auto"/>
          <w:kern w:val="0"/>
          <w:sz w:val="32"/>
          <w:szCs w:val="32"/>
        </w:rPr>
        <w:t>（二）其他发掘费用</w:t>
      </w:r>
    </w:p>
    <w:p w14:paraId="332A7B91">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1.消耗材料费：指在田野发掘、文物修复和资料整理等工作中自然损耗的小型工具、文具、包装、覆盖、修复材料等的费用开支。定额标准为每平方米普通工人日工资×2%。</w:t>
      </w:r>
    </w:p>
    <w:p w14:paraId="6A311F74">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2.器材、设备更新折旧费：指对固定资产，如照相器材、测绘仪器、机电设备、运输工具等用于田野发掘、文物修复、资料整理等工作而损耗的补偿费用。定额标准为每平方米普通工人日工资×3%。</w:t>
      </w:r>
    </w:p>
    <w:p w14:paraId="2766DB06">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3.记录资料费：指田野发掘、文物修复、资料整理等工作所必需的文字</w:t>
      </w:r>
      <w:r>
        <w:rPr>
          <w:rFonts w:hint="default" w:ascii="Times New Roman" w:hAnsi="Times New Roman" w:eastAsia="仿宋_GB2312" w:cs="Times New Roman"/>
          <w:color w:val="auto"/>
          <w:kern w:val="0"/>
          <w:sz w:val="32"/>
          <w:szCs w:val="32"/>
          <w:lang w:eastAsia="zh-CN"/>
        </w:rPr>
        <w:t>录像</w:t>
      </w:r>
      <w:r>
        <w:rPr>
          <w:rFonts w:hint="default" w:ascii="Times New Roman" w:hAnsi="Times New Roman" w:eastAsia="仿宋_GB2312" w:cs="Times New Roman"/>
          <w:color w:val="auto"/>
          <w:kern w:val="0"/>
          <w:sz w:val="32"/>
          <w:szCs w:val="32"/>
        </w:rPr>
        <w:t xml:space="preserve">、摄影、照相、绘图、测量等工作的费用及印刷费用。定额标准为每平方米普通工人日工资×3%。 </w:t>
      </w:r>
    </w:p>
    <w:p w14:paraId="2C0B1641">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4.运输费：指田野发掘、资料整理过程中工作人员往来、运输器材设备、消耗材料、出土文物及生活资料所需费用。定额标准为每平方米普通工人日工资×1.5%。</w:t>
      </w:r>
    </w:p>
    <w:p w14:paraId="40330E2A">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5.临时建筑设施费：指田野发掘、资料整理过程中工作人员</w:t>
      </w:r>
      <w:r>
        <w:rPr>
          <w:rFonts w:hint="default" w:ascii="Times New Roman" w:hAnsi="Times New Roman" w:eastAsia="仿宋_GB2312" w:cs="Times New Roman"/>
          <w:color w:val="auto"/>
          <w:kern w:val="0"/>
          <w:sz w:val="32"/>
          <w:szCs w:val="32"/>
          <w:lang w:eastAsia="zh-CN"/>
        </w:rPr>
        <w:t>必需的</w:t>
      </w:r>
      <w:r>
        <w:rPr>
          <w:rFonts w:hint="default" w:ascii="Times New Roman" w:hAnsi="Times New Roman" w:eastAsia="仿宋_GB2312" w:cs="Times New Roman"/>
          <w:color w:val="auto"/>
          <w:kern w:val="0"/>
          <w:sz w:val="32"/>
          <w:szCs w:val="32"/>
        </w:rPr>
        <w:t>一部分临时性建筑设施所需的费用。定额标准为每平方米普通工人日工资×3.5%。</w:t>
      </w:r>
    </w:p>
    <w:p w14:paraId="05034639">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6.标本测试鉴定费：标本测试鉴定费指必须送往专门科研单位或由相关专家对文物标本进行测试鉴定的费用。定额标准为每平方米普通工人日工资×3%。</w:t>
      </w:r>
    </w:p>
    <w:p w14:paraId="37492FE4">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b w:val="0"/>
          <w:bCs/>
          <w:color w:val="auto"/>
          <w:kern w:val="0"/>
          <w:sz w:val="32"/>
          <w:szCs w:val="32"/>
        </w:rPr>
      </w:pPr>
      <w:r>
        <w:rPr>
          <w:rFonts w:hint="default" w:ascii="Times New Roman" w:hAnsi="Times New Roman" w:eastAsia="楷体_GB2312" w:cs="Times New Roman"/>
          <w:b w:val="0"/>
          <w:bCs/>
          <w:color w:val="auto"/>
          <w:kern w:val="0"/>
          <w:sz w:val="32"/>
          <w:szCs w:val="32"/>
        </w:rPr>
        <w:t>（三）管理费</w:t>
      </w:r>
    </w:p>
    <w:p w14:paraId="0B8A3C3D">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指持有考古发掘资质的单位所必须列支的工作人员管理费用，包括办公、交通、住宿、补助、补贴及医疗、劳动保险等费用。定额标准为人工费及其他费用总数的20%。</w:t>
      </w:r>
    </w:p>
    <w:p w14:paraId="043A5F12">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b w:val="0"/>
          <w:bCs/>
          <w:color w:val="auto"/>
          <w:kern w:val="0"/>
          <w:sz w:val="32"/>
          <w:szCs w:val="32"/>
        </w:rPr>
      </w:pPr>
      <w:r>
        <w:rPr>
          <w:rFonts w:hint="default" w:ascii="Times New Roman" w:hAnsi="Times New Roman" w:eastAsia="楷体_GB2312" w:cs="Times New Roman"/>
          <w:b w:val="0"/>
          <w:bCs/>
          <w:color w:val="auto"/>
          <w:kern w:val="0"/>
          <w:sz w:val="32"/>
          <w:szCs w:val="32"/>
        </w:rPr>
        <w:t>（四）安全保卫费</w:t>
      </w:r>
    </w:p>
    <w:p w14:paraId="0079DA41">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指为保证考古发掘现场出土文物安全而雇用或聘请的专门保卫人员、公安人员或武警</w:t>
      </w:r>
      <w:r>
        <w:rPr>
          <w:rFonts w:hint="default" w:ascii="Times New Roman" w:hAnsi="Times New Roman" w:eastAsia="仿宋_GB2312" w:cs="Times New Roman"/>
          <w:color w:val="auto"/>
          <w:kern w:val="0"/>
          <w:sz w:val="32"/>
          <w:szCs w:val="32"/>
          <w:lang w:eastAsia="zh-CN"/>
        </w:rPr>
        <w:t>，为</w:t>
      </w:r>
      <w:r>
        <w:rPr>
          <w:rFonts w:hint="default" w:ascii="Times New Roman" w:hAnsi="Times New Roman" w:eastAsia="仿宋_GB2312" w:cs="Times New Roman"/>
          <w:color w:val="auto"/>
          <w:kern w:val="0"/>
          <w:sz w:val="32"/>
          <w:szCs w:val="32"/>
        </w:rPr>
        <w:t>维护发掘现场安全和临时存放文物场所安全而购置必要的保卫器械和设施所需费用。定额标准为人工费及其他费用总数的10%。</w:t>
      </w:r>
    </w:p>
    <w:p w14:paraId="6FCA08DA">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楷体_GB2312" w:cs="Times New Roman"/>
          <w:b w:val="0"/>
          <w:bCs/>
          <w:color w:val="auto"/>
          <w:kern w:val="0"/>
          <w:sz w:val="32"/>
          <w:szCs w:val="32"/>
        </w:rPr>
      </w:pPr>
      <w:r>
        <w:rPr>
          <w:rFonts w:hint="default" w:ascii="Times New Roman" w:hAnsi="Times New Roman" w:eastAsia="楷体_GB2312" w:cs="Times New Roman"/>
          <w:b w:val="0"/>
          <w:bCs/>
          <w:color w:val="auto"/>
          <w:kern w:val="0"/>
          <w:sz w:val="32"/>
          <w:szCs w:val="32"/>
        </w:rPr>
        <w:t>（五）不可预见费</w:t>
      </w:r>
    </w:p>
    <w:p w14:paraId="0D098622">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指上述条目所列费用之外、为保障考古发掘工作顺利进行而产生的其他费用。定额标准为人工费及其他费用总数的3%。</w:t>
      </w:r>
    </w:p>
    <w:p w14:paraId="397FB1F8">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val="0"/>
          <w:color w:val="auto"/>
          <w:kern w:val="0"/>
          <w:sz w:val="32"/>
          <w:szCs w:val="32"/>
        </w:rPr>
        <w:t>第十四条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rPr>
        <w:t>以上预算定额适用于文化层平均厚度在1～2米以内的古代遗址。</w:t>
      </w:r>
    </w:p>
    <w:p w14:paraId="36B1DD39">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文化层平均厚度在0.5米以下者，</w:t>
      </w:r>
      <w:r>
        <w:rPr>
          <w:rFonts w:hint="default" w:ascii="Times New Roman" w:hAnsi="Times New Roman" w:eastAsia="仿宋_GB2312" w:cs="Times New Roman"/>
          <w:color w:val="auto"/>
          <w:kern w:val="0"/>
          <w:sz w:val="32"/>
          <w:szCs w:val="32"/>
          <w:lang w:val="en-US" w:eastAsia="zh-CN"/>
        </w:rPr>
        <w:t>以此为基数</w:t>
      </w:r>
      <w:r>
        <w:rPr>
          <w:rFonts w:hint="default" w:ascii="Times New Roman" w:hAnsi="Times New Roman" w:eastAsia="仿宋_GB2312" w:cs="Times New Roman"/>
          <w:color w:val="auto"/>
          <w:kern w:val="0"/>
          <w:sz w:val="32"/>
          <w:szCs w:val="32"/>
        </w:rPr>
        <w:t>递减50%</w:t>
      </w:r>
      <w:r>
        <w:rPr>
          <w:rFonts w:hint="default" w:ascii="Times New Roman" w:hAnsi="Times New Roman" w:eastAsia="仿宋_GB2312" w:cs="Times New Roman"/>
          <w:color w:val="auto"/>
          <w:kern w:val="0"/>
          <w:sz w:val="32"/>
          <w:szCs w:val="32"/>
          <w:lang w:eastAsia="zh-CN"/>
        </w:rPr>
        <w:t>；</w:t>
      </w:r>
      <w:r>
        <w:rPr>
          <w:rFonts w:hint="default" w:ascii="Times New Roman" w:hAnsi="Times New Roman" w:eastAsia="仿宋_GB2312" w:cs="Times New Roman"/>
          <w:color w:val="auto"/>
          <w:kern w:val="0"/>
          <w:sz w:val="32"/>
          <w:szCs w:val="32"/>
        </w:rPr>
        <w:t>文化层平均厚度在0.5～1米者，</w:t>
      </w:r>
      <w:r>
        <w:rPr>
          <w:rFonts w:hint="default" w:ascii="Times New Roman" w:hAnsi="Times New Roman" w:eastAsia="仿宋_GB2312" w:cs="Times New Roman"/>
          <w:color w:val="auto"/>
          <w:kern w:val="0"/>
          <w:sz w:val="32"/>
          <w:szCs w:val="32"/>
          <w:lang w:val="en-US" w:eastAsia="zh-CN"/>
        </w:rPr>
        <w:t>以此为基数</w:t>
      </w:r>
      <w:r>
        <w:rPr>
          <w:rFonts w:hint="default" w:ascii="Times New Roman" w:hAnsi="Times New Roman" w:eastAsia="仿宋_GB2312" w:cs="Times New Roman"/>
          <w:color w:val="auto"/>
          <w:kern w:val="0"/>
          <w:sz w:val="32"/>
          <w:szCs w:val="32"/>
        </w:rPr>
        <w:t>递</w:t>
      </w:r>
      <w:r>
        <w:rPr>
          <w:rFonts w:hint="default" w:ascii="Times New Roman" w:hAnsi="Times New Roman" w:eastAsia="仿宋_GB2312" w:cs="Times New Roman"/>
          <w:color w:val="auto"/>
          <w:kern w:val="0"/>
          <w:sz w:val="32"/>
          <w:szCs w:val="32"/>
          <w:lang w:val="en-US" w:eastAsia="zh-CN"/>
        </w:rPr>
        <w:t>减30%；</w:t>
      </w:r>
      <w:r>
        <w:rPr>
          <w:rFonts w:hint="default" w:ascii="Times New Roman" w:hAnsi="Times New Roman" w:eastAsia="仿宋_GB2312" w:cs="Times New Roman"/>
          <w:color w:val="auto"/>
          <w:kern w:val="0"/>
          <w:sz w:val="32"/>
          <w:szCs w:val="32"/>
        </w:rPr>
        <w:t>文化层平均厚度在2米以上，每增加0.5米预算定额相应递增15%。</w:t>
      </w:r>
    </w:p>
    <w:p w14:paraId="3DA934D1">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val="0"/>
          <w:color w:val="auto"/>
          <w:kern w:val="0"/>
          <w:sz w:val="32"/>
          <w:szCs w:val="32"/>
        </w:rPr>
        <w:t>第十五条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rPr>
        <w:t>发掘面积按照遗迹开口面积（长度×宽度）计算，深度按照遗迹的平均深度计算。</w:t>
      </w:r>
    </w:p>
    <w:p w14:paraId="507CAA63">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val="0"/>
          <w:color w:val="auto"/>
          <w:kern w:val="0"/>
          <w:sz w:val="32"/>
          <w:szCs w:val="32"/>
        </w:rPr>
        <w:t>第十六条</w:t>
      </w:r>
      <w:r>
        <w:rPr>
          <w:rFonts w:hint="default" w:ascii="Times New Roman" w:hAnsi="Times New Roman" w:eastAsia="仿宋_GB2312" w:cs="Times New Roman"/>
          <w:bCs/>
          <w:color w:val="auto"/>
          <w:kern w:val="0"/>
          <w:sz w:val="32"/>
          <w:szCs w:val="32"/>
        </w:rPr>
        <w:t xml:space="preserve"> </w:t>
      </w:r>
      <w:r>
        <w:rPr>
          <w:rFonts w:hint="default" w:ascii="Times New Roman" w:hAnsi="Times New Roman" w:eastAsia="仿宋_GB2312" w:cs="Times New Roman"/>
          <w:color w:val="auto"/>
          <w:kern w:val="0"/>
          <w:sz w:val="32"/>
          <w:szCs w:val="32"/>
        </w:rPr>
        <w:t>一般考古发掘的面积最低从10平方米起计算。</w:t>
      </w:r>
    </w:p>
    <w:p w14:paraId="129FA452">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val="0"/>
          <w:color w:val="auto"/>
          <w:kern w:val="0"/>
          <w:sz w:val="32"/>
          <w:szCs w:val="32"/>
        </w:rPr>
        <w:t>第十七条</w:t>
      </w:r>
      <w:r>
        <w:rPr>
          <w:rFonts w:hint="default" w:ascii="Times New Roman" w:hAnsi="Times New Roman" w:eastAsia="仿宋_GB2312" w:cs="Times New Roman"/>
          <w:bCs/>
          <w:color w:val="auto"/>
          <w:kern w:val="0"/>
          <w:sz w:val="32"/>
          <w:szCs w:val="32"/>
          <w:lang w:val="en-US" w:eastAsia="zh-CN"/>
        </w:rPr>
        <w:t xml:space="preserve"> </w:t>
      </w:r>
      <w:r>
        <w:rPr>
          <w:rFonts w:hint="default" w:ascii="Times New Roman" w:hAnsi="Times New Roman" w:eastAsia="仿宋_GB2312" w:cs="Times New Roman"/>
          <w:color w:val="auto"/>
          <w:kern w:val="0"/>
          <w:sz w:val="32"/>
          <w:szCs w:val="32"/>
          <w:lang w:val="en-US" w:eastAsia="zh-CN"/>
        </w:rPr>
        <w:t>发掘对象为大中型墓葬或其他特殊遗迹时，可按发掘对象的形制、规模计算劳动力投入量，以此为基数另加200%—300%的其他发掘费用。其中符合下列条件之一者可视为实际需要单独计算发掘定额：</w:t>
      </w:r>
    </w:p>
    <w:p w14:paraId="68F405FB">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1.形制特殊；</w:t>
      </w:r>
    </w:p>
    <w:p w14:paraId="2E871006">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2.规模巨大；</w:t>
      </w:r>
    </w:p>
    <w:p w14:paraId="4DAFDB44">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3.出土文物可能特别丰富或需进行特殊保护；</w:t>
      </w:r>
    </w:p>
    <w:p w14:paraId="7A091EF3">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4.其他如洞穴、沙漠、贝丘、悬棺、地下水位较高等特殊遗址。</w:t>
      </w:r>
    </w:p>
    <w:p w14:paraId="06E10310">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b/>
          <w:bCs w:val="0"/>
          <w:color w:val="auto"/>
          <w:kern w:val="0"/>
          <w:sz w:val="32"/>
          <w:szCs w:val="32"/>
        </w:rPr>
        <w:t>第十</w:t>
      </w:r>
      <w:r>
        <w:rPr>
          <w:rFonts w:hint="default" w:ascii="Times New Roman" w:hAnsi="Times New Roman" w:eastAsia="仿宋_GB2312" w:cs="Times New Roman"/>
          <w:b/>
          <w:bCs w:val="0"/>
          <w:color w:val="auto"/>
          <w:kern w:val="0"/>
          <w:sz w:val="32"/>
          <w:szCs w:val="32"/>
          <w:lang w:val="en-US" w:eastAsia="zh-CN"/>
        </w:rPr>
        <w:t>八</w:t>
      </w:r>
      <w:r>
        <w:rPr>
          <w:rFonts w:hint="default" w:ascii="Times New Roman" w:hAnsi="Times New Roman" w:eastAsia="仿宋_GB2312" w:cs="Times New Roman"/>
          <w:b/>
          <w:bCs w:val="0"/>
          <w:color w:val="auto"/>
          <w:kern w:val="0"/>
          <w:sz w:val="32"/>
          <w:szCs w:val="32"/>
        </w:rPr>
        <w:t>条</w:t>
      </w:r>
      <w:r>
        <w:rPr>
          <w:rFonts w:hint="default" w:ascii="Times New Roman" w:hAnsi="Times New Roman" w:eastAsia="仿宋_GB2312" w:cs="Times New Roman"/>
          <w:bCs/>
          <w:color w:val="auto"/>
          <w:kern w:val="0"/>
          <w:sz w:val="32"/>
          <w:szCs w:val="32"/>
          <w:lang w:val="en-US" w:eastAsia="zh-CN"/>
        </w:rPr>
        <w:t xml:space="preserve"> </w:t>
      </w:r>
      <w:r>
        <w:rPr>
          <w:rFonts w:hint="default" w:ascii="Times New Roman" w:hAnsi="Times New Roman" w:eastAsia="仿宋_GB2312" w:cs="Times New Roman"/>
          <w:color w:val="auto"/>
          <w:kern w:val="0"/>
          <w:sz w:val="32"/>
          <w:szCs w:val="32"/>
        </w:rPr>
        <w:t>考古发掘中发现重要遗迹现象，需要</w:t>
      </w:r>
      <w:r>
        <w:rPr>
          <w:rFonts w:hint="default" w:ascii="Times New Roman" w:hAnsi="Times New Roman" w:eastAsia="仿宋_GB2312" w:cs="Times New Roman"/>
          <w:color w:val="auto"/>
          <w:kern w:val="0"/>
          <w:sz w:val="32"/>
          <w:szCs w:val="32"/>
          <w:lang w:val="en-US" w:eastAsia="zh-CN"/>
        </w:rPr>
        <w:t>原址保护或搬迁保护的，另行编制预算，所需费用由申请方承担。</w:t>
      </w:r>
    </w:p>
    <w:p w14:paraId="5977A331">
      <w:pPr>
        <w:keepNext w:val="0"/>
        <w:keepLines w:val="0"/>
        <w:pageBreakBefore w:val="0"/>
        <w:widowControl w:val="0"/>
        <w:kinsoku/>
        <w:wordWrap/>
        <w:overflowPunct w:val="0"/>
        <w:topLinePunct w:val="0"/>
        <w:autoSpaceDE/>
        <w:autoSpaceDN/>
        <w:bidi w:val="0"/>
        <w:adjustRightInd/>
        <w:snapToGrid/>
        <w:spacing w:line="600" w:lineRule="exact"/>
        <w:jc w:val="center"/>
        <w:textAlignment w:val="auto"/>
        <w:rPr>
          <w:rFonts w:hint="default" w:ascii="Times New Roman" w:hAnsi="Times New Roman" w:eastAsia="黑体" w:cs="Times New Roman"/>
          <w:b w:val="0"/>
          <w:bCs w:val="0"/>
          <w:color w:val="auto"/>
          <w:kern w:val="0"/>
          <w:sz w:val="32"/>
          <w:szCs w:val="32"/>
        </w:rPr>
      </w:pPr>
      <w:r>
        <w:rPr>
          <w:rFonts w:hint="default" w:ascii="Times New Roman" w:hAnsi="Times New Roman" w:eastAsia="黑体" w:cs="Times New Roman"/>
          <w:b w:val="0"/>
          <w:bCs w:val="0"/>
          <w:color w:val="auto"/>
          <w:kern w:val="0"/>
          <w:sz w:val="32"/>
          <w:szCs w:val="32"/>
          <w:lang w:val="en-US" w:eastAsia="zh-CN"/>
        </w:rPr>
        <w:t xml:space="preserve">第四章  附 </w:t>
      </w:r>
      <w:r>
        <w:rPr>
          <w:rFonts w:hint="eastAsia" w:eastAsia="黑体" w:cs="Times New Roman"/>
          <w:b w:val="0"/>
          <w:bCs w:val="0"/>
          <w:color w:val="auto"/>
          <w:kern w:val="0"/>
          <w:sz w:val="32"/>
          <w:szCs w:val="32"/>
          <w:lang w:val="en-US" w:eastAsia="zh-CN"/>
        </w:rPr>
        <w:t xml:space="preserve"> </w:t>
      </w:r>
      <w:r>
        <w:rPr>
          <w:rFonts w:hint="default" w:ascii="Times New Roman" w:hAnsi="Times New Roman" w:eastAsia="黑体" w:cs="Times New Roman"/>
          <w:b w:val="0"/>
          <w:bCs w:val="0"/>
          <w:color w:val="auto"/>
          <w:kern w:val="0"/>
          <w:sz w:val="32"/>
          <w:szCs w:val="32"/>
          <w:lang w:val="en-US" w:eastAsia="zh-CN"/>
        </w:rPr>
        <w:t>则</w:t>
      </w:r>
      <w:bookmarkStart w:id="0" w:name="_GoBack"/>
      <w:bookmarkEnd w:id="0"/>
    </w:p>
    <w:p w14:paraId="4E6CBAC1">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val="0"/>
          <w:color w:val="auto"/>
          <w:kern w:val="0"/>
          <w:sz w:val="32"/>
          <w:szCs w:val="32"/>
        </w:rPr>
        <w:t>第十</w:t>
      </w:r>
      <w:r>
        <w:rPr>
          <w:rFonts w:hint="default" w:ascii="Times New Roman" w:hAnsi="Times New Roman" w:eastAsia="仿宋_GB2312" w:cs="Times New Roman"/>
          <w:b/>
          <w:bCs w:val="0"/>
          <w:color w:val="auto"/>
          <w:kern w:val="0"/>
          <w:sz w:val="32"/>
          <w:szCs w:val="32"/>
          <w:lang w:val="en-US" w:eastAsia="zh-CN"/>
        </w:rPr>
        <w:t>九</w:t>
      </w:r>
      <w:r>
        <w:rPr>
          <w:rFonts w:hint="default" w:ascii="Times New Roman" w:hAnsi="Times New Roman" w:eastAsia="仿宋_GB2312" w:cs="Times New Roman"/>
          <w:b/>
          <w:bCs w:val="0"/>
          <w:color w:val="auto"/>
          <w:kern w:val="0"/>
          <w:sz w:val="32"/>
          <w:szCs w:val="32"/>
        </w:rPr>
        <w:t>条</w:t>
      </w:r>
      <w:r>
        <w:rPr>
          <w:rFonts w:hint="default" w:ascii="Times New Roman" w:hAnsi="Times New Roman" w:eastAsia="仿宋_GB2312" w:cs="Times New Roman"/>
          <w:color w:val="auto"/>
          <w:kern w:val="0"/>
          <w:sz w:val="32"/>
          <w:szCs w:val="32"/>
        </w:rPr>
        <w:t xml:space="preserve"> 《洛阳市土地供应前考古调查勘探发掘工作管理办法》（洛工程改革办〔2022〕4号）与本办法不一致的，以本办法为准。</w:t>
      </w:r>
    </w:p>
    <w:p w14:paraId="756926E1">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val="0"/>
          <w:color w:val="auto"/>
          <w:kern w:val="0"/>
          <w:sz w:val="32"/>
          <w:szCs w:val="32"/>
        </w:rPr>
        <w:t>第</w:t>
      </w:r>
      <w:r>
        <w:rPr>
          <w:rFonts w:hint="default" w:ascii="Times New Roman" w:hAnsi="Times New Roman" w:eastAsia="仿宋_GB2312" w:cs="Times New Roman"/>
          <w:b/>
          <w:bCs w:val="0"/>
          <w:color w:val="auto"/>
          <w:kern w:val="0"/>
          <w:sz w:val="32"/>
          <w:szCs w:val="32"/>
          <w:lang w:val="en-US" w:eastAsia="zh-CN"/>
        </w:rPr>
        <w:t>二十</w:t>
      </w:r>
      <w:r>
        <w:rPr>
          <w:rFonts w:hint="default" w:ascii="Times New Roman" w:hAnsi="Times New Roman" w:eastAsia="仿宋_GB2312" w:cs="Times New Roman"/>
          <w:b/>
          <w:bCs w:val="0"/>
          <w:color w:val="auto"/>
          <w:kern w:val="0"/>
          <w:sz w:val="32"/>
          <w:szCs w:val="32"/>
        </w:rPr>
        <w:t>条</w:t>
      </w:r>
      <w:r>
        <w:rPr>
          <w:rFonts w:hint="default" w:ascii="Times New Roman" w:hAnsi="Times New Roman" w:eastAsia="仿宋_GB2312" w:cs="Times New Roman"/>
          <w:b/>
          <w:bCs/>
          <w:color w:val="auto"/>
          <w:kern w:val="0"/>
          <w:sz w:val="32"/>
          <w:szCs w:val="32"/>
        </w:rPr>
        <w:t xml:space="preserve"> </w:t>
      </w:r>
      <w:r>
        <w:rPr>
          <w:rFonts w:hint="default" w:ascii="Times New Roman" w:hAnsi="Times New Roman" w:eastAsia="仿宋_GB2312" w:cs="Times New Roman"/>
          <w:color w:val="auto"/>
          <w:kern w:val="0"/>
          <w:sz w:val="32"/>
          <w:szCs w:val="32"/>
        </w:rPr>
        <w:t>本办法自印发之日起施行，有效期五年。</w:t>
      </w:r>
    </w:p>
    <w:p w14:paraId="218019BB">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4CCEF617">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0D5B121D">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7CAEE708">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2D7B1D8A">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4ED00820">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73EC7E5C">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2CAD2AEC">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59F615CD">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78F64DC7">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625E0684">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76ACBAA7">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7AD6BCFE">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6A27A4AA">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6ABC7000">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3DD0903D">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10DF24CE">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lang w:val="en-US" w:eastAsia="zh-CN"/>
        </w:rPr>
      </w:pPr>
    </w:p>
    <w:p w14:paraId="54512778">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编制说明：</w:t>
      </w:r>
    </w:p>
    <w:p w14:paraId="7B7E34C1">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一、</w:t>
      </w:r>
      <w:r>
        <w:rPr>
          <w:rFonts w:hint="default" w:ascii="Times New Roman" w:hAnsi="Times New Roman" w:eastAsia="仿宋_GB2312" w:cs="Times New Roman"/>
          <w:color w:val="0000FF"/>
          <w:kern w:val="0"/>
          <w:sz w:val="32"/>
          <w:szCs w:val="32"/>
          <w:lang w:val="en-US" w:eastAsia="zh-CN"/>
        </w:rPr>
        <w:t>洛阳市区、各县区</w:t>
      </w:r>
      <w:r>
        <w:rPr>
          <w:rFonts w:hint="default" w:ascii="Times New Roman" w:hAnsi="Times New Roman" w:eastAsia="仿宋_GB2312" w:cs="Times New Roman"/>
          <w:color w:val="auto"/>
          <w:kern w:val="0"/>
          <w:sz w:val="32"/>
          <w:szCs w:val="32"/>
          <w:lang w:val="en-US" w:eastAsia="zh-CN"/>
        </w:rPr>
        <w:t>预算编制，分别按照</w:t>
      </w:r>
      <w:r>
        <w:rPr>
          <w:rFonts w:hint="default" w:ascii="Times New Roman" w:hAnsi="Times New Roman" w:eastAsia="仿宋_GB2312" w:cs="Times New Roman"/>
          <w:color w:val="auto"/>
          <w:kern w:val="0"/>
          <w:sz w:val="32"/>
          <w:szCs w:val="32"/>
        </w:rPr>
        <w:t>《河南省人民政府关于调整河南省最低工资标准的通知》</w:t>
      </w:r>
      <w:r>
        <w:rPr>
          <w:rFonts w:hint="default" w:ascii="Times New Roman" w:hAnsi="Times New Roman" w:eastAsia="仿宋_GB2312" w:cs="Times New Roman"/>
          <w:color w:val="auto"/>
          <w:kern w:val="0"/>
          <w:sz w:val="32"/>
          <w:szCs w:val="32"/>
          <w:lang w:val="en-US" w:eastAsia="zh-CN"/>
        </w:rPr>
        <w:t>规定的一、二类行政区域工资标准执行。</w:t>
      </w:r>
    </w:p>
    <w:p w14:paraId="38F87F93">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二、</w:t>
      </w:r>
      <w:r>
        <w:rPr>
          <w:rFonts w:hint="default" w:ascii="Times New Roman" w:hAnsi="Times New Roman" w:eastAsia="仿宋_GB2312" w:cs="Times New Roman"/>
          <w:color w:val="auto"/>
          <w:kern w:val="0"/>
          <w:sz w:val="32"/>
          <w:szCs w:val="32"/>
        </w:rPr>
        <w:t>考古勘探经费</w:t>
      </w:r>
      <w:r>
        <w:rPr>
          <w:rFonts w:hint="default" w:ascii="Times New Roman" w:hAnsi="Times New Roman" w:eastAsia="仿宋_GB2312" w:cs="Times New Roman"/>
          <w:color w:val="auto"/>
          <w:kern w:val="0"/>
          <w:sz w:val="32"/>
          <w:szCs w:val="32"/>
          <w:lang w:val="en-US" w:eastAsia="zh-CN"/>
        </w:rPr>
        <w:t>依照</w:t>
      </w:r>
      <w:r>
        <w:rPr>
          <w:rFonts w:hint="default" w:ascii="Times New Roman" w:hAnsi="Times New Roman" w:eastAsia="仿宋_GB2312" w:cs="Times New Roman"/>
          <w:color w:val="auto"/>
          <w:kern w:val="0"/>
          <w:sz w:val="32"/>
          <w:szCs w:val="32"/>
        </w:rPr>
        <w:t>《国家文物局关于颁发〈考古调查、勘探、发掘收费定额管理办法〉的通知》（1990）文物字第248号</w:t>
      </w:r>
      <w:r>
        <w:rPr>
          <w:rFonts w:hint="default" w:ascii="Times New Roman" w:hAnsi="Times New Roman" w:eastAsia="仿宋_GB2312" w:cs="Times New Roman"/>
          <w:color w:val="auto"/>
          <w:kern w:val="0"/>
          <w:sz w:val="32"/>
          <w:szCs w:val="32"/>
          <w:lang w:val="en-US" w:eastAsia="zh-CN"/>
        </w:rPr>
        <w:t>最低标准收取。</w:t>
      </w:r>
    </w:p>
    <w:p w14:paraId="3B95B85E">
      <w:pPr>
        <w:keepNext w:val="0"/>
        <w:keepLines w:val="0"/>
        <w:pageBreakBefore w:val="0"/>
        <w:widowControl w:val="0"/>
        <w:kinsoku/>
        <w:wordWrap/>
        <w:overflowPunct w:val="0"/>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lang w:val="en-US" w:eastAsia="zh-CN"/>
        </w:rPr>
        <w:t xml:space="preserve">三、考古发掘经费不计取安全加固费、资料出版费。 </w:t>
      </w:r>
    </w:p>
    <w:p w14:paraId="15C923BD">
      <w:pPr>
        <w:keepNext w:val="0"/>
        <w:keepLines w:val="0"/>
        <w:pageBreakBefore w:val="0"/>
        <w:widowControl w:val="0"/>
        <w:kinsoku/>
        <w:wordWrap/>
        <w:topLinePunct w:val="0"/>
        <w:autoSpaceDE/>
        <w:autoSpaceDN/>
        <w:bidi w:val="0"/>
        <w:adjustRightInd/>
        <w:snapToGrid/>
        <w:spacing w:line="600" w:lineRule="exact"/>
        <w:textAlignment w:val="auto"/>
        <w:rPr>
          <w:rFonts w:hint="default" w:ascii="Times New Roman" w:hAnsi="Times New Roman" w:eastAsia="仿宋_GB2312" w:cs="Times New Roman"/>
          <w:color w:val="auto"/>
          <w:kern w:val="0"/>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CB7F49"/>
    <w:rsid w:val="064F11C8"/>
    <w:rsid w:val="077961C6"/>
    <w:rsid w:val="09736C45"/>
    <w:rsid w:val="0B861739"/>
    <w:rsid w:val="0BE8391A"/>
    <w:rsid w:val="0EA96B85"/>
    <w:rsid w:val="10AF2C58"/>
    <w:rsid w:val="12AF110C"/>
    <w:rsid w:val="140432BB"/>
    <w:rsid w:val="1AD339E7"/>
    <w:rsid w:val="1B041C98"/>
    <w:rsid w:val="1EC60FBD"/>
    <w:rsid w:val="1F29007A"/>
    <w:rsid w:val="24F84776"/>
    <w:rsid w:val="28F6721F"/>
    <w:rsid w:val="2B4324C3"/>
    <w:rsid w:val="2DD11957"/>
    <w:rsid w:val="300614BD"/>
    <w:rsid w:val="32EE71B8"/>
    <w:rsid w:val="35101668"/>
    <w:rsid w:val="37B564F7"/>
    <w:rsid w:val="37E90707"/>
    <w:rsid w:val="3A5B3385"/>
    <w:rsid w:val="3D2C1009"/>
    <w:rsid w:val="3F4E7D42"/>
    <w:rsid w:val="45891C52"/>
    <w:rsid w:val="48967C7F"/>
    <w:rsid w:val="4A08695A"/>
    <w:rsid w:val="4B485D9D"/>
    <w:rsid w:val="4D9C7AE5"/>
    <w:rsid w:val="4F9111A0"/>
    <w:rsid w:val="56220DA3"/>
    <w:rsid w:val="596227FA"/>
    <w:rsid w:val="5E7D126D"/>
    <w:rsid w:val="5FD96BCD"/>
    <w:rsid w:val="626D2409"/>
    <w:rsid w:val="66ED3C91"/>
    <w:rsid w:val="680014C2"/>
    <w:rsid w:val="68751207"/>
    <w:rsid w:val="6BCD167F"/>
    <w:rsid w:val="6D107750"/>
    <w:rsid w:val="70D15BA9"/>
    <w:rsid w:val="71E436BD"/>
    <w:rsid w:val="735C549D"/>
    <w:rsid w:val="73A14187"/>
    <w:rsid w:val="7601232C"/>
    <w:rsid w:val="7C3A0345"/>
    <w:rsid w:val="7FCE1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959a4dfc-16d2-4dc5-83d7-024e1bd9f3a1</errorID>
      <errorWord>录相</errorWord>
      <group>L1_Word</group>
      <groupName>字词问题</groupName>
      <ability>L2_Variant</ability>
      <abilityName>异形词</abilityName>
      <candidateList>
        <item>录像</item>
      </candidateList>
      <explain>词汇[录相]的规范词形写作[录像]。</explain>
      <paraID>2766DB06</paraID>
      <start>32</start>
      <end>34</end>
      <status>modified</status>
      <modifiedWord>录像</modifiedWord>
      <trackRevisions>false</trackRevisions>
    </reviewItem>
    <reviewItem>
      <errorID>5117fa90-bd85-4f4b-93e6-d14529728066</errorID>
      <errorWord>必须的</errorWord>
      <group>L1_Word</group>
      <groupName>字词问题</groupName>
      <ability>L2_Alias</ability>
      <abilityName>也作/曾用词</abilityName>
      <candidateList>
        <item>必需的</item>
      </candidateList>
      <explain>词汇[必须的]为不规范表述或旧称，其规范书面表述为[必需的]。</explain>
      <paraID>40330E2A</paraID>
      <start>27</start>
      <end>30</end>
      <status>modified</status>
      <modifiedWord>必需的</modifiedWord>
      <trackRevisions>false</trackRevisions>
    </reviewItem>
    <reviewItem>
      <errorID>33ac7ca9-1489-4865-b00d-f9128f834e77</errorID>
      <errorWord>，</errorWord>
      <group>L1_Word</group>
      <groupName>字词问题</groupName>
      <ability>L2_Typo</ability>
      <abilityName>字词错误</abilityName>
      <candidateList>
        <item>，为</item>
      </candidateList>
      <explain/>
      <paraID>  79DA41</paraID>
      <start>37</start>
      <end>39</end>
      <status>modified</status>
      <modifiedWord>，为</modifiedWord>
      <trackRevisions>false</trackRevisions>
    </reviewItem>
  </reviewItems>
  <config/>
</contractReview>
</file>

<file path=customXml/itemProps1.xml><?xml version="1.0" encoding="utf-8"?>
<ds:datastoreItem xmlns:ds="http://schemas.openxmlformats.org/officeDocument/2006/customXml" ds:itemID="{c259d249-3a94-4130-a3b4-e972bc5a8314}">
  <ds:schemaRefs/>
</ds:datastoreItem>
</file>

<file path=docProps/app.xml><?xml version="1.0" encoding="utf-8"?>
<Properties xmlns="http://schemas.openxmlformats.org/officeDocument/2006/extended-properties" xmlns:vt="http://schemas.openxmlformats.org/officeDocument/2006/docPropsVTypes">
  <Template>Normal.dotm</Template>
  <Pages>7</Pages>
  <Words>2460</Words>
  <Characters>2559</Characters>
  <Lines>0</Lines>
  <Paragraphs>0</Paragraphs>
  <TotalTime>0</TotalTime>
  <ScaleCrop>false</ScaleCrop>
  <LinksUpToDate>false</LinksUpToDate>
  <CharactersWithSpaces>2598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2025-12-02T01:58:00Z</dcterms:created>
  <dc:creator>韩彦刚</dc:creator>
  <cp:lastModifiedBy>K＆M</cp:lastModifiedBy>
  <dcterms:modified xsi:type="dcterms:W3CDTF">2025-12-05T03:17:11Z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eyJoZGlkIjoiNDNjZjM2NDhmM2U3NDI1Njg3MmY5OTQ2ZTRiM2Y1NjIiLCJ1c2VySWQiOiIyNTU4MjYzNjYifQ==</vt:lpwstr>
  </property>
  <property fmtid="{D5CDD505-2E9C-101B-9397-08002B2CF9AE}" pid="4" name="ICV">
    <vt:lpwstr>7E60DE606744429481D1AD0025A2B49D_13</vt:lpwstr>
  </property>
</Properties>
</file>