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4576E2">
      <w:pPr>
        <w:keepNext w:val="0"/>
        <w:keepLines w:val="0"/>
        <w:pageBreakBefore w:val="0"/>
        <w:widowControl w:val="0"/>
        <w:kinsoku/>
        <w:wordWrap/>
        <w:overflowPunct/>
        <w:topLinePunct w:val="0"/>
        <w:autoSpaceDE/>
        <w:autoSpaceDN/>
        <w:bidi w:val="0"/>
        <w:adjustRightInd/>
        <w:snapToGrid/>
        <w:spacing w:line="592" w:lineRule="exact"/>
        <w:ind w:left="0" w:right="0"/>
        <w:rPr>
          <w:rFonts w:ascii="黑体" w:hAnsi="黑体" w:eastAsia="黑体" w:cs="黑体"/>
          <w:spacing w:val="-14"/>
          <w:sz w:val="31"/>
          <w:szCs w:val="31"/>
        </w:rPr>
      </w:pPr>
      <w:r>
        <w:rPr>
          <w:rFonts w:ascii="黑体" w:hAnsi="黑体" w:eastAsia="黑体" w:cs="黑体"/>
          <w:spacing w:val="-15"/>
          <w:sz w:val="31"/>
          <w:szCs w:val="31"/>
        </w:rPr>
        <w:t>附</w:t>
      </w:r>
      <w:r>
        <w:rPr>
          <w:rFonts w:hint="eastAsia" w:ascii="黑体" w:hAnsi="黑体" w:eastAsia="黑体" w:cs="黑体"/>
          <w:spacing w:val="-15"/>
          <w:sz w:val="31"/>
          <w:szCs w:val="31"/>
          <w:lang w:val="en-US" w:eastAsia="zh-CN"/>
        </w:rPr>
        <w:t xml:space="preserve">  </w:t>
      </w:r>
      <w:r>
        <w:rPr>
          <w:rFonts w:ascii="黑体" w:hAnsi="黑体" w:eastAsia="黑体" w:cs="黑体"/>
          <w:spacing w:val="-14"/>
          <w:sz w:val="31"/>
          <w:szCs w:val="31"/>
        </w:rPr>
        <w:t>件</w:t>
      </w:r>
    </w:p>
    <w:p w14:paraId="371FFA7C">
      <w:pPr>
        <w:keepNext w:val="0"/>
        <w:keepLines w:val="0"/>
        <w:pageBreakBefore w:val="0"/>
        <w:widowControl w:val="0"/>
        <w:kinsoku/>
        <w:wordWrap/>
        <w:overflowPunct/>
        <w:topLinePunct w:val="0"/>
        <w:autoSpaceDE/>
        <w:autoSpaceDN/>
        <w:bidi w:val="0"/>
        <w:adjustRightInd/>
        <w:snapToGrid/>
        <w:spacing w:line="592" w:lineRule="exact"/>
        <w:ind w:left="0" w:right="0"/>
        <w:rPr>
          <w:rFonts w:ascii="黑体" w:hAnsi="黑体" w:eastAsia="黑体" w:cs="黑体"/>
          <w:spacing w:val="-14"/>
          <w:sz w:val="31"/>
          <w:szCs w:val="31"/>
        </w:rPr>
      </w:pPr>
    </w:p>
    <w:p w14:paraId="6805375F">
      <w:pPr>
        <w:keepNext w:val="0"/>
        <w:keepLines w:val="0"/>
        <w:pageBreakBefore w:val="0"/>
        <w:widowControl w:val="0"/>
        <w:kinsoku/>
        <w:wordWrap/>
        <w:overflowPunct/>
        <w:topLinePunct w:val="0"/>
        <w:autoSpaceDE/>
        <w:autoSpaceDN/>
        <w:bidi w:val="0"/>
        <w:adjustRightInd/>
        <w:snapToGrid/>
        <w:spacing w:line="592" w:lineRule="exact"/>
        <w:ind w:left="0" w:right="0"/>
        <w:jc w:val="center"/>
        <w:textAlignment w:val="auto"/>
        <w:rPr>
          <w:rFonts w:hint="eastAsia" w:ascii="方正小标宋简体" w:hAnsi="方正小标宋简体" w:eastAsia="方正小标宋简体" w:cs="方正小标宋简体"/>
          <w:spacing w:val="0"/>
          <w:w w:val="100"/>
          <w:sz w:val="44"/>
          <w:szCs w:val="44"/>
        </w:rPr>
      </w:pPr>
      <w:r>
        <w:rPr>
          <w:rFonts w:hint="eastAsia" w:ascii="方正小标宋简体" w:hAnsi="方正小标宋简体" w:eastAsia="方正小标宋简体" w:cs="方正小标宋简体"/>
          <w:spacing w:val="0"/>
          <w:w w:val="100"/>
          <w:sz w:val="44"/>
          <w:szCs w:val="44"/>
          <w:lang w:val="en-US" w:eastAsia="zh-CN"/>
        </w:rPr>
        <w:t>栾川县乡镇（街道）综合行政执法事项清单</w:t>
      </w:r>
    </w:p>
    <w:p w14:paraId="0E9FD87D">
      <w:pPr>
        <w:keepNext w:val="0"/>
        <w:keepLines w:val="0"/>
        <w:pageBreakBefore w:val="0"/>
        <w:widowControl w:val="0"/>
        <w:kinsoku/>
        <w:wordWrap/>
        <w:overflowPunct/>
        <w:topLinePunct w:val="0"/>
        <w:autoSpaceDE/>
        <w:autoSpaceDN/>
        <w:bidi w:val="0"/>
        <w:adjustRightInd/>
        <w:snapToGrid/>
        <w:spacing w:line="592" w:lineRule="exact"/>
        <w:ind w:left="0" w:right="0"/>
        <w:jc w:val="center"/>
        <w:textAlignment w:val="auto"/>
        <w:rPr>
          <w:rFonts w:hint="eastAsia" w:ascii="方正小标宋简体" w:hAnsi="方正小标宋简体" w:eastAsia="方正小标宋简体" w:cs="方正小标宋简体"/>
          <w:spacing w:val="0"/>
          <w:w w:val="100"/>
          <w:sz w:val="44"/>
          <w:szCs w:val="44"/>
        </w:rPr>
      </w:pPr>
      <w:r>
        <w:rPr>
          <w:rFonts w:hint="eastAsia" w:ascii="方正小标宋简体" w:hAnsi="方正小标宋简体" w:eastAsia="方正小标宋简体" w:cs="方正小标宋简体"/>
          <w:spacing w:val="0"/>
          <w:w w:val="100"/>
          <w:sz w:val="44"/>
          <w:szCs w:val="44"/>
        </w:rPr>
        <w:t>(2025年版)</w:t>
      </w:r>
    </w:p>
    <w:p w14:paraId="6F3A4047">
      <w:pPr>
        <w:keepNext w:val="0"/>
        <w:keepLines w:val="0"/>
        <w:pageBreakBefore w:val="0"/>
        <w:widowControl w:val="0"/>
        <w:kinsoku/>
        <w:wordWrap/>
        <w:overflowPunct/>
        <w:topLinePunct w:val="0"/>
        <w:autoSpaceDE/>
        <w:autoSpaceDN/>
        <w:bidi w:val="0"/>
        <w:adjustRightInd/>
        <w:snapToGrid/>
        <w:spacing w:line="592" w:lineRule="exact"/>
        <w:ind w:left="0" w:right="0"/>
      </w:pPr>
    </w:p>
    <w:tbl>
      <w:tblPr>
        <w:tblStyle w:val="7"/>
        <w:tblW w:w="980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28" w:type="dxa"/>
          <w:left w:w="28" w:type="dxa"/>
          <w:bottom w:w="28" w:type="dxa"/>
          <w:right w:w="28" w:type="dxa"/>
        </w:tblCellMar>
      </w:tblPr>
      <w:tblGrid>
        <w:gridCol w:w="691"/>
        <w:gridCol w:w="3244"/>
        <w:gridCol w:w="1226"/>
        <w:gridCol w:w="2586"/>
        <w:gridCol w:w="2062"/>
      </w:tblGrid>
      <w:tr w14:paraId="240326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28" w:type="dxa"/>
            <w:bottom w:w="28" w:type="dxa"/>
            <w:right w:w="28" w:type="dxa"/>
          </w:tblCellMar>
        </w:tblPrEx>
        <w:trPr>
          <w:trHeight w:val="607" w:hRule="atLeast"/>
          <w:tblHeader/>
          <w:jc w:val="center"/>
        </w:trPr>
        <w:tc>
          <w:tcPr>
            <w:tcW w:w="691" w:type="dxa"/>
            <w:tcBorders>
              <w:tl2br w:val="nil"/>
              <w:tr2bl w:val="nil"/>
            </w:tcBorders>
            <w:vAlign w:val="center"/>
          </w:tcPr>
          <w:p w14:paraId="4143F93E">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rPr>
                <w:rFonts w:hint="eastAsia" w:ascii="黑体" w:hAnsi="黑体" w:eastAsia="黑体" w:cs="黑体"/>
                <w:b w:val="0"/>
                <w:bCs w:val="0"/>
                <w:spacing w:val="0"/>
                <w:sz w:val="24"/>
                <w:szCs w:val="24"/>
              </w:rPr>
            </w:pPr>
            <w:r>
              <w:rPr>
                <w:rFonts w:hint="eastAsia" w:ascii="黑体" w:hAnsi="黑体" w:eastAsia="黑体" w:cs="黑体"/>
                <w:b w:val="0"/>
                <w:bCs w:val="0"/>
                <w:spacing w:val="0"/>
                <w:sz w:val="24"/>
                <w:szCs w:val="24"/>
              </w:rPr>
              <w:t>序号</w:t>
            </w:r>
          </w:p>
        </w:tc>
        <w:tc>
          <w:tcPr>
            <w:tcW w:w="3244" w:type="dxa"/>
            <w:tcBorders>
              <w:tl2br w:val="nil"/>
              <w:tr2bl w:val="nil"/>
            </w:tcBorders>
            <w:vAlign w:val="center"/>
          </w:tcPr>
          <w:p w14:paraId="590104FA">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rPr>
                <w:rFonts w:hint="eastAsia" w:ascii="黑体" w:hAnsi="黑体" w:eastAsia="黑体" w:cs="黑体"/>
                <w:b w:val="0"/>
                <w:bCs w:val="0"/>
                <w:spacing w:val="0"/>
                <w:sz w:val="24"/>
                <w:szCs w:val="24"/>
              </w:rPr>
            </w:pPr>
            <w:r>
              <w:rPr>
                <w:rFonts w:hint="eastAsia" w:ascii="黑体" w:hAnsi="黑体" w:eastAsia="黑体" w:cs="黑体"/>
                <w:b w:val="0"/>
                <w:bCs w:val="0"/>
                <w:spacing w:val="0"/>
                <w:sz w:val="24"/>
                <w:szCs w:val="24"/>
              </w:rPr>
              <w:t>事项名称</w:t>
            </w:r>
          </w:p>
        </w:tc>
        <w:tc>
          <w:tcPr>
            <w:tcW w:w="1226" w:type="dxa"/>
            <w:tcBorders>
              <w:tl2br w:val="nil"/>
              <w:tr2bl w:val="nil"/>
            </w:tcBorders>
            <w:vAlign w:val="center"/>
          </w:tcPr>
          <w:p w14:paraId="34B7CDA5">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rPr>
                <w:rFonts w:hint="eastAsia" w:ascii="黑体" w:hAnsi="黑体" w:eastAsia="黑体" w:cs="黑体"/>
                <w:b w:val="0"/>
                <w:bCs w:val="0"/>
                <w:spacing w:val="0"/>
                <w:sz w:val="24"/>
                <w:szCs w:val="24"/>
              </w:rPr>
            </w:pPr>
            <w:r>
              <w:rPr>
                <w:rFonts w:hint="eastAsia" w:ascii="黑体" w:hAnsi="黑体" w:eastAsia="黑体" w:cs="黑体"/>
                <w:b w:val="0"/>
                <w:bCs w:val="0"/>
                <w:spacing w:val="0"/>
                <w:sz w:val="24"/>
                <w:szCs w:val="24"/>
              </w:rPr>
              <w:t>执法领域</w:t>
            </w:r>
          </w:p>
        </w:tc>
        <w:tc>
          <w:tcPr>
            <w:tcW w:w="2586" w:type="dxa"/>
            <w:tcBorders>
              <w:tl2br w:val="nil"/>
              <w:tr2bl w:val="nil"/>
            </w:tcBorders>
            <w:vAlign w:val="center"/>
          </w:tcPr>
          <w:p w14:paraId="5B505FA4">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rPr>
                <w:rFonts w:hint="eastAsia" w:ascii="黑体" w:hAnsi="黑体" w:eastAsia="黑体" w:cs="黑体"/>
                <w:b w:val="0"/>
                <w:bCs w:val="0"/>
                <w:spacing w:val="0"/>
                <w:sz w:val="24"/>
                <w:szCs w:val="24"/>
              </w:rPr>
            </w:pPr>
            <w:r>
              <w:rPr>
                <w:rFonts w:hint="eastAsia" w:ascii="黑体" w:hAnsi="黑体" w:eastAsia="黑体" w:cs="黑体"/>
                <w:b w:val="0"/>
                <w:bCs w:val="0"/>
                <w:spacing w:val="0"/>
                <w:sz w:val="24"/>
                <w:szCs w:val="24"/>
              </w:rPr>
              <w:t>实施依据</w:t>
            </w:r>
          </w:p>
        </w:tc>
        <w:tc>
          <w:tcPr>
            <w:tcW w:w="2062" w:type="dxa"/>
            <w:tcBorders>
              <w:tl2br w:val="nil"/>
              <w:tr2bl w:val="nil"/>
            </w:tcBorders>
            <w:vAlign w:val="center"/>
          </w:tcPr>
          <w:p w14:paraId="4CCB8E32">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rPr>
                <w:rFonts w:hint="eastAsia" w:ascii="黑体" w:hAnsi="黑体" w:eastAsia="黑体" w:cs="黑体"/>
                <w:b w:val="0"/>
                <w:bCs w:val="0"/>
                <w:spacing w:val="0"/>
                <w:sz w:val="24"/>
                <w:szCs w:val="24"/>
              </w:rPr>
            </w:pPr>
            <w:r>
              <w:rPr>
                <w:rFonts w:hint="eastAsia" w:ascii="黑体" w:hAnsi="黑体" w:eastAsia="黑体" w:cs="黑体"/>
                <w:b w:val="0"/>
                <w:bCs w:val="0"/>
                <w:spacing w:val="0"/>
                <w:sz w:val="24"/>
                <w:szCs w:val="24"/>
              </w:rPr>
              <w:t>行使范围</w:t>
            </w:r>
          </w:p>
        </w:tc>
      </w:tr>
      <w:tr w14:paraId="4193D1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28" w:type="dxa"/>
            <w:bottom w:w="28" w:type="dxa"/>
            <w:right w:w="28" w:type="dxa"/>
          </w:tblCellMar>
        </w:tblPrEx>
        <w:trPr>
          <w:trHeight w:val="1084" w:hRule="atLeast"/>
          <w:jc w:val="center"/>
        </w:trPr>
        <w:tc>
          <w:tcPr>
            <w:tcW w:w="691" w:type="dxa"/>
            <w:tcBorders>
              <w:tl2br w:val="nil"/>
              <w:tr2bl w:val="nil"/>
            </w:tcBorders>
            <w:vAlign w:val="center"/>
          </w:tcPr>
          <w:p w14:paraId="6E2D4DFB">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1</w:t>
            </w:r>
          </w:p>
        </w:tc>
        <w:tc>
          <w:tcPr>
            <w:tcW w:w="3244" w:type="dxa"/>
            <w:tcBorders>
              <w:tl2br w:val="nil"/>
              <w:tr2bl w:val="nil"/>
            </w:tcBorders>
            <w:vAlign w:val="center"/>
          </w:tcPr>
          <w:p w14:paraId="2E09C69F">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对擅自占用、挖掘公路的行政处罚</w:t>
            </w:r>
          </w:p>
        </w:tc>
        <w:tc>
          <w:tcPr>
            <w:tcW w:w="1226" w:type="dxa"/>
            <w:tcBorders>
              <w:tl2br w:val="nil"/>
              <w:tr2bl w:val="nil"/>
            </w:tcBorders>
            <w:vAlign w:val="center"/>
          </w:tcPr>
          <w:p w14:paraId="03E8FA88">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交通运输</w:t>
            </w:r>
          </w:p>
        </w:tc>
        <w:tc>
          <w:tcPr>
            <w:tcW w:w="2586" w:type="dxa"/>
            <w:tcBorders>
              <w:tl2br w:val="nil"/>
              <w:tr2bl w:val="nil"/>
            </w:tcBorders>
            <w:vAlign w:val="center"/>
          </w:tcPr>
          <w:p w14:paraId="18E56C6F">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《中华人民共和国公路法》：第四十四条第一款、第七十六条第一项</w:t>
            </w:r>
          </w:p>
        </w:tc>
        <w:tc>
          <w:tcPr>
            <w:tcW w:w="2062" w:type="dxa"/>
            <w:tcBorders>
              <w:tl2br w:val="nil"/>
              <w:tr2bl w:val="nil"/>
            </w:tcBorders>
            <w:vAlign w:val="center"/>
          </w:tcPr>
          <w:p w14:paraId="5E59FFF1">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乡道</w:t>
            </w:r>
          </w:p>
        </w:tc>
      </w:tr>
      <w:tr w14:paraId="0E73E7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28" w:type="dxa"/>
            <w:bottom w:w="28" w:type="dxa"/>
            <w:right w:w="28" w:type="dxa"/>
          </w:tblCellMar>
        </w:tblPrEx>
        <w:trPr>
          <w:trHeight w:val="1284" w:hRule="atLeast"/>
          <w:jc w:val="center"/>
        </w:trPr>
        <w:tc>
          <w:tcPr>
            <w:tcW w:w="691" w:type="dxa"/>
            <w:tcBorders>
              <w:tl2br w:val="nil"/>
              <w:tr2bl w:val="nil"/>
            </w:tcBorders>
            <w:vAlign w:val="center"/>
          </w:tcPr>
          <w:p w14:paraId="340ECE27">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2</w:t>
            </w:r>
          </w:p>
        </w:tc>
        <w:tc>
          <w:tcPr>
            <w:tcW w:w="3244" w:type="dxa"/>
            <w:tcBorders>
              <w:tl2br w:val="nil"/>
              <w:tr2bl w:val="nil"/>
            </w:tcBorders>
            <w:vAlign w:val="center"/>
          </w:tcPr>
          <w:p w14:paraId="66228BC0">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对铁轮车、履带车和其他可能损害路面的机具擅自在公路上行驶的行政处罚</w:t>
            </w:r>
          </w:p>
        </w:tc>
        <w:tc>
          <w:tcPr>
            <w:tcW w:w="1226" w:type="dxa"/>
            <w:tcBorders>
              <w:tl2br w:val="nil"/>
              <w:tr2bl w:val="nil"/>
            </w:tcBorders>
            <w:vAlign w:val="center"/>
          </w:tcPr>
          <w:p w14:paraId="2DABD1E9">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交通运输</w:t>
            </w:r>
          </w:p>
        </w:tc>
        <w:tc>
          <w:tcPr>
            <w:tcW w:w="2586" w:type="dxa"/>
            <w:tcBorders>
              <w:tl2br w:val="nil"/>
              <w:tr2bl w:val="nil"/>
            </w:tcBorders>
            <w:vAlign w:val="center"/>
          </w:tcPr>
          <w:p w14:paraId="17725DC6">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《中华人民共和国公路法》：第四十八条、第七十六条第四项</w:t>
            </w:r>
          </w:p>
        </w:tc>
        <w:tc>
          <w:tcPr>
            <w:tcW w:w="2062" w:type="dxa"/>
            <w:tcBorders>
              <w:tl2br w:val="nil"/>
              <w:tr2bl w:val="nil"/>
            </w:tcBorders>
            <w:vAlign w:val="center"/>
          </w:tcPr>
          <w:p w14:paraId="257946E0">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乡道</w:t>
            </w:r>
          </w:p>
        </w:tc>
      </w:tr>
      <w:tr w14:paraId="0B7921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28" w:type="dxa"/>
            <w:bottom w:w="28" w:type="dxa"/>
            <w:right w:w="28" w:type="dxa"/>
          </w:tblCellMar>
        </w:tblPrEx>
        <w:trPr>
          <w:trHeight w:val="1747" w:hRule="atLeast"/>
          <w:jc w:val="center"/>
        </w:trPr>
        <w:tc>
          <w:tcPr>
            <w:tcW w:w="691" w:type="dxa"/>
            <w:tcBorders>
              <w:tl2br w:val="nil"/>
              <w:tr2bl w:val="nil"/>
            </w:tcBorders>
            <w:vAlign w:val="center"/>
          </w:tcPr>
          <w:p w14:paraId="4C812B89">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3</w:t>
            </w:r>
          </w:p>
        </w:tc>
        <w:tc>
          <w:tcPr>
            <w:tcW w:w="3244" w:type="dxa"/>
            <w:tcBorders>
              <w:tl2br w:val="nil"/>
              <w:tr2bl w:val="nil"/>
            </w:tcBorders>
            <w:vAlign w:val="center"/>
          </w:tcPr>
          <w:p w14:paraId="55B42F66">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对损坏、移动、涂改公路附属设施或者损坏、挪动建筑控制区的标桩、界桩，可能危及公路安全的行政处罚</w:t>
            </w:r>
          </w:p>
        </w:tc>
        <w:tc>
          <w:tcPr>
            <w:tcW w:w="1226" w:type="dxa"/>
            <w:tcBorders>
              <w:tl2br w:val="nil"/>
              <w:tr2bl w:val="nil"/>
            </w:tcBorders>
            <w:vAlign w:val="center"/>
          </w:tcPr>
          <w:p w14:paraId="63009A33">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交通运输</w:t>
            </w:r>
          </w:p>
        </w:tc>
        <w:tc>
          <w:tcPr>
            <w:tcW w:w="2586" w:type="dxa"/>
            <w:tcBorders>
              <w:tl2br w:val="nil"/>
              <w:tr2bl w:val="nil"/>
            </w:tcBorders>
            <w:vAlign w:val="center"/>
          </w:tcPr>
          <w:p w14:paraId="4BD22C62">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《中华人民共和国公路法》：第五十二条、第五十六条第三款、第七十六条第六项</w:t>
            </w:r>
          </w:p>
        </w:tc>
        <w:tc>
          <w:tcPr>
            <w:tcW w:w="2062" w:type="dxa"/>
            <w:tcBorders>
              <w:tl2br w:val="nil"/>
              <w:tr2bl w:val="nil"/>
            </w:tcBorders>
            <w:vAlign w:val="center"/>
          </w:tcPr>
          <w:p w14:paraId="1EA9A8E0">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乡道</w:t>
            </w:r>
          </w:p>
        </w:tc>
      </w:tr>
      <w:tr w14:paraId="2AF5D0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28" w:type="dxa"/>
            <w:bottom w:w="28" w:type="dxa"/>
            <w:right w:w="28" w:type="dxa"/>
          </w:tblCellMar>
        </w:tblPrEx>
        <w:trPr>
          <w:trHeight w:val="2431" w:hRule="atLeast"/>
          <w:jc w:val="center"/>
        </w:trPr>
        <w:tc>
          <w:tcPr>
            <w:tcW w:w="691" w:type="dxa"/>
            <w:tcBorders>
              <w:tl2br w:val="nil"/>
              <w:tr2bl w:val="nil"/>
            </w:tcBorders>
            <w:vAlign w:val="center"/>
          </w:tcPr>
          <w:p w14:paraId="4951BADC">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4</w:t>
            </w:r>
          </w:p>
        </w:tc>
        <w:tc>
          <w:tcPr>
            <w:tcW w:w="3244" w:type="dxa"/>
            <w:tcBorders>
              <w:tl2br w:val="nil"/>
              <w:tr2bl w:val="nil"/>
            </w:tcBorders>
            <w:vAlign w:val="center"/>
          </w:tcPr>
          <w:p w14:paraId="02848F7B">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对在公路上及公路用地范围内摆摊设点、堆放物品、倾倒垃圾、设置障碍、挖沟引水、利用公路边沟排放污物或者进行其他损坏、污染公路和影响公路畅通的活动的行政处罚</w:t>
            </w:r>
          </w:p>
        </w:tc>
        <w:tc>
          <w:tcPr>
            <w:tcW w:w="1226" w:type="dxa"/>
            <w:tcBorders>
              <w:tl2br w:val="nil"/>
              <w:tr2bl w:val="nil"/>
            </w:tcBorders>
            <w:vAlign w:val="center"/>
          </w:tcPr>
          <w:p w14:paraId="66F5C262">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交通运输</w:t>
            </w:r>
          </w:p>
        </w:tc>
        <w:tc>
          <w:tcPr>
            <w:tcW w:w="2586" w:type="dxa"/>
            <w:tcBorders>
              <w:tl2br w:val="nil"/>
              <w:tr2bl w:val="nil"/>
            </w:tcBorders>
            <w:vAlign w:val="center"/>
          </w:tcPr>
          <w:p w14:paraId="188C2472">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《中华人民共和国公路法》：第四十六条、第七十七条</w:t>
            </w:r>
          </w:p>
          <w:p w14:paraId="07FAAFD3">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《河南省农村公路条例》：第四十一条、第五十五条</w:t>
            </w:r>
          </w:p>
        </w:tc>
        <w:tc>
          <w:tcPr>
            <w:tcW w:w="2062" w:type="dxa"/>
            <w:tcBorders>
              <w:tl2br w:val="nil"/>
              <w:tr2bl w:val="nil"/>
            </w:tcBorders>
            <w:vAlign w:val="center"/>
          </w:tcPr>
          <w:p w14:paraId="07C577C9">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乡道、村道</w:t>
            </w:r>
          </w:p>
        </w:tc>
      </w:tr>
      <w:tr w14:paraId="24B42E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28" w:type="dxa"/>
            <w:bottom w:w="28" w:type="dxa"/>
            <w:right w:w="28" w:type="dxa"/>
          </w:tblCellMar>
        </w:tblPrEx>
        <w:trPr>
          <w:trHeight w:val="1352" w:hRule="atLeast"/>
          <w:jc w:val="center"/>
        </w:trPr>
        <w:tc>
          <w:tcPr>
            <w:tcW w:w="691" w:type="dxa"/>
            <w:tcBorders>
              <w:tl2br w:val="nil"/>
              <w:tr2bl w:val="nil"/>
            </w:tcBorders>
            <w:vAlign w:val="center"/>
          </w:tcPr>
          <w:p w14:paraId="185FAED3">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5</w:t>
            </w:r>
          </w:p>
        </w:tc>
        <w:tc>
          <w:tcPr>
            <w:tcW w:w="3244" w:type="dxa"/>
            <w:tcBorders>
              <w:tl2br w:val="nil"/>
              <w:tr2bl w:val="nil"/>
            </w:tcBorders>
            <w:vAlign w:val="center"/>
          </w:tcPr>
          <w:p w14:paraId="79A4D0A1">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对造成公路损坏未报告的行政处罚</w:t>
            </w:r>
          </w:p>
        </w:tc>
        <w:tc>
          <w:tcPr>
            <w:tcW w:w="1226" w:type="dxa"/>
            <w:tcBorders>
              <w:tl2br w:val="nil"/>
              <w:tr2bl w:val="nil"/>
            </w:tcBorders>
            <w:vAlign w:val="center"/>
          </w:tcPr>
          <w:p w14:paraId="418CFD3D">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交通运输</w:t>
            </w:r>
          </w:p>
        </w:tc>
        <w:tc>
          <w:tcPr>
            <w:tcW w:w="2586" w:type="dxa"/>
            <w:tcBorders>
              <w:tl2br w:val="nil"/>
              <w:tr2bl w:val="nil"/>
            </w:tcBorders>
            <w:vAlign w:val="center"/>
          </w:tcPr>
          <w:p w14:paraId="233E2895">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《中华人民共和国公路法》：第五十三条、第七十八条</w:t>
            </w:r>
          </w:p>
        </w:tc>
        <w:tc>
          <w:tcPr>
            <w:tcW w:w="2062" w:type="dxa"/>
            <w:tcBorders>
              <w:tl2br w:val="nil"/>
              <w:tr2bl w:val="nil"/>
            </w:tcBorders>
            <w:vAlign w:val="center"/>
          </w:tcPr>
          <w:p w14:paraId="028056FC">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乡道</w:t>
            </w:r>
          </w:p>
        </w:tc>
      </w:tr>
      <w:tr w14:paraId="7EB31A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28" w:type="dxa"/>
            <w:bottom w:w="28" w:type="dxa"/>
            <w:right w:w="28" w:type="dxa"/>
          </w:tblCellMar>
        </w:tblPrEx>
        <w:trPr>
          <w:trHeight w:val="1024" w:hRule="atLeast"/>
          <w:jc w:val="center"/>
        </w:trPr>
        <w:tc>
          <w:tcPr>
            <w:tcW w:w="691" w:type="dxa"/>
            <w:tcBorders>
              <w:tl2br w:val="nil"/>
              <w:tr2bl w:val="nil"/>
            </w:tcBorders>
            <w:vAlign w:val="center"/>
          </w:tcPr>
          <w:p w14:paraId="4EFEAB94">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6</w:t>
            </w:r>
          </w:p>
        </w:tc>
        <w:tc>
          <w:tcPr>
            <w:tcW w:w="3244" w:type="dxa"/>
            <w:tcBorders>
              <w:tl2br w:val="nil"/>
              <w:tr2bl w:val="nil"/>
            </w:tcBorders>
            <w:vAlign w:val="center"/>
          </w:tcPr>
          <w:p w14:paraId="51640783">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对未经批准在公路上增设平面交叉道口的行政处罚</w:t>
            </w:r>
          </w:p>
        </w:tc>
        <w:tc>
          <w:tcPr>
            <w:tcW w:w="1226" w:type="dxa"/>
            <w:tcBorders>
              <w:tl2br w:val="nil"/>
              <w:tr2bl w:val="nil"/>
            </w:tcBorders>
            <w:vAlign w:val="center"/>
          </w:tcPr>
          <w:p w14:paraId="4FE01940">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交通运输</w:t>
            </w:r>
          </w:p>
        </w:tc>
        <w:tc>
          <w:tcPr>
            <w:tcW w:w="2586" w:type="dxa"/>
            <w:tcBorders>
              <w:tl2br w:val="nil"/>
              <w:tr2bl w:val="nil"/>
            </w:tcBorders>
            <w:vAlign w:val="center"/>
          </w:tcPr>
          <w:p w14:paraId="742EBBFC">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《中华人民共和国公路法》：第五十五条、第八十条</w:t>
            </w:r>
          </w:p>
        </w:tc>
        <w:tc>
          <w:tcPr>
            <w:tcW w:w="2062" w:type="dxa"/>
            <w:tcBorders>
              <w:tl2br w:val="nil"/>
              <w:tr2bl w:val="nil"/>
            </w:tcBorders>
            <w:vAlign w:val="center"/>
          </w:tcPr>
          <w:p w14:paraId="6D69EEAB">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乡道</w:t>
            </w:r>
          </w:p>
        </w:tc>
      </w:tr>
      <w:tr w14:paraId="1FBC61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28" w:type="dxa"/>
            <w:bottom w:w="28" w:type="dxa"/>
            <w:right w:w="28" w:type="dxa"/>
          </w:tblCellMar>
        </w:tblPrEx>
        <w:trPr>
          <w:trHeight w:val="1307" w:hRule="atLeast"/>
          <w:jc w:val="center"/>
        </w:trPr>
        <w:tc>
          <w:tcPr>
            <w:tcW w:w="691" w:type="dxa"/>
            <w:tcBorders>
              <w:tl2br w:val="nil"/>
              <w:tr2bl w:val="nil"/>
            </w:tcBorders>
            <w:vAlign w:val="center"/>
          </w:tcPr>
          <w:p w14:paraId="53EE9258">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7</w:t>
            </w:r>
          </w:p>
        </w:tc>
        <w:tc>
          <w:tcPr>
            <w:tcW w:w="3244" w:type="dxa"/>
            <w:tcBorders>
              <w:tl2br w:val="nil"/>
              <w:tr2bl w:val="nil"/>
            </w:tcBorders>
            <w:vAlign w:val="center"/>
          </w:tcPr>
          <w:p w14:paraId="39FB668E">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对在公路建筑控制区内修建建筑物、地面构筑物或者擅自埋设管线、电缆等设施的行政处罚</w:t>
            </w:r>
          </w:p>
        </w:tc>
        <w:tc>
          <w:tcPr>
            <w:tcW w:w="1226" w:type="dxa"/>
            <w:tcBorders>
              <w:tl2br w:val="nil"/>
              <w:tr2bl w:val="nil"/>
            </w:tcBorders>
            <w:vAlign w:val="center"/>
          </w:tcPr>
          <w:p w14:paraId="7C5C27BB">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交通运输</w:t>
            </w:r>
          </w:p>
        </w:tc>
        <w:tc>
          <w:tcPr>
            <w:tcW w:w="2586" w:type="dxa"/>
            <w:tcBorders>
              <w:tl2br w:val="nil"/>
              <w:tr2bl w:val="nil"/>
            </w:tcBorders>
            <w:vAlign w:val="center"/>
          </w:tcPr>
          <w:p w14:paraId="17EC3D5D">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《中华人民共和国公路法》：第五十六条第一款、第八十一条</w:t>
            </w:r>
          </w:p>
        </w:tc>
        <w:tc>
          <w:tcPr>
            <w:tcW w:w="2062" w:type="dxa"/>
            <w:tcBorders>
              <w:tl2br w:val="nil"/>
              <w:tr2bl w:val="nil"/>
            </w:tcBorders>
            <w:vAlign w:val="center"/>
          </w:tcPr>
          <w:p w14:paraId="76EE2311">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p>
        </w:tc>
      </w:tr>
      <w:tr w14:paraId="381AE8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28" w:type="dxa"/>
            <w:bottom w:w="28" w:type="dxa"/>
            <w:right w:w="28" w:type="dxa"/>
          </w:tblCellMar>
        </w:tblPrEx>
        <w:trPr>
          <w:trHeight w:val="1770" w:hRule="atLeast"/>
          <w:jc w:val="center"/>
        </w:trPr>
        <w:tc>
          <w:tcPr>
            <w:tcW w:w="691" w:type="dxa"/>
            <w:tcBorders>
              <w:tl2br w:val="nil"/>
              <w:tr2bl w:val="nil"/>
            </w:tcBorders>
            <w:vAlign w:val="center"/>
          </w:tcPr>
          <w:p w14:paraId="23A03C3A">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8</w:t>
            </w:r>
          </w:p>
        </w:tc>
        <w:tc>
          <w:tcPr>
            <w:tcW w:w="3244" w:type="dxa"/>
            <w:tcBorders>
              <w:tl2br w:val="nil"/>
              <w:tr2bl w:val="nil"/>
            </w:tcBorders>
            <w:vAlign w:val="center"/>
          </w:tcPr>
          <w:p w14:paraId="248EDE70">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对在公路建筑控制区外修建的建筑物、地面构筑物以及其他设施遮挡公路标志或者妨碍安全视距的行政处罚</w:t>
            </w:r>
          </w:p>
        </w:tc>
        <w:tc>
          <w:tcPr>
            <w:tcW w:w="1226" w:type="dxa"/>
            <w:tcBorders>
              <w:tl2br w:val="nil"/>
              <w:tr2bl w:val="nil"/>
            </w:tcBorders>
            <w:vAlign w:val="center"/>
          </w:tcPr>
          <w:p w14:paraId="6767B1BA">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交通运输</w:t>
            </w:r>
          </w:p>
        </w:tc>
        <w:tc>
          <w:tcPr>
            <w:tcW w:w="2586" w:type="dxa"/>
            <w:tcBorders>
              <w:tl2br w:val="nil"/>
              <w:tr2bl w:val="nil"/>
            </w:tcBorders>
            <w:vAlign w:val="center"/>
          </w:tcPr>
          <w:p w14:paraId="00E5930B">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《公路安全保护条例》(国务院令第593号)：第十三条第二款、第五十六条第二项</w:t>
            </w:r>
          </w:p>
        </w:tc>
        <w:tc>
          <w:tcPr>
            <w:tcW w:w="2062" w:type="dxa"/>
            <w:tcBorders>
              <w:tl2br w:val="nil"/>
              <w:tr2bl w:val="nil"/>
            </w:tcBorders>
            <w:vAlign w:val="center"/>
          </w:tcPr>
          <w:p w14:paraId="0F79644F">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乡道</w:t>
            </w:r>
          </w:p>
        </w:tc>
      </w:tr>
      <w:tr w14:paraId="4EC469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28" w:type="dxa"/>
            <w:bottom w:w="28" w:type="dxa"/>
            <w:right w:w="28" w:type="dxa"/>
          </w:tblCellMar>
        </w:tblPrEx>
        <w:trPr>
          <w:trHeight w:val="1239" w:hRule="atLeast"/>
          <w:jc w:val="center"/>
        </w:trPr>
        <w:tc>
          <w:tcPr>
            <w:tcW w:w="691" w:type="dxa"/>
            <w:tcBorders>
              <w:tl2br w:val="nil"/>
              <w:tr2bl w:val="nil"/>
            </w:tcBorders>
            <w:vAlign w:val="center"/>
          </w:tcPr>
          <w:p w14:paraId="79DBAEFC">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9</w:t>
            </w:r>
          </w:p>
        </w:tc>
        <w:tc>
          <w:tcPr>
            <w:tcW w:w="3244" w:type="dxa"/>
            <w:tcBorders>
              <w:tl2br w:val="nil"/>
              <w:tr2bl w:val="nil"/>
            </w:tcBorders>
            <w:vAlign w:val="center"/>
          </w:tcPr>
          <w:p w14:paraId="6B88BF2E">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对涉路工程设施影响公路完好、安全和畅通的行政处罚</w:t>
            </w:r>
          </w:p>
        </w:tc>
        <w:tc>
          <w:tcPr>
            <w:tcW w:w="1226" w:type="dxa"/>
            <w:tcBorders>
              <w:tl2br w:val="nil"/>
              <w:tr2bl w:val="nil"/>
            </w:tcBorders>
            <w:vAlign w:val="center"/>
          </w:tcPr>
          <w:p w14:paraId="324CF605">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交通运输</w:t>
            </w:r>
          </w:p>
        </w:tc>
        <w:tc>
          <w:tcPr>
            <w:tcW w:w="2586" w:type="dxa"/>
            <w:tcBorders>
              <w:tl2br w:val="nil"/>
              <w:tr2bl w:val="nil"/>
            </w:tcBorders>
            <w:vAlign w:val="center"/>
          </w:tcPr>
          <w:p w14:paraId="170BCDB1">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《公路安全保护条例》(国务院令第593号)：第二十九条第三款、第六十条第二项</w:t>
            </w:r>
          </w:p>
        </w:tc>
        <w:tc>
          <w:tcPr>
            <w:tcW w:w="2062" w:type="dxa"/>
            <w:tcBorders>
              <w:tl2br w:val="nil"/>
              <w:tr2bl w:val="nil"/>
            </w:tcBorders>
            <w:vAlign w:val="center"/>
          </w:tcPr>
          <w:p w14:paraId="54AB5F83">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乡道</w:t>
            </w:r>
          </w:p>
        </w:tc>
      </w:tr>
      <w:tr w14:paraId="0B8AFD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28" w:type="dxa"/>
            <w:bottom w:w="28" w:type="dxa"/>
            <w:right w:w="28" w:type="dxa"/>
          </w:tblCellMar>
        </w:tblPrEx>
        <w:trPr>
          <w:trHeight w:val="1366" w:hRule="atLeast"/>
          <w:jc w:val="center"/>
        </w:trPr>
        <w:tc>
          <w:tcPr>
            <w:tcW w:w="691" w:type="dxa"/>
            <w:tcBorders>
              <w:tl2br w:val="nil"/>
              <w:tr2bl w:val="nil"/>
            </w:tcBorders>
            <w:vAlign w:val="center"/>
          </w:tcPr>
          <w:p w14:paraId="162B43A9">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10</w:t>
            </w:r>
          </w:p>
        </w:tc>
        <w:tc>
          <w:tcPr>
            <w:tcW w:w="3244" w:type="dxa"/>
            <w:tcBorders>
              <w:tl2br w:val="nil"/>
              <w:tr2bl w:val="nil"/>
            </w:tcBorders>
            <w:vAlign w:val="center"/>
          </w:tcPr>
          <w:p w14:paraId="73DA45AE">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对擅自占用、挖掘村道的行政处罚</w:t>
            </w:r>
          </w:p>
        </w:tc>
        <w:tc>
          <w:tcPr>
            <w:tcW w:w="1226" w:type="dxa"/>
            <w:tcBorders>
              <w:tl2br w:val="nil"/>
              <w:tr2bl w:val="nil"/>
            </w:tcBorders>
            <w:vAlign w:val="center"/>
          </w:tcPr>
          <w:p w14:paraId="6C975C23">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交通运输</w:t>
            </w:r>
          </w:p>
        </w:tc>
        <w:tc>
          <w:tcPr>
            <w:tcW w:w="2586" w:type="dxa"/>
            <w:tcBorders>
              <w:tl2br w:val="nil"/>
              <w:tr2bl w:val="nil"/>
            </w:tcBorders>
            <w:vAlign w:val="center"/>
          </w:tcPr>
          <w:p w14:paraId="441A3F33">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《河南省农村公路条例》：第三十九条第一款、第五十三条第一项</w:t>
            </w:r>
          </w:p>
        </w:tc>
        <w:tc>
          <w:tcPr>
            <w:tcW w:w="2062" w:type="dxa"/>
            <w:tcBorders>
              <w:tl2br w:val="nil"/>
              <w:tr2bl w:val="nil"/>
            </w:tcBorders>
            <w:vAlign w:val="center"/>
          </w:tcPr>
          <w:p w14:paraId="15A2ECF1">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p>
        </w:tc>
      </w:tr>
      <w:tr w14:paraId="280315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28" w:type="dxa"/>
            <w:bottom w:w="28" w:type="dxa"/>
            <w:right w:w="28" w:type="dxa"/>
          </w:tblCellMar>
        </w:tblPrEx>
        <w:trPr>
          <w:trHeight w:val="1426" w:hRule="atLeast"/>
          <w:jc w:val="center"/>
        </w:trPr>
        <w:tc>
          <w:tcPr>
            <w:tcW w:w="691" w:type="dxa"/>
            <w:tcBorders>
              <w:tl2br w:val="nil"/>
              <w:tr2bl w:val="nil"/>
            </w:tcBorders>
            <w:vAlign w:val="center"/>
          </w:tcPr>
          <w:p w14:paraId="39660EDC">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11</w:t>
            </w:r>
          </w:p>
        </w:tc>
        <w:tc>
          <w:tcPr>
            <w:tcW w:w="3244" w:type="dxa"/>
            <w:tcBorders>
              <w:tl2br w:val="nil"/>
              <w:tr2bl w:val="nil"/>
            </w:tcBorders>
            <w:vAlign w:val="center"/>
          </w:tcPr>
          <w:p w14:paraId="540F3416">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对铁轮车、履带车和其他可能损害公路路面的机具或者车辆擅自在村道上行驶的行政处罚</w:t>
            </w:r>
          </w:p>
        </w:tc>
        <w:tc>
          <w:tcPr>
            <w:tcW w:w="1226" w:type="dxa"/>
            <w:tcBorders>
              <w:tl2br w:val="nil"/>
              <w:tr2bl w:val="nil"/>
            </w:tcBorders>
            <w:vAlign w:val="center"/>
          </w:tcPr>
          <w:p w14:paraId="6C0FA846">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交通运输</w:t>
            </w:r>
          </w:p>
        </w:tc>
        <w:tc>
          <w:tcPr>
            <w:tcW w:w="2586" w:type="dxa"/>
            <w:tcBorders>
              <w:tl2br w:val="nil"/>
              <w:tr2bl w:val="nil"/>
            </w:tcBorders>
            <w:vAlign w:val="center"/>
          </w:tcPr>
          <w:p w14:paraId="5CEE2FA9">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《河南省农村公路条例》：第四十五条、第五十三条第四项</w:t>
            </w:r>
          </w:p>
        </w:tc>
        <w:tc>
          <w:tcPr>
            <w:tcW w:w="2062" w:type="dxa"/>
            <w:tcBorders>
              <w:tl2br w:val="nil"/>
              <w:tr2bl w:val="nil"/>
            </w:tcBorders>
            <w:vAlign w:val="center"/>
          </w:tcPr>
          <w:p w14:paraId="7E5DE039">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p>
        </w:tc>
      </w:tr>
      <w:tr w14:paraId="1DFBFA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28" w:type="dxa"/>
            <w:bottom w:w="28" w:type="dxa"/>
            <w:right w:w="28" w:type="dxa"/>
          </w:tblCellMar>
        </w:tblPrEx>
        <w:trPr>
          <w:trHeight w:val="1425" w:hRule="atLeast"/>
          <w:jc w:val="center"/>
        </w:trPr>
        <w:tc>
          <w:tcPr>
            <w:tcW w:w="691" w:type="dxa"/>
            <w:tcBorders>
              <w:tl2br w:val="nil"/>
              <w:tr2bl w:val="nil"/>
            </w:tcBorders>
            <w:vAlign w:val="center"/>
          </w:tcPr>
          <w:p w14:paraId="41115878">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12</w:t>
            </w:r>
          </w:p>
        </w:tc>
        <w:tc>
          <w:tcPr>
            <w:tcW w:w="3244" w:type="dxa"/>
            <w:tcBorders>
              <w:tl2br w:val="nil"/>
              <w:tr2bl w:val="nil"/>
            </w:tcBorders>
            <w:vAlign w:val="center"/>
          </w:tcPr>
          <w:p w14:paraId="051637D7">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对损坏或者擅自移动、涂改村道附属设施和标志的行政处罚</w:t>
            </w:r>
          </w:p>
        </w:tc>
        <w:tc>
          <w:tcPr>
            <w:tcW w:w="1226" w:type="dxa"/>
            <w:tcBorders>
              <w:tl2br w:val="nil"/>
              <w:tr2bl w:val="nil"/>
            </w:tcBorders>
            <w:vAlign w:val="center"/>
          </w:tcPr>
          <w:p w14:paraId="0A2A37BD">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交通运输</w:t>
            </w:r>
          </w:p>
        </w:tc>
        <w:tc>
          <w:tcPr>
            <w:tcW w:w="2586" w:type="dxa"/>
            <w:tcBorders>
              <w:tl2br w:val="nil"/>
              <w:tr2bl w:val="nil"/>
            </w:tcBorders>
            <w:vAlign w:val="center"/>
          </w:tcPr>
          <w:p w14:paraId="16EE4EC4">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《河南省农村公路条例》：第四十六条第一款、第五十三条第六项</w:t>
            </w:r>
          </w:p>
        </w:tc>
        <w:tc>
          <w:tcPr>
            <w:tcW w:w="2062" w:type="dxa"/>
            <w:tcBorders>
              <w:tl2br w:val="nil"/>
              <w:tr2bl w:val="nil"/>
            </w:tcBorders>
            <w:vAlign w:val="center"/>
          </w:tcPr>
          <w:p w14:paraId="6A600D98">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p>
        </w:tc>
      </w:tr>
      <w:tr w14:paraId="7E7285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28" w:type="dxa"/>
            <w:bottom w:w="28" w:type="dxa"/>
            <w:right w:w="28" w:type="dxa"/>
          </w:tblCellMar>
        </w:tblPrEx>
        <w:trPr>
          <w:trHeight w:val="1408" w:hRule="atLeast"/>
          <w:jc w:val="center"/>
        </w:trPr>
        <w:tc>
          <w:tcPr>
            <w:tcW w:w="691" w:type="dxa"/>
            <w:tcBorders>
              <w:tl2br w:val="nil"/>
              <w:tr2bl w:val="nil"/>
            </w:tcBorders>
            <w:vAlign w:val="center"/>
          </w:tcPr>
          <w:p w14:paraId="2A24D216">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13</w:t>
            </w:r>
          </w:p>
        </w:tc>
        <w:tc>
          <w:tcPr>
            <w:tcW w:w="3244" w:type="dxa"/>
            <w:tcBorders>
              <w:tl2br w:val="nil"/>
              <w:tr2bl w:val="nil"/>
            </w:tcBorders>
            <w:vAlign w:val="center"/>
          </w:tcPr>
          <w:p w14:paraId="53C8694F">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对在村道公路建筑控制区内修建建筑物、构筑物或者擅自架设、埋设管线、电缆等设施的行政处罚</w:t>
            </w:r>
          </w:p>
        </w:tc>
        <w:tc>
          <w:tcPr>
            <w:tcW w:w="1226" w:type="dxa"/>
            <w:tcBorders>
              <w:tl2br w:val="nil"/>
              <w:tr2bl w:val="nil"/>
            </w:tcBorders>
            <w:vAlign w:val="center"/>
          </w:tcPr>
          <w:p w14:paraId="5EBD87E8">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交通运输</w:t>
            </w:r>
          </w:p>
        </w:tc>
        <w:tc>
          <w:tcPr>
            <w:tcW w:w="2586" w:type="dxa"/>
            <w:tcBorders>
              <w:tl2br w:val="nil"/>
              <w:tr2bl w:val="nil"/>
            </w:tcBorders>
            <w:vAlign w:val="center"/>
          </w:tcPr>
          <w:p w14:paraId="1F3B6717">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《河南省农村公路条例》：第四十三条、第五十四条第一款</w:t>
            </w:r>
          </w:p>
        </w:tc>
        <w:tc>
          <w:tcPr>
            <w:tcW w:w="2062" w:type="dxa"/>
            <w:tcBorders>
              <w:tl2br w:val="nil"/>
              <w:tr2bl w:val="nil"/>
            </w:tcBorders>
            <w:vAlign w:val="center"/>
          </w:tcPr>
          <w:p w14:paraId="2361A3C2">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p>
        </w:tc>
      </w:tr>
      <w:tr w14:paraId="05F50F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28" w:type="dxa"/>
            <w:bottom w:w="28" w:type="dxa"/>
            <w:right w:w="28" w:type="dxa"/>
          </w:tblCellMar>
        </w:tblPrEx>
        <w:trPr>
          <w:trHeight w:val="1085" w:hRule="atLeast"/>
          <w:jc w:val="center"/>
        </w:trPr>
        <w:tc>
          <w:tcPr>
            <w:tcW w:w="691" w:type="dxa"/>
            <w:tcBorders>
              <w:tl2br w:val="nil"/>
              <w:tr2bl w:val="nil"/>
            </w:tcBorders>
            <w:vAlign w:val="center"/>
          </w:tcPr>
          <w:p w14:paraId="00B47D73">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14</w:t>
            </w:r>
          </w:p>
        </w:tc>
        <w:tc>
          <w:tcPr>
            <w:tcW w:w="3244" w:type="dxa"/>
            <w:tcBorders>
              <w:tl2br w:val="nil"/>
              <w:tr2bl w:val="nil"/>
            </w:tcBorders>
            <w:vAlign w:val="center"/>
          </w:tcPr>
          <w:p w14:paraId="25465188">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对在农村集中供水管道上直接装泵抽水的行政处罚</w:t>
            </w:r>
          </w:p>
        </w:tc>
        <w:tc>
          <w:tcPr>
            <w:tcW w:w="1226" w:type="dxa"/>
            <w:tcBorders>
              <w:tl2br w:val="nil"/>
              <w:tr2bl w:val="nil"/>
            </w:tcBorders>
            <w:vAlign w:val="center"/>
          </w:tcPr>
          <w:p w14:paraId="348FC676">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水利</w:t>
            </w:r>
          </w:p>
        </w:tc>
        <w:tc>
          <w:tcPr>
            <w:tcW w:w="2586" w:type="dxa"/>
            <w:tcBorders>
              <w:tl2br w:val="nil"/>
              <w:tr2bl w:val="nil"/>
            </w:tcBorders>
            <w:vAlign w:val="center"/>
          </w:tcPr>
          <w:p w14:paraId="78F98467">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《河南省农村供水管理办法》(省政府令第223号)：第十七条、第三十七条第一项</w:t>
            </w:r>
          </w:p>
        </w:tc>
        <w:tc>
          <w:tcPr>
            <w:tcW w:w="2062" w:type="dxa"/>
            <w:tcBorders>
              <w:tl2br w:val="nil"/>
              <w:tr2bl w:val="nil"/>
            </w:tcBorders>
            <w:vAlign w:val="center"/>
          </w:tcPr>
          <w:p w14:paraId="5483C04F">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p>
        </w:tc>
      </w:tr>
      <w:tr w14:paraId="05BF71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28" w:type="dxa"/>
            <w:bottom w:w="28" w:type="dxa"/>
            <w:right w:w="28" w:type="dxa"/>
          </w:tblCellMar>
        </w:tblPrEx>
        <w:trPr>
          <w:trHeight w:val="1439" w:hRule="atLeast"/>
          <w:jc w:val="center"/>
        </w:trPr>
        <w:tc>
          <w:tcPr>
            <w:tcW w:w="691" w:type="dxa"/>
            <w:tcBorders>
              <w:tl2br w:val="nil"/>
              <w:tr2bl w:val="nil"/>
            </w:tcBorders>
            <w:vAlign w:val="center"/>
          </w:tcPr>
          <w:p w14:paraId="1D982A5C">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15</w:t>
            </w:r>
          </w:p>
        </w:tc>
        <w:tc>
          <w:tcPr>
            <w:tcW w:w="3244" w:type="dxa"/>
            <w:tcBorders>
              <w:tl2br w:val="nil"/>
              <w:tr2bl w:val="nil"/>
            </w:tcBorders>
            <w:vAlign w:val="center"/>
          </w:tcPr>
          <w:p w14:paraId="6B148D65">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对生产或者使用有毒、有害物质的单位将其生产、使用的用水管网与农村供水管网系统直接连接的行政处罚</w:t>
            </w:r>
          </w:p>
        </w:tc>
        <w:tc>
          <w:tcPr>
            <w:tcW w:w="1226" w:type="dxa"/>
            <w:tcBorders>
              <w:tl2br w:val="nil"/>
              <w:tr2bl w:val="nil"/>
            </w:tcBorders>
            <w:vAlign w:val="center"/>
          </w:tcPr>
          <w:p w14:paraId="7E536F45">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水利</w:t>
            </w:r>
          </w:p>
        </w:tc>
        <w:tc>
          <w:tcPr>
            <w:tcW w:w="2586" w:type="dxa"/>
            <w:tcBorders>
              <w:tl2br w:val="nil"/>
              <w:tr2bl w:val="nil"/>
            </w:tcBorders>
            <w:vAlign w:val="center"/>
          </w:tcPr>
          <w:p w14:paraId="73F90F7B">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《河南省农村供水管理办法》(省政府令第223号)：第十七条、第三十七条第二项</w:t>
            </w:r>
          </w:p>
        </w:tc>
        <w:tc>
          <w:tcPr>
            <w:tcW w:w="2062" w:type="dxa"/>
            <w:tcBorders>
              <w:tl2br w:val="nil"/>
              <w:tr2bl w:val="nil"/>
            </w:tcBorders>
            <w:vAlign w:val="center"/>
          </w:tcPr>
          <w:p w14:paraId="3CB1AE4B">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p>
        </w:tc>
      </w:tr>
      <w:tr w14:paraId="65BADF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28" w:type="dxa"/>
            <w:bottom w:w="28" w:type="dxa"/>
            <w:right w:w="28" w:type="dxa"/>
          </w:tblCellMar>
        </w:tblPrEx>
        <w:trPr>
          <w:trHeight w:val="1629" w:hRule="atLeast"/>
          <w:jc w:val="center"/>
        </w:trPr>
        <w:tc>
          <w:tcPr>
            <w:tcW w:w="691" w:type="dxa"/>
            <w:tcBorders>
              <w:tl2br w:val="nil"/>
              <w:tr2bl w:val="nil"/>
            </w:tcBorders>
            <w:vAlign w:val="center"/>
          </w:tcPr>
          <w:p w14:paraId="53B69BCF">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16</w:t>
            </w:r>
          </w:p>
        </w:tc>
        <w:tc>
          <w:tcPr>
            <w:tcW w:w="3244" w:type="dxa"/>
            <w:tcBorders>
              <w:tl2br w:val="nil"/>
              <w:tr2bl w:val="nil"/>
            </w:tcBorders>
            <w:vAlign w:val="center"/>
          </w:tcPr>
          <w:p w14:paraId="5E2F5BAA">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对移动、喷涂、覆盖、损坏农村供水工程界桩、公告牌等标识的行政处罚</w:t>
            </w:r>
          </w:p>
        </w:tc>
        <w:tc>
          <w:tcPr>
            <w:tcW w:w="1226" w:type="dxa"/>
            <w:tcBorders>
              <w:tl2br w:val="nil"/>
              <w:tr2bl w:val="nil"/>
            </w:tcBorders>
            <w:vAlign w:val="center"/>
          </w:tcPr>
          <w:p w14:paraId="22A6A6B0">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水利</w:t>
            </w:r>
          </w:p>
        </w:tc>
        <w:tc>
          <w:tcPr>
            <w:tcW w:w="2586" w:type="dxa"/>
            <w:tcBorders>
              <w:tl2br w:val="nil"/>
              <w:tr2bl w:val="nil"/>
            </w:tcBorders>
            <w:vAlign w:val="center"/>
          </w:tcPr>
          <w:p w14:paraId="498E64E8">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《河南省农村供水管理办法》(省政府令第223号)：第十五条、第三十七条第三项</w:t>
            </w:r>
          </w:p>
        </w:tc>
        <w:tc>
          <w:tcPr>
            <w:tcW w:w="2062" w:type="dxa"/>
            <w:tcBorders>
              <w:tl2br w:val="nil"/>
              <w:tr2bl w:val="nil"/>
            </w:tcBorders>
            <w:vAlign w:val="center"/>
          </w:tcPr>
          <w:p w14:paraId="0A356005">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p>
        </w:tc>
      </w:tr>
      <w:tr w14:paraId="6CF945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28" w:type="dxa"/>
            <w:bottom w:w="28" w:type="dxa"/>
            <w:right w:w="28" w:type="dxa"/>
          </w:tblCellMar>
        </w:tblPrEx>
        <w:trPr>
          <w:trHeight w:val="1373" w:hRule="atLeast"/>
          <w:jc w:val="center"/>
        </w:trPr>
        <w:tc>
          <w:tcPr>
            <w:tcW w:w="691" w:type="dxa"/>
            <w:tcBorders>
              <w:tl2br w:val="nil"/>
              <w:tr2bl w:val="nil"/>
            </w:tcBorders>
            <w:vAlign w:val="center"/>
          </w:tcPr>
          <w:p w14:paraId="496C1EFB">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17</w:t>
            </w:r>
          </w:p>
        </w:tc>
        <w:tc>
          <w:tcPr>
            <w:tcW w:w="3244" w:type="dxa"/>
            <w:tcBorders>
              <w:tl2br w:val="nil"/>
              <w:tr2bl w:val="nil"/>
            </w:tcBorders>
            <w:vAlign w:val="center"/>
          </w:tcPr>
          <w:p w14:paraId="5D084616">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对露天焚烧秸秆的行政处罚</w:t>
            </w:r>
          </w:p>
        </w:tc>
        <w:tc>
          <w:tcPr>
            <w:tcW w:w="1226" w:type="dxa"/>
            <w:tcBorders>
              <w:tl2br w:val="nil"/>
              <w:tr2bl w:val="nil"/>
            </w:tcBorders>
            <w:vAlign w:val="center"/>
          </w:tcPr>
          <w:p w14:paraId="1737BE52">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农业农村</w:t>
            </w:r>
          </w:p>
        </w:tc>
        <w:tc>
          <w:tcPr>
            <w:tcW w:w="2586" w:type="dxa"/>
            <w:tcBorders>
              <w:tl2br w:val="nil"/>
              <w:tr2bl w:val="nil"/>
            </w:tcBorders>
            <w:vAlign w:val="center"/>
          </w:tcPr>
          <w:p w14:paraId="53900547">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《河南省大气污染防治条例》：第五十四条第二款、第八十条</w:t>
            </w:r>
          </w:p>
        </w:tc>
        <w:tc>
          <w:tcPr>
            <w:tcW w:w="2062" w:type="dxa"/>
            <w:tcBorders>
              <w:tl2br w:val="nil"/>
              <w:tr2bl w:val="nil"/>
            </w:tcBorders>
            <w:vAlign w:val="center"/>
          </w:tcPr>
          <w:p w14:paraId="786043E8">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p>
        </w:tc>
      </w:tr>
      <w:tr w14:paraId="43D736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28" w:type="dxa"/>
            <w:bottom w:w="28" w:type="dxa"/>
            <w:right w:w="28" w:type="dxa"/>
          </w:tblCellMar>
        </w:tblPrEx>
        <w:trPr>
          <w:trHeight w:val="2002" w:hRule="atLeast"/>
          <w:jc w:val="center"/>
        </w:trPr>
        <w:tc>
          <w:tcPr>
            <w:tcW w:w="691" w:type="dxa"/>
            <w:tcBorders>
              <w:tl2br w:val="nil"/>
              <w:tr2bl w:val="nil"/>
            </w:tcBorders>
            <w:vAlign w:val="center"/>
          </w:tcPr>
          <w:p w14:paraId="2653DC90">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18</w:t>
            </w:r>
          </w:p>
        </w:tc>
        <w:tc>
          <w:tcPr>
            <w:tcW w:w="3244" w:type="dxa"/>
            <w:tcBorders>
              <w:tl2br w:val="nil"/>
              <w:tr2bl w:val="nil"/>
            </w:tcBorders>
            <w:vAlign w:val="center"/>
          </w:tcPr>
          <w:p w14:paraId="51AD2C42">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对消防设施、器材或者消防安全标志的配置、设置不符合国家标准、行业标准，或者未保持完好有效的行政处罚</w:t>
            </w:r>
          </w:p>
        </w:tc>
        <w:tc>
          <w:tcPr>
            <w:tcW w:w="1226" w:type="dxa"/>
            <w:tcBorders>
              <w:tl2br w:val="nil"/>
              <w:tr2bl w:val="nil"/>
            </w:tcBorders>
            <w:vAlign w:val="center"/>
          </w:tcPr>
          <w:p w14:paraId="7CF7CC5E">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消防救援</w:t>
            </w:r>
          </w:p>
        </w:tc>
        <w:tc>
          <w:tcPr>
            <w:tcW w:w="2586" w:type="dxa"/>
            <w:tcBorders>
              <w:tl2br w:val="nil"/>
              <w:tr2bl w:val="nil"/>
            </w:tcBorders>
            <w:vAlign w:val="center"/>
          </w:tcPr>
          <w:p w14:paraId="55AC8E75">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《中华人民共和国消防法》：第十六条第一款第二项、第六十条第一款第一项、第六十七条</w:t>
            </w:r>
          </w:p>
        </w:tc>
        <w:tc>
          <w:tcPr>
            <w:tcW w:w="2062" w:type="dxa"/>
            <w:tcBorders>
              <w:tl2br w:val="nil"/>
              <w:tr2bl w:val="nil"/>
            </w:tcBorders>
            <w:vAlign w:val="center"/>
          </w:tcPr>
          <w:p w14:paraId="0C8D3020">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洛阳市在乡镇(街道)行使消防救援行政处罚权的适用范围(2025年版)，不含伊滨区</w:t>
            </w:r>
          </w:p>
        </w:tc>
      </w:tr>
      <w:tr w14:paraId="447982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28" w:type="dxa"/>
            <w:bottom w:w="28" w:type="dxa"/>
            <w:right w:w="28" w:type="dxa"/>
          </w:tblCellMar>
        </w:tblPrEx>
        <w:trPr>
          <w:trHeight w:val="1504" w:hRule="atLeast"/>
          <w:jc w:val="center"/>
        </w:trPr>
        <w:tc>
          <w:tcPr>
            <w:tcW w:w="691" w:type="dxa"/>
            <w:tcBorders>
              <w:tl2br w:val="nil"/>
              <w:tr2bl w:val="nil"/>
            </w:tcBorders>
            <w:vAlign w:val="center"/>
          </w:tcPr>
          <w:p w14:paraId="35B7B3B5">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19</w:t>
            </w:r>
          </w:p>
        </w:tc>
        <w:tc>
          <w:tcPr>
            <w:tcW w:w="3244" w:type="dxa"/>
            <w:tcBorders>
              <w:tl2br w:val="nil"/>
              <w:tr2bl w:val="nil"/>
            </w:tcBorders>
            <w:vAlign w:val="center"/>
          </w:tcPr>
          <w:p w14:paraId="71BDBB43">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对损坏、挪用或者擅自拆除、停用消防设施、器材的行政处罚</w:t>
            </w:r>
          </w:p>
        </w:tc>
        <w:tc>
          <w:tcPr>
            <w:tcW w:w="1226" w:type="dxa"/>
            <w:tcBorders>
              <w:tl2br w:val="nil"/>
              <w:tr2bl w:val="nil"/>
            </w:tcBorders>
            <w:vAlign w:val="center"/>
          </w:tcPr>
          <w:p w14:paraId="1853C00C">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消防救援</w:t>
            </w:r>
          </w:p>
        </w:tc>
        <w:tc>
          <w:tcPr>
            <w:tcW w:w="2586" w:type="dxa"/>
            <w:tcBorders>
              <w:tl2br w:val="nil"/>
              <w:tr2bl w:val="nil"/>
            </w:tcBorders>
            <w:vAlign w:val="center"/>
          </w:tcPr>
          <w:p w14:paraId="04763EE0">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《中华人民共和国消防法》：第二十八条、第六十条第一款第二项、第六十条第二款</w:t>
            </w:r>
          </w:p>
        </w:tc>
        <w:tc>
          <w:tcPr>
            <w:tcW w:w="2062" w:type="dxa"/>
            <w:tcBorders>
              <w:tl2br w:val="nil"/>
              <w:tr2bl w:val="nil"/>
            </w:tcBorders>
            <w:vAlign w:val="center"/>
          </w:tcPr>
          <w:p w14:paraId="328A24BC">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洛阳市在乡镇(街道)行使消防救援行政处罚权的适用范围(2025年版)，不含伊滨区</w:t>
            </w:r>
          </w:p>
        </w:tc>
      </w:tr>
      <w:tr w14:paraId="0EEAE0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28" w:type="dxa"/>
            <w:bottom w:w="28" w:type="dxa"/>
            <w:right w:w="28" w:type="dxa"/>
          </w:tblCellMar>
        </w:tblPrEx>
        <w:trPr>
          <w:trHeight w:val="1505" w:hRule="atLeast"/>
          <w:jc w:val="center"/>
        </w:trPr>
        <w:tc>
          <w:tcPr>
            <w:tcW w:w="691" w:type="dxa"/>
            <w:tcBorders>
              <w:tl2br w:val="nil"/>
              <w:tr2bl w:val="nil"/>
            </w:tcBorders>
            <w:vAlign w:val="center"/>
          </w:tcPr>
          <w:p w14:paraId="77367DA7">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20</w:t>
            </w:r>
          </w:p>
        </w:tc>
        <w:tc>
          <w:tcPr>
            <w:tcW w:w="3244" w:type="dxa"/>
            <w:tcBorders>
              <w:tl2br w:val="nil"/>
              <w:tr2bl w:val="nil"/>
            </w:tcBorders>
            <w:vAlign w:val="center"/>
          </w:tcPr>
          <w:p w14:paraId="6CF83FEE">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对占用、堵塞、封闭疏散通道、安全出口或者有其他妨碍安全疏散行为的行政处罚</w:t>
            </w:r>
          </w:p>
        </w:tc>
        <w:tc>
          <w:tcPr>
            <w:tcW w:w="1226" w:type="dxa"/>
            <w:tcBorders>
              <w:tl2br w:val="nil"/>
              <w:tr2bl w:val="nil"/>
            </w:tcBorders>
            <w:vAlign w:val="center"/>
          </w:tcPr>
          <w:p w14:paraId="4B3F9689">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消防救援</w:t>
            </w:r>
          </w:p>
        </w:tc>
        <w:tc>
          <w:tcPr>
            <w:tcW w:w="2586" w:type="dxa"/>
            <w:tcBorders>
              <w:tl2br w:val="nil"/>
              <w:tr2bl w:val="nil"/>
            </w:tcBorders>
            <w:vAlign w:val="center"/>
          </w:tcPr>
          <w:p w14:paraId="03AEDF47">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《中华人民共和国消防法》：第十六条第一款第四项、第二十八条、第六十条第一款第三项、第六十条第二款、第六十七条</w:t>
            </w:r>
          </w:p>
        </w:tc>
        <w:tc>
          <w:tcPr>
            <w:tcW w:w="2062" w:type="dxa"/>
            <w:tcBorders>
              <w:tl2br w:val="nil"/>
              <w:tr2bl w:val="nil"/>
            </w:tcBorders>
            <w:vAlign w:val="center"/>
          </w:tcPr>
          <w:p w14:paraId="788E4E21">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洛阳市在乡镇(街道)行使消防救援行政处罚权的适用范围(2025年版)</w:t>
            </w:r>
          </w:p>
        </w:tc>
      </w:tr>
      <w:tr w14:paraId="4C3BE2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28" w:type="dxa"/>
            <w:bottom w:w="28" w:type="dxa"/>
            <w:right w:w="28" w:type="dxa"/>
          </w:tblCellMar>
        </w:tblPrEx>
        <w:trPr>
          <w:trHeight w:val="1504" w:hRule="atLeast"/>
          <w:jc w:val="center"/>
        </w:trPr>
        <w:tc>
          <w:tcPr>
            <w:tcW w:w="691" w:type="dxa"/>
            <w:tcBorders>
              <w:tl2br w:val="nil"/>
              <w:tr2bl w:val="nil"/>
            </w:tcBorders>
            <w:vAlign w:val="center"/>
          </w:tcPr>
          <w:p w14:paraId="562B239A">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21</w:t>
            </w:r>
          </w:p>
        </w:tc>
        <w:tc>
          <w:tcPr>
            <w:tcW w:w="3244" w:type="dxa"/>
            <w:tcBorders>
              <w:tl2br w:val="nil"/>
              <w:tr2bl w:val="nil"/>
            </w:tcBorders>
            <w:vAlign w:val="center"/>
          </w:tcPr>
          <w:p w14:paraId="30353271">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对占用、堵塞、封闭消防车通道，妨碍消防车通行的行政处罚</w:t>
            </w:r>
          </w:p>
        </w:tc>
        <w:tc>
          <w:tcPr>
            <w:tcW w:w="1226" w:type="dxa"/>
            <w:tcBorders>
              <w:tl2br w:val="nil"/>
              <w:tr2bl w:val="nil"/>
            </w:tcBorders>
            <w:vAlign w:val="center"/>
          </w:tcPr>
          <w:p w14:paraId="0594039C">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消防救援</w:t>
            </w:r>
          </w:p>
        </w:tc>
        <w:tc>
          <w:tcPr>
            <w:tcW w:w="2586" w:type="dxa"/>
            <w:tcBorders>
              <w:tl2br w:val="nil"/>
              <w:tr2bl w:val="nil"/>
            </w:tcBorders>
            <w:vAlign w:val="center"/>
          </w:tcPr>
          <w:p w14:paraId="1B43FD51">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《中华人民共和国消防法》：第十六条第一款第四项、第二十八条、第六十条第一款第五项、第六十条第二款、第六十七条</w:t>
            </w:r>
          </w:p>
        </w:tc>
        <w:tc>
          <w:tcPr>
            <w:tcW w:w="2062" w:type="dxa"/>
            <w:tcBorders>
              <w:tl2br w:val="nil"/>
              <w:tr2bl w:val="nil"/>
            </w:tcBorders>
            <w:vAlign w:val="center"/>
          </w:tcPr>
          <w:p w14:paraId="0FD94559">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洛阳市在乡镇(街道)行使消防救援行政处罚权的适用范围(2025年版)</w:t>
            </w:r>
          </w:p>
        </w:tc>
      </w:tr>
      <w:tr w14:paraId="5AEEE4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28" w:type="dxa"/>
            <w:bottom w:w="28" w:type="dxa"/>
            <w:right w:w="28" w:type="dxa"/>
          </w:tblCellMar>
        </w:tblPrEx>
        <w:trPr>
          <w:trHeight w:val="1651" w:hRule="atLeast"/>
          <w:jc w:val="center"/>
        </w:trPr>
        <w:tc>
          <w:tcPr>
            <w:tcW w:w="691" w:type="dxa"/>
            <w:tcBorders>
              <w:tl2br w:val="nil"/>
              <w:tr2bl w:val="nil"/>
            </w:tcBorders>
            <w:vAlign w:val="center"/>
          </w:tcPr>
          <w:p w14:paraId="5028197E">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22</w:t>
            </w:r>
          </w:p>
        </w:tc>
        <w:tc>
          <w:tcPr>
            <w:tcW w:w="3244" w:type="dxa"/>
            <w:tcBorders>
              <w:tl2br w:val="nil"/>
              <w:tr2bl w:val="nil"/>
            </w:tcBorders>
            <w:vAlign w:val="center"/>
          </w:tcPr>
          <w:p w14:paraId="24E43020">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对人员密集场所在门窗上设置影响逃生和灭火救援的障碍物的行政处罚</w:t>
            </w:r>
          </w:p>
        </w:tc>
        <w:tc>
          <w:tcPr>
            <w:tcW w:w="1226" w:type="dxa"/>
            <w:tcBorders>
              <w:tl2br w:val="nil"/>
              <w:tr2bl w:val="nil"/>
            </w:tcBorders>
            <w:vAlign w:val="center"/>
          </w:tcPr>
          <w:p w14:paraId="5BBF3A13">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消防救援</w:t>
            </w:r>
          </w:p>
        </w:tc>
        <w:tc>
          <w:tcPr>
            <w:tcW w:w="2586" w:type="dxa"/>
            <w:tcBorders>
              <w:tl2br w:val="nil"/>
              <w:tr2bl w:val="nil"/>
            </w:tcBorders>
            <w:vAlign w:val="center"/>
          </w:tcPr>
          <w:p w14:paraId="51E7EFE6">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《中华人民共和国消防法》：第二十八条、第六十条第一款第六项</w:t>
            </w:r>
          </w:p>
        </w:tc>
        <w:tc>
          <w:tcPr>
            <w:tcW w:w="2062" w:type="dxa"/>
            <w:tcBorders>
              <w:tl2br w:val="nil"/>
              <w:tr2bl w:val="nil"/>
            </w:tcBorders>
            <w:vAlign w:val="center"/>
          </w:tcPr>
          <w:p w14:paraId="0EED5167">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洛阳市在乡镇(街道)行使消防救援行政处罚权的适用范围(2025年版)</w:t>
            </w:r>
          </w:p>
        </w:tc>
      </w:tr>
      <w:tr w14:paraId="002A9D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28" w:type="dxa"/>
            <w:bottom w:w="28" w:type="dxa"/>
            <w:right w:w="28" w:type="dxa"/>
          </w:tblCellMar>
        </w:tblPrEx>
        <w:trPr>
          <w:trHeight w:val="1504" w:hRule="atLeast"/>
          <w:jc w:val="center"/>
        </w:trPr>
        <w:tc>
          <w:tcPr>
            <w:tcW w:w="691" w:type="dxa"/>
            <w:tcBorders>
              <w:tl2br w:val="nil"/>
              <w:tr2bl w:val="nil"/>
            </w:tcBorders>
            <w:vAlign w:val="center"/>
          </w:tcPr>
          <w:p w14:paraId="3B031199">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23</w:t>
            </w:r>
          </w:p>
        </w:tc>
        <w:tc>
          <w:tcPr>
            <w:tcW w:w="3244" w:type="dxa"/>
            <w:tcBorders>
              <w:tl2br w:val="nil"/>
              <w:tr2bl w:val="nil"/>
            </w:tcBorders>
            <w:vAlign w:val="center"/>
          </w:tcPr>
          <w:p w14:paraId="0E08A7D4">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对违反规定使用明火作业或者在具有火灾、爆炸危险的场所吸烟、使用明火的行政处罚</w:t>
            </w:r>
          </w:p>
        </w:tc>
        <w:tc>
          <w:tcPr>
            <w:tcW w:w="1226" w:type="dxa"/>
            <w:tcBorders>
              <w:tl2br w:val="nil"/>
              <w:tr2bl w:val="nil"/>
            </w:tcBorders>
            <w:vAlign w:val="center"/>
          </w:tcPr>
          <w:p w14:paraId="44D71060">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消防救援</w:t>
            </w:r>
          </w:p>
        </w:tc>
        <w:tc>
          <w:tcPr>
            <w:tcW w:w="2586" w:type="dxa"/>
            <w:tcBorders>
              <w:tl2br w:val="nil"/>
              <w:tr2bl w:val="nil"/>
            </w:tcBorders>
            <w:vAlign w:val="center"/>
          </w:tcPr>
          <w:p w14:paraId="34FCCD58">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《中华人民共和国消防法》：第二十一条第一款、第六十三条第二项</w:t>
            </w:r>
          </w:p>
        </w:tc>
        <w:tc>
          <w:tcPr>
            <w:tcW w:w="2062" w:type="dxa"/>
            <w:tcBorders>
              <w:tl2br w:val="nil"/>
              <w:tr2bl w:val="nil"/>
            </w:tcBorders>
            <w:vAlign w:val="center"/>
          </w:tcPr>
          <w:p w14:paraId="62DE0393">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洛阳市在乡镇(街道)行使消防救援行政处罚权的适用范围(2025年版)</w:t>
            </w:r>
          </w:p>
        </w:tc>
      </w:tr>
      <w:tr w14:paraId="531CEF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28" w:type="dxa"/>
            <w:bottom w:w="28" w:type="dxa"/>
            <w:right w:w="28" w:type="dxa"/>
          </w:tblCellMar>
        </w:tblPrEx>
        <w:trPr>
          <w:trHeight w:val="1505" w:hRule="atLeast"/>
          <w:jc w:val="center"/>
        </w:trPr>
        <w:tc>
          <w:tcPr>
            <w:tcW w:w="691" w:type="dxa"/>
            <w:tcBorders>
              <w:tl2br w:val="nil"/>
              <w:tr2bl w:val="nil"/>
            </w:tcBorders>
            <w:vAlign w:val="center"/>
          </w:tcPr>
          <w:p w14:paraId="03FC8BCC">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24</w:t>
            </w:r>
          </w:p>
        </w:tc>
        <w:tc>
          <w:tcPr>
            <w:tcW w:w="3244" w:type="dxa"/>
            <w:tcBorders>
              <w:tl2br w:val="nil"/>
              <w:tr2bl w:val="nil"/>
            </w:tcBorders>
            <w:vAlign w:val="center"/>
          </w:tcPr>
          <w:p w14:paraId="6A808EFD">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对未依法建立消防组织，进行有针对性的消防演练的行政处罚</w:t>
            </w:r>
          </w:p>
        </w:tc>
        <w:tc>
          <w:tcPr>
            <w:tcW w:w="1226" w:type="dxa"/>
            <w:tcBorders>
              <w:tl2br w:val="nil"/>
              <w:tr2bl w:val="nil"/>
            </w:tcBorders>
            <w:vAlign w:val="center"/>
          </w:tcPr>
          <w:p w14:paraId="40DD4898">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消防救援</w:t>
            </w:r>
          </w:p>
        </w:tc>
        <w:tc>
          <w:tcPr>
            <w:tcW w:w="2586" w:type="dxa"/>
            <w:tcBorders>
              <w:tl2br w:val="nil"/>
              <w:tr2bl w:val="nil"/>
            </w:tcBorders>
            <w:vAlign w:val="center"/>
          </w:tcPr>
          <w:p w14:paraId="68A2B90C">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《河南省消防条例》：第十三条第一款第六项、第七十条第二款</w:t>
            </w:r>
          </w:p>
        </w:tc>
        <w:tc>
          <w:tcPr>
            <w:tcW w:w="2062" w:type="dxa"/>
            <w:tcBorders>
              <w:tl2br w:val="nil"/>
              <w:tr2bl w:val="nil"/>
            </w:tcBorders>
            <w:vAlign w:val="center"/>
          </w:tcPr>
          <w:p w14:paraId="001CC4C6">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洛阳市在乡镇(街道)行使消防救援行政处罚权的适用范围(2025年版)</w:t>
            </w:r>
          </w:p>
        </w:tc>
      </w:tr>
      <w:tr w14:paraId="5A6663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28" w:type="dxa"/>
            <w:bottom w:w="28" w:type="dxa"/>
            <w:right w:w="28" w:type="dxa"/>
          </w:tblCellMar>
        </w:tblPrEx>
        <w:trPr>
          <w:trHeight w:val="1696" w:hRule="atLeast"/>
          <w:jc w:val="center"/>
        </w:trPr>
        <w:tc>
          <w:tcPr>
            <w:tcW w:w="691" w:type="dxa"/>
            <w:tcBorders>
              <w:tl2br w:val="nil"/>
              <w:tr2bl w:val="nil"/>
            </w:tcBorders>
            <w:vAlign w:val="center"/>
          </w:tcPr>
          <w:p w14:paraId="5256E141">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25</w:t>
            </w:r>
          </w:p>
        </w:tc>
        <w:tc>
          <w:tcPr>
            <w:tcW w:w="3244" w:type="dxa"/>
            <w:tcBorders>
              <w:tl2br w:val="nil"/>
              <w:tr2bl w:val="nil"/>
            </w:tcBorders>
            <w:vAlign w:val="center"/>
          </w:tcPr>
          <w:p w14:paraId="75C0F260">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对未开展消防宣传教育培训的行政处罚</w:t>
            </w:r>
          </w:p>
        </w:tc>
        <w:tc>
          <w:tcPr>
            <w:tcW w:w="1226" w:type="dxa"/>
            <w:tcBorders>
              <w:tl2br w:val="nil"/>
              <w:tr2bl w:val="nil"/>
            </w:tcBorders>
            <w:vAlign w:val="center"/>
          </w:tcPr>
          <w:p w14:paraId="4E7E9E7C">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消防救援</w:t>
            </w:r>
          </w:p>
        </w:tc>
        <w:tc>
          <w:tcPr>
            <w:tcW w:w="2586" w:type="dxa"/>
            <w:tcBorders>
              <w:tl2br w:val="nil"/>
              <w:tr2bl w:val="nil"/>
            </w:tcBorders>
            <w:vAlign w:val="center"/>
          </w:tcPr>
          <w:p w14:paraId="2CB23084">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《河南省消防条例》：第十三条第一款第七项、第七十条第二款</w:t>
            </w:r>
          </w:p>
        </w:tc>
        <w:tc>
          <w:tcPr>
            <w:tcW w:w="2062" w:type="dxa"/>
            <w:tcBorders>
              <w:tl2br w:val="nil"/>
              <w:tr2bl w:val="nil"/>
            </w:tcBorders>
            <w:vAlign w:val="center"/>
          </w:tcPr>
          <w:p w14:paraId="0F4DB538">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洛阳市在乡镇(街道)行使消防救援行政处罚权的适用范围(2025年版)</w:t>
            </w:r>
          </w:p>
        </w:tc>
      </w:tr>
      <w:tr w14:paraId="4F2E63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28" w:type="dxa"/>
            <w:bottom w:w="28" w:type="dxa"/>
            <w:right w:w="28" w:type="dxa"/>
          </w:tblCellMar>
        </w:tblPrEx>
        <w:trPr>
          <w:trHeight w:val="1944" w:hRule="atLeast"/>
          <w:jc w:val="center"/>
        </w:trPr>
        <w:tc>
          <w:tcPr>
            <w:tcW w:w="691" w:type="dxa"/>
            <w:tcBorders>
              <w:tl2br w:val="nil"/>
              <w:tr2bl w:val="nil"/>
            </w:tcBorders>
            <w:vAlign w:val="center"/>
          </w:tcPr>
          <w:p w14:paraId="4FB6B708">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26</w:t>
            </w:r>
          </w:p>
        </w:tc>
        <w:tc>
          <w:tcPr>
            <w:tcW w:w="3244" w:type="dxa"/>
            <w:tcBorders>
              <w:tl2br w:val="nil"/>
              <w:tr2bl w:val="nil"/>
            </w:tcBorders>
            <w:vAlign w:val="center"/>
          </w:tcPr>
          <w:p w14:paraId="41E6673D">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对在居住建筑物的公共走道、楼梯间、门厅内为电动自行车、电动三轮车充电，在城市建成区燃放孔明灯等携带明火且不可控制的空中飘移物的行政处罚</w:t>
            </w:r>
          </w:p>
        </w:tc>
        <w:tc>
          <w:tcPr>
            <w:tcW w:w="1226" w:type="dxa"/>
            <w:tcBorders>
              <w:tl2br w:val="nil"/>
              <w:tr2bl w:val="nil"/>
            </w:tcBorders>
            <w:vAlign w:val="center"/>
          </w:tcPr>
          <w:p w14:paraId="0129889A">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消防救援</w:t>
            </w:r>
          </w:p>
        </w:tc>
        <w:tc>
          <w:tcPr>
            <w:tcW w:w="2586" w:type="dxa"/>
            <w:tcBorders>
              <w:tl2br w:val="nil"/>
              <w:tr2bl w:val="nil"/>
            </w:tcBorders>
            <w:vAlign w:val="center"/>
          </w:tcPr>
          <w:p w14:paraId="25F2174A">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《河南省消防条例》：第十七条第二款、第三十四条第二款、第七十一条</w:t>
            </w:r>
          </w:p>
        </w:tc>
        <w:tc>
          <w:tcPr>
            <w:tcW w:w="2062" w:type="dxa"/>
            <w:tcBorders>
              <w:tl2br w:val="nil"/>
              <w:tr2bl w:val="nil"/>
            </w:tcBorders>
            <w:vAlign w:val="center"/>
          </w:tcPr>
          <w:p w14:paraId="4DB3A80C">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洛阳市在乡镇(街道)行使消防救援行政处罚权的适用范围(2025年版)</w:t>
            </w:r>
          </w:p>
        </w:tc>
      </w:tr>
      <w:tr w14:paraId="10FD01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28" w:type="dxa"/>
            <w:bottom w:w="28" w:type="dxa"/>
            <w:right w:w="28" w:type="dxa"/>
          </w:tblCellMar>
        </w:tblPrEx>
        <w:trPr>
          <w:trHeight w:val="90" w:hRule="atLeast"/>
          <w:jc w:val="center"/>
        </w:trPr>
        <w:tc>
          <w:tcPr>
            <w:tcW w:w="691" w:type="dxa"/>
            <w:tcBorders>
              <w:tl2br w:val="nil"/>
              <w:tr2bl w:val="nil"/>
            </w:tcBorders>
            <w:vAlign w:val="center"/>
          </w:tcPr>
          <w:p w14:paraId="405C4395">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27</w:t>
            </w:r>
          </w:p>
        </w:tc>
        <w:tc>
          <w:tcPr>
            <w:tcW w:w="3244" w:type="dxa"/>
            <w:tcBorders>
              <w:tl2br w:val="nil"/>
              <w:tr2bl w:val="nil"/>
            </w:tcBorders>
            <w:vAlign w:val="center"/>
          </w:tcPr>
          <w:p w14:paraId="385C1923">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对人员密集场所的安全出口、疏散通道使用影响疏散的镜面材料的行政处罚</w:t>
            </w:r>
          </w:p>
        </w:tc>
        <w:tc>
          <w:tcPr>
            <w:tcW w:w="1226" w:type="dxa"/>
            <w:tcBorders>
              <w:tl2br w:val="nil"/>
              <w:tr2bl w:val="nil"/>
            </w:tcBorders>
            <w:vAlign w:val="center"/>
          </w:tcPr>
          <w:p w14:paraId="67EB9842">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消防救援</w:t>
            </w:r>
          </w:p>
        </w:tc>
        <w:tc>
          <w:tcPr>
            <w:tcW w:w="2586" w:type="dxa"/>
            <w:tcBorders>
              <w:tl2br w:val="nil"/>
              <w:tr2bl w:val="nil"/>
            </w:tcBorders>
            <w:vAlign w:val="center"/>
          </w:tcPr>
          <w:p w14:paraId="1442DF7A">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《河南省消防条例》：第三十二条、第七十二条第二项</w:t>
            </w:r>
          </w:p>
        </w:tc>
        <w:tc>
          <w:tcPr>
            <w:tcW w:w="2062" w:type="dxa"/>
            <w:tcBorders>
              <w:tl2br w:val="nil"/>
              <w:tr2bl w:val="nil"/>
            </w:tcBorders>
            <w:vAlign w:val="center"/>
          </w:tcPr>
          <w:p w14:paraId="103F8A5B">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洛阳市在乡镇(街道)行使消防救援行政处罚权的适用范围(2025年版)</w:t>
            </w:r>
          </w:p>
        </w:tc>
      </w:tr>
      <w:tr w14:paraId="198DA0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28" w:type="dxa"/>
            <w:bottom w:w="28" w:type="dxa"/>
            <w:right w:w="28" w:type="dxa"/>
          </w:tblCellMar>
        </w:tblPrEx>
        <w:trPr>
          <w:trHeight w:val="1559" w:hRule="atLeast"/>
          <w:jc w:val="center"/>
        </w:trPr>
        <w:tc>
          <w:tcPr>
            <w:tcW w:w="691" w:type="dxa"/>
            <w:tcBorders>
              <w:tl2br w:val="nil"/>
              <w:tr2bl w:val="nil"/>
            </w:tcBorders>
            <w:vAlign w:val="center"/>
          </w:tcPr>
          <w:p w14:paraId="6788E69E">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28</w:t>
            </w:r>
          </w:p>
        </w:tc>
        <w:tc>
          <w:tcPr>
            <w:tcW w:w="3244" w:type="dxa"/>
            <w:tcBorders>
              <w:tl2br w:val="nil"/>
              <w:tr2bl w:val="nil"/>
            </w:tcBorders>
            <w:vAlign w:val="center"/>
          </w:tcPr>
          <w:p w14:paraId="3898CF24">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对在具有火灾危险的车间、商场、集贸市场、仓库和公共娱乐场所内设置员工宿舍的行政处罚</w:t>
            </w:r>
          </w:p>
        </w:tc>
        <w:tc>
          <w:tcPr>
            <w:tcW w:w="1226" w:type="dxa"/>
            <w:tcBorders>
              <w:tl2br w:val="nil"/>
              <w:tr2bl w:val="nil"/>
            </w:tcBorders>
            <w:vAlign w:val="center"/>
          </w:tcPr>
          <w:p w14:paraId="7CBE87D8">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消防救援</w:t>
            </w:r>
          </w:p>
        </w:tc>
        <w:tc>
          <w:tcPr>
            <w:tcW w:w="2586" w:type="dxa"/>
            <w:tcBorders>
              <w:tl2br w:val="nil"/>
              <w:tr2bl w:val="nil"/>
            </w:tcBorders>
            <w:vAlign w:val="center"/>
          </w:tcPr>
          <w:p w14:paraId="76DEB3FA">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《河南省消防条例》：第三十六条第二款、第七十二条第四项</w:t>
            </w:r>
          </w:p>
        </w:tc>
        <w:tc>
          <w:tcPr>
            <w:tcW w:w="2062" w:type="dxa"/>
            <w:tcBorders>
              <w:tl2br w:val="nil"/>
              <w:tr2bl w:val="nil"/>
            </w:tcBorders>
            <w:vAlign w:val="center"/>
          </w:tcPr>
          <w:p w14:paraId="5B469E6D">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洛阳市在乡镇(街道)行使消防救援行政处罚权的适用范围(2025年版)</w:t>
            </w:r>
          </w:p>
        </w:tc>
      </w:tr>
      <w:tr w14:paraId="7FAD42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28" w:type="dxa"/>
            <w:bottom w:w="28" w:type="dxa"/>
            <w:right w:w="28" w:type="dxa"/>
          </w:tblCellMar>
        </w:tblPrEx>
        <w:trPr>
          <w:trHeight w:val="1634" w:hRule="atLeast"/>
          <w:jc w:val="center"/>
        </w:trPr>
        <w:tc>
          <w:tcPr>
            <w:tcW w:w="691" w:type="dxa"/>
            <w:tcBorders>
              <w:tl2br w:val="nil"/>
              <w:tr2bl w:val="nil"/>
            </w:tcBorders>
            <w:vAlign w:val="center"/>
          </w:tcPr>
          <w:p w14:paraId="582D34B0">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29</w:t>
            </w:r>
          </w:p>
        </w:tc>
        <w:tc>
          <w:tcPr>
            <w:tcW w:w="3244" w:type="dxa"/>
            <w:tcBorders>
              <w:tl2br w:val="nil"/>
              <w:tr2bl w:val="nil"/>
            </w:tcBorders>
            <w:vAlign w:val="center"/>
          </w:tcPr>
          <w:p w14:paraId="61FE1BF6">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对未设置外墙外保温材料提示性和警示性标识，或者未及时修复破损、开裂和脱落的外墙外保温系统的行政处罚</w:t>
            </w:r>
          </w:p>
        </w:tc>
        <w:tc>
          <w:tcPr>
            <w:tcW w:w="1226" w:type="dxa"/>
            <w:tcBorders>
              <w:tl2br w:val="nil"/>
              <w:tr2bl w:val="nil"/>
            </w:tcBorders>
            <w:vAlign w:val="center"/>
          </w:tcPr>
          <w:p w14:paraId="5A906AEA">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消防救援</w:t>
            </w:r>
          </w:p>
        </w:tc>
        <w:tc>
          <w:tcPr>
            <w:tcW w:w="2586" w:type="dxa"/>
            <w:tcBorders>
              <w:tl2br w:val="nil"/>
              <w:tr2bl w:val="nil"/>
            </w:tcBorders>
            <w:vAlign w:val="center"/>
          </w:tcPr>
          <w:p w14:paraId="269F5544">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《高层民用建筑消防安全管理规定》(应急管理部令第5号)：第十九条第一款、第四十七条第三项</w:t>
            </w:r>
          </w:p>
        </w:tc>
        <w:tc>
          <w:tcPr>
            <w:tcW w:w="2062" w:type="dxa"/>
            <w:tcBorders>
              <w:tl2br w:val="nil"/>
              <w:tr2bl w:val="nil"/>
            </w:tcBorders>
            <w:vAlign w:val="center"/>
          </w:tcPr>
          <w:p w14:paraId="36C5B21E">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洛阳市在乡镇(街道)行使消防救援行政处罚权的适用范围(2025年版)</w:t>
            </w:r>
          </w:p>
        </w:tc>
      </w:tr>
      <w:tr w14:paraId="1CADC4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28" w:type="dxa"/>
            <w:bottom w:w="28" w:type="dxa"/>
            <w:right w:w="28" w:type="dxa"/>
          </w:tblCellMar>
        </w:tblPrEx>
        <w:trPr>
          <w:trHeight w:val="1859" w:hRule="atLeast"/>
          <w:jc w:val="center"/>
        </w:trPr>
        <w:tc>
          <w:tcPr>
            <w:tcW w:w="691" w:type="dxa"/>
            <w:tcBorders>
              <w:tl2br w:val="nil"/>
              <w:tr2bl w:val="nil"/>
            </w:tcBorders>
            <w:vAlign w:val="center"/>
          </w:tcPr>
          <w:p w14:paraId="521A8F2B">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30</w:t>
            </w:r>
          </w:p>
        </w:tc>
        <w:tc>
          <w:tcPr>
            <w:tcW w:w="3244" w:type="dxa"/>
            <w:tcBorders>
              <w:tl2br w:val="nil"/>
              <w:tr2bl w:val="nil"/>
            </w:tcBorders>
            <w:vAlign w:val="center"/>
          </w:tcPr>
          <w:p w14:paraId="512ED700">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对未按照规定落实消防控制室值班制度，或者安排不具备相应条件的人员值班的行政处罚</w:t>
            </w:r>
          </w:p>
        </w:tc>
        <w:tc>
          <w:tcPr>
            <w:tcW w:w="1226" w:type="dxa"/>
            <w:tcBorders>
              <w:tl2br w:val="nil"/>
              <w:tr2bl w:val="nil"/>
            </w:tcBorders>
            <w:vAlign w:val="center"/>
          </w:tcPr>
          <w:p w14:paraId="1E54056B">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消防救援</w:t>
            </w:r>
          </w:p>
        </w:tc>
        <w:tc>
          <w:tcPr>
            <w:tcW w:w="2586" w:type="dxa"/>
            <w:tcBorders>
              <w:tl2br w:val="nil"/>
              <w:tr2bl w:val="nil"/>
            </w:tcBorders>
            <w:vAlign w:val="center"/>
          </w:tcPr>
          <w:p w14:paraId="6B473911">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《高层民用建筑消防安全管理规定》(应急管理部令第5号)：第二十六条第一款及第二款、第四十七条第四项</w:t>
            </w:r>
          </w:p>
        </w:tc>
        <w:tc>
          <w:tcPr>
            <w:tcW w:w="2062" w:type="dxa"/>
            <w:tcBorders>
              <w:tl2br w:val="nil"/>
              <w:tr2bl w:val="nil"/>
            </w:tcBorders>
            <w:vAlign w:val="center"/>
          </w:tcPr>
          <w:p w14:paraId="3A8B7637">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洛阳市在乡镇(街道)行使消防救援行政处罚权的适用范围(2025年版)</w:t>
            </w:r>
          </w:p>
        </w:tc>
      </w:tr>
      <w:tr w14:paraId="081E91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28" w:type="dxa"/>
            <w:bottom w:w="28" w:type="dxa"/>
            <w:right w:w="28" w:type="dxa"/>
          </w:tblCellMar>
        </w:tblPrEx>
        <w:trPr>
          <w:trHeight w:val="1659" w:hRule="atLeast"/>
          <w:jc w:val="center"/>
        </w:trPr>
        <w:tc>
          <w:tcPr>
            <w:tcW w:w="691" w:type="dxa"/>
            <w:tcBorders>
              <w:tl2br w:val="nil"/>
              <w:tr2bl w:val="nil"/>
            </w:tcBorders>
            <w:vAlign w:val="center"/>
          </w:tcPr>
          <w:p w14:paraId="68E19F59">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31</w:t>
            </w:r>
          </w:p>
        </w:tc>
        <w:tc>
          <w:tcPr>
            <w:tcW w:w="3244" w:type="dxa"/>
            <w:tcBorders>
              <w:tl2br w:val="nil"/>
              <w:tr2bl w:val="nil"/>
            </w:tcBorders>
            <w:vAlign w:val="center"/>
          </w:tcPr>
          <w:p w14:paraId="03F47D13">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top"/>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对在高层民用建筑公共门厅、疏散走道、楼梯间、安全出口停放电动自行车或者为电动自行车充电的行政处罚</w:t>
            </w:r>
          </w:p>
        </w:tc>
        <w:tc>
          <w:tcPr>
            <w:tcW w:w="1226" w:type="dxa"/>
            <w:tcBorders>
              <w:tl2br w:val="nil"/>
              <w:tr2bl w:val="nil"/>
            </w:tcBorders>
            <w:vAlign w:val="center"/>
          </w:tcPr>
          <w:p w14:paraId="589F3702">
            <w:pPr>
              <w:keepNext w:val="0"/>
              <w:keepLines w:val="0"/>
              <w:pageBreakBefore w:val="0"/>
              <w:widowControl w:val="0"/>
              <w:kinsoku/>
              <w:wordWrap/>
              <w:overflowPunct/>
              <w:topLinePunct w:val="0"/>
              <w:autoSpaceDE/>
              <w:autoSpaceDN/>
              <w:bidi w:val="0"/>
              <w:adjustRightInd/>
              <w:snapToGrid/>
              <w:spacing w:line="360" w:lineRule="exact"/>
              <w:ind w:left="0" w:right="0" w:firstLine="0"/>
              <w:jc w:val="center"/>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消防救援</w:t>
            </w:r>
          </w:p>
        </w:tc>
        <w:tc>
          <w:tcPr>
            <w:tcW w:w="2586" w:type="dxa"/>
            <w:tcBorders>
              <w:tl2br w:val="nil"/>
              <w:tr2bl w:val="nil"/>
            </w:tcBorders>
            <w:vAlign w:val="center"/>
          </w:tcPr>
          <w:p w14:paraId="099ABB30">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《高层民用建筑消防安全管理规定》(应急管理部令第5号)：第三十七条第一款、第四十七条第七项</w:t>
            </w:r>
          </w:p>
        </w:tc>
        <w:tc>
          <w:tcPr>
            <w:tcW w:w="2062" w:type="dxa"/>
            <w:tcBorders>
              <w:tl2br w:val="nil"/>
              <w:tr2bl w:val="nil"/>
            </w:tcBorders>
            <w:vAlign w:val="center"/>
          </w:tcPr>
          <w:p w14:paraId="5E267FF5">
            <w:pPr>
              <w:keepNext w:val="0"/>
              <w:keepLines w:val="0"/>
              <w:pageBreakBefore w:val="0"/>
              <w:widowControl w:val="0"/>
              <w:kinsoku/>
              <w:wordWrap/>
              <w:overflowPunct/>
              <w:topLinePunct w:val="0"/>
              <w:autoSpaceDE/>
              <w:autoSpaceDN/>
              <w:bidi w:val="0"/>
              <w:adjustRightInd/>
              <w:snapToGrid/>
              <w:spacing w:line="360" w:lineRule="exact"/>
              <w:ind w:left="0" w:right="0" w:firstLine="0"/>
              <w:jc w:val="both"/>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0"/>
                <w:sz w:val="24"/>
                <w:szCs w:val="24"/>
              </w:rPr>
              <w:t>洛阳市在乡镇(街道)行使消防救援行政处罚权的适用范围(2025年版)</w:t>
            </w:r>
          </w:p>
        </w:tc>
      </w:tr>
    </w:tbl>
    <w:p w14:paraId="1E3EBB11">
      <w:pPr>
        <w:keepNext w:val="0"/>
        <w:keepLines w:val="0"/>
        <w:pageBreakBefore w:val="0"/>
        <w:widowControl w:val="0"/>
        <w:kinsoku/>
        <w:wordWrap/>
        <w:overflowPunct/>
        <w:topLinePunct w:val="0"/>
        <w:autoSpaceDE/>
        <w:autoSpaceDN/>
        <w:bidi w:val="0"/>
        <w:adjustRightInd/>
        <w:snapToGrid/>
        <w:spacing w:line="592" w:lineRule="exact"/>
        <w:ind w:left="0" w:right="0"/>
        <w:jc w:val="both"/>
        <w:rPr>
          <w:rFonts w:hint="eastAsia" w:ascii="仿宋_GB2312" w:hAnsi="仿宋_GB2312" w:eastAsia="仿宋_GB2312" w:cs="仿宋_GB2312"/>
          <w:sz w:val="32"/>
          <w:szCs w:val="32"/>
          <w:lang w:val="en-US" w:eastAsia="zh-CN"/>
        </w:rPr>
      </w:pPr>
    </w:p>
    <w:p w14:paraId="05D5C84F">
      <w:pPr>
        <w:keepNext w:val="0"/>
        <w:keepLines w:val="0"/>
        <w:pageBreakBefore w:val="0"/>
        <w:widowControl w:val="0"/>
        <w:kinsoku/>
        <w:wordWrap/>
        <w:overflowPunct/>
        <w:topLinePunct w:val="0"/>
        <w:autoSpaceDE/>
        <w:autoSpaceDN/>
        <w:bidi w:val="0"/>
        <w:adjustRightInd/>
        <w:snapToGrid/>
        <w:spacing w:line="592" w:lineRule="exact"/>
        <w:ind w:left="0" w:right="0"/>
        <w:jc w:val="both"/>
        <w:rPr>
          <w:rFonts w:hint="eastAsia" w:ascii="仿宋_GB2312" w:hAnsi="仿宋_GB2312" w:eastAsia="仿宋_GB2312" w:cs="仿宋_GB2312"/>
          <w:sz w:val="32"/>
          <w:szCs w:val="32"/>
          <w:lang w:val="en-US" w:eastAsia="zh-CN"/>
        </w:rPr>
      </w:pPr>
    </w:p>
    <w:p w14:paraId="3AD7AD23">
      <w:pPr>
        <w:keepNext w:val="0"/>
        <w:keepLines w:val="0"/>
        <w:pageBreakBefore w:val="0"/>
        <w:widowControl w:val="0"/>
        <w:kinsoku/>
        <w:wordWrap/>
        <w:overflowPunct/>
        <w:topLinePunct w:val="0"/>
        <w:autoSpaceDE/>
        <w:autoSpaceDN/>
        <w:bidi w:val="0"/>
        <w:adjustRightInd/>
        <w:snapToGrid/>
        <w:spacing w:line="592" w:lineRule="exact"/>
        <w:ind w:left="0" w:right="0"/>
        <w:jc w:val="both"/>
        <w:rPr>
          <w:rFonts w:hint="eastAsia" w:ascii="仿宋_GB2312" w:hAnsi="仿宋_GB2312" w:eastAsia="仿宋_GB2312" w:cs="仿宋_GB2312"/>
          <w:sz w:val="32"/>
          <w:szCs w:val="32"/>
          <w:lang w:val="en-US" w:eastAsia="zh-CN"/>
        </w:rPr>
      </w:pPr>
    </w:p>
    <w:p w14:paraId="7AB02ABE">
      <w:pPr>
        <w:keepNext w:val="0"/>
        <w:keepLines w:val="0"/>
        <w:pageBreakBefore w:val="0"/>
        <w:widowControl w:val="0"/>
        <w:kinsoku/>
        <w:wordWrap/>
        <w:overflowPunct/>
        <w:topLinePunct w:val="0"/>
        <w:autoSpaceDE/>
        <w:autoSpaceDN/>
        <w:bidi w:val="0"/>
        <w:adjustRightInd/>
        <w:snapToGrid/>
        <w:spacing w:line="592" w:lineRule="exact"/>
        <w:ind w:left="0" w:right="0"/>
        <w:jc w:val="both"/>
        <w:rPr>
          <w:rFonts w:hint="eastAsia" w:ascii="仿宋_GB2312" w:hAnsi="仿宋_GB2312" w:eastAsia="仿宋_GB2312" w:cs="仿宋_GB2312"/>
          <w:sz w:val="32"/>
          <w:szCs w:val="32"/>
          <w:lang w:val="en-US" w:eastAsia="zh-CN"/>
        </w:rPr>
      </w:pPr>
    </w:p>
    <w:p w14:paraId="32786519">
      <w:pPr>
        <w:keepNext w:val="0"/>
        <w:keepLines w:val="0"/>
        <w:pageBreakBefore w:val="0"/>
        <w:widowControl w:val="0"/>
        <w:kinsoku/>
        <w:wordWrap/>
        <w:overflowPunct/>
        <w:topLinePunct w:val="0"/>
        <w:autoSpaceDE/>
        <w:autoSpaceDN/>
        <w:bidi w:val="0"/>
        <w:adjustRightInd/>
        <w:snapToGrid/>
        <w:spacing w:line="592" w:lineRule="exact"/>
        <w:ind w:left="0" w:right="0"/>
        <w:jc w:val="both"/>
        <w:rPr>
          <w:rFonts w:hint="eastAsia" w:ascii="仿宋_GB2312" w:hAnsi="仿宋_GB2312" w:eastAsia="仿宋_GB2312" w:cs="仿宋_GB2312"/>
          <w:sz w:val="32"/>
          <w:szCs w:val="32"/>
          <w:lang w:val="en-US" w:eastAsia="zh-CN"/>
        </w:rPr>
      </w:pPr>
    </w:p>
    <w:p w14:paraId="2C1F0E4F">
      <w:pPr>
        <w:keepNext w:val="0"/>
        <w:keepLines w:val="0"/>
        <w:pageBreakBefore w:val="0"/>
        <w:widowControl w:val="0"/>
        <w:kinsoku/>
        <w:wordWrap/>
        <w:overflowPunct/>
        <w:topLinePunct w:val="0"/>
        <w:autoSpaceDE/>
        <w:autoSpaceDN/>
        <w:bidi w:val="0"/>
        <w:adjustRightInd/>
        <w:snapToGrid/>
        <w:spacing w:line="592" w:lineRule="exact"/>
        <w:ind w:left="0" w:right="0"/>
        <w:jc w:val="both"/>
        <w:rPr>
          <w:rFonts w:hint="eastAsia" w:ascii="仿宋_GB2312" w:hAnsi="仿宋_GB2312" w:eastAsia="仿宋_GB2312" w:cs="仿宋_GB2312"/>
          <w:sz w:val="32"/>
          <w:szCs w:val="32"/>
          <w:lang w:val="en-US" w:eastAsia="zh-CN"/>
        </w:rPr>
      </w:pPr>
    </w:p>
    <w:p w14:paraId="4B791D7F">
      <w:pPr>
        <w:keepNext w:val="0"/>
        <w:keepLines w:val="0"/>
        <w:pageBreakBefore w:val="0"/>
        <w:widowControl w:val="0"/>
        <w:kinsoku/>
        <w:wordWrap/>
        <w:overflowPunct/>
        <w:topLinePunct w:val="0"/>
        <w:autoSpaceDE/>
        <w:autoSpaceDN/>
        <w:bidi w:val="0"/>
        <w:adjustRightInd/>
        <w:snapToGrid/>
        <w:spacing w:line="592" w:lineRule="exact"/>
        <w:ind w:left="0" w:right="0"/>
        <w:jc w:val="both"/>
        <w:rPr>
          <w:rFonts w:hint="eastAsia" w:ascii="仿宋_GB2312" w:hAnsi="仿宋_GB2312" w:eastAsia="仿宋_GB2312" w:cs="仿宋_GB2312"/>
          <w:sz w:val="32"/>
          <w:szCs w:val="32"/>
          <w:lang w:val="en-US" w:eastAsia="zh-CN"/>
        </w:rPr>
      </w:pPr>
    </w:p>
    <w:p w14:paraId="59D46BF6">
      <w:pPr>
        <w:keepNext w:val="0"/>
        <w:keepLines w:val="0"/>
        <w:pageBreakBefore w:val="0"/>
        <w:widowControl w:val="0"/>
        <w:kinsoku/>
        <w:wordWrap/>
        <w:overflowPunct/>
        <w:topLinePunct w:val="0"/>
        <w:autoSpaceDE/>
        <w:autoSpaceDN/>
        <w:bidi w:val="0"/>
        <w:adjustRightInd/>
        <w:snapToGrid/>
        <w:spacing w:line="592" w:lineRule="exact"/>
        <w:ind w:left="0" w:right="0"/>
        <w:jc w:val="both"/>
        <w:rPr>
          <w:rFonts w:hint="eastAsia" w:ascii="仿宋_GB2312" w:hAnsi="仿宋_GB2312" w:eastAsia="仿宋_GB2312" w:cs="仿宋_GB2312"/>
          <w:sz w:val="32"/>
          <w:szCs w:val="32"/>
          <w:lang w:val="en-US" w:eastAsia="zh-CN"/>
        </w:rPr>
      </w:pPr>
    </w:p>
    <w:p w14:paraId="0288F154">
      <w:pPr>
        <w:keepNext w:val="0"/>
        <w:keepLines w:val="0"/>
        <w:pageBreakBefore w:val="0"/>
        <w:widowControl w:val="0"/>
        <w:kinsoku/>
        <w:wordWrap/>
        <w:overflowPunct/>
        <w:topLinePunct w:val="0"/>
        <w:autoSpaceDE/>
        <w:autoSpaceDN/>
        <w:bidi w:val="0"/>
        <w:adjustRightInd/>
        <w:snapToGrid/>
        <w:spacing w:line="592" w:lineRule="exact"/>
        <w:ind w:left="0" w:right="0"/>
        <w:jc w:val="both"/>
        <w:rPr>
          <w:rFonts w:hint="eastAsia" w:ascii="仿宋_GB2312" w:hAnsi="仿宋_GB2312" w:eastAsia="仿宋_GB2312" w:cs="仿宋_GB2312"/>
          <w:sz w:val="32"/>
          <w:szCs w:val="32"/>
          <w:lang w:val="en-US" w:eastAsia="zh-CN"/>
        </w:rPr>
      </w:pPr>
    </w:p>
    <w:p w14:paraId="65FC04CC">
      <w:pPr>
        <w:keepNext w:val="0"/>
        <w:keepLines w:val="0"/>
        <w:pageBreakBefore w:val="0"/>
        <w:widowControl w:val="0"/>
        <w:kinsoku/>
        <w:wordWrap/>
        <w:overflowPunct/>
        <w:topLinePunct w:val="0"/>
        <w:autoSpaceDE/>
        <w:autoSpaceDN/>
        <w:bidi w:val="0"/>
        <w:adjustRightInd/>
        <w:snapToGrid/>
        <w:spacing w:line="592" w:lineRule="exact"/>
        <w:ind w:left="0" w:right="0"/>
        <w:jc w:val="both"/>
        <w:rPr>
          <w:rFonts w:hint="eastAsia" w:ascii="仿宋_GB2312" w:hAnsi="仿宋_GB2312" w:eastAsia="仿宋_GB2312" w:cs="仿宋_GB2312"/>
          <w:sz w:val="32"/>
          <w:szCs w:val="32"/>
          <w:lang w:val="en-US" w:eastAsia="zh-CN"/>
        </w:rPr>
      </w:pPr>
    </w:p>
    <w:p w14:paraId="3E96A3C6">
      <w:pPr>
        <w:keepNext w:val="0"/>
        <w:keepLines w:val="0"/>
        <w:pageBreakBefore w:val="0"/>
        <w:widowControl w:val="0"/>
        <w:kinsoku/>
        <w:wordWrap/>
        <w:overflowPunct/>
        <w:topLinePunct w:val="0"/>
        <w:autoSpaceDE/>
        <w:autoSpaceDN/>
        <w:bidi w:val="0"/>
        <w:adjustRightInd/>
        <w:snapToGrid/>
        <w:spacing w:line="592" w:lineRule="exact"/>
        <w:textAlignment w:val="auto"/>
        <w:rPr>
          <w:rFonts w:hint="eastAsia" w:ascii="仿宋_GB2312" w:hAnsi="仿宋_GB2312" w:eastAsia="仿宋_GB2312" w:cs="仿宋_GB2312"/>
          <w:sz w:val="28"/>
          <w:szCs w:val="28"/>
          <w:lang w:val="en-US" w:eastAsia="zh-CN"/>
        </w:rPr>
      </w:pPr>
      <w:bookmarkStart w:id="0" w:name="_GoBack"/>
      <w:bookmarkEnd w:id="0"/>
    </w:p>
    <w:sectPr>
      <w:footerReference r:id="rId3" w:type="default"/>
      <w:footerReference r:id="rId4" w:type="even"/>
      <w:pgSz w:w="11906" w:h="16838"/>
      <w:pgMar w:top="1928" w:right="1474" w:bottom="1871" w:left="158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C8BD1A">
    <w:pPr>
      <w:pStyle w:val="2"/>
    </w:pPr>
    <w:r>
      <w:rPr>
        <w:sz w:val="18"/>
      </w:rPr>
      <mc:AlternateContent>
        <mc:Choice Requires="wps">
          <w:drawing>
            <wp:anchor distT="0" distB="0" distL="114300" distR="114300" simplePos="0" relativeHeight="251659264" behindDoc="0" locked="0" layoutInCell="1" allowOverlap="1">
              <wp:simplePos x="0" y="0"/>
              <wp:positionH relativeFrom="margin">
                <wp:posOffset>4795520</wp:posOffset>
              </wp:positionH>
              <wp:positionV relativeFrom="paragraph">
                <wp:posOffset>-342265</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136579">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377.6pt;margin-top:-26.95pt;height:144pt;width:144pt;mso-position-horizontal-relative:margin;mso-wrap-style:none;z-index:251659264;mso-width-relative:page;mso-height-relative:page;" filled="f" stroked="f" coordsize="21600,21600" o:gfxdata="UEsDBAoAAAAAAIdO4kAAAAAAAAAAAAAAAAAEAAAAZHJzL1BLAwQUAAAACACHTuJA+3mg7tkAAAAM&#10;AQAADwAAAGRycy9kb3ducmV2LnhtbE2Py07DMBBF90j8gzVI7Fo7L2hDnEpUhCVSGxYs3XhIAn5E&#10;tpuGv8ddwXJmju6cW+0WrciMzo/WcEjWDAiazsrR9Bze22a1AeKDMFIoa5DDD3rY1bc3lSilvZgD&#10;zsfQkxhifCk4DCFMJaW+G1ALv7YTmnj7tE6LEEfXU+nEJYZrRVPGHqgWo4kfBjHhfsDu+3jWHPZN&#10;27oZvVMf+NpkX2/POb4snN/fJewJSMAl/MFw1Y/qUEenkz0b6Yni8FgUaUQ5rIpsC+RKsDyLqxOH&#10;NMsToHVF/5eofwFQSwMEFAAAAAgAh07iQH+OrREyAgAAYQQAAA4AAABkcnMvZTJvRG9jLnhtbK1U&#10;zY7TMBC+I/EOlu80aVFXVdV0VbYqQqrYlQri7DpOE8l/st0m5QHgDThx4c5z9Tn2c366aOGwBy7O&#10;2DP+xt83M1ncNkqSk3C+Mjqj41FKidDc5JU+ZPTzp82bGSU+MJ0zabTI6Fl4ert8/WpR27mYmNLI&#10;XDgCEO3ntc1oGYKdJ4nnpVDMj4wVGs7COMUCtu6Q5I7VQFcymaTpTVIbl1tnuPAep+vOSXtE9xJA&#10;UxQVF2vDj0ro0KE6IVkAJV9W1tNl+9qiEDzcF4UXgciMgmloVySBvY9rslyw+cExW1a8fwJ7yROe&#10;cVKs0kh6hVqzwMjRVX9BqYo7400RRtyopCPSKgIW4/SZNruSWdFygdTeXkX3/w+Wfzw9OFLlGZ1S&#10;oplCwS8/vl9+/r78+kamUZ7a+jmidhZxoXlnGjTNcO5xGFk3hVPxCz4Efoh7voormkB4vDSbzGYp&#10;XBy+YQP85Om6dT68F0aRaGTUoXqtqOy09aELHUJiNm02lZRtBaUmdUZv3k7T9sLVA3CpkSOS6B4b&#10;rdDsm57Z3uRnEHOm6wxv+aZC8i3z4YE5tAIejGEJ91gKaZDE9BYlpXFf/3Ue41EheCmp0VoZ1Zgk&#10;SuQHjcoBMAyGG4z9YOijujPo1TGG0PLWxAUX5GAWzqgvmKBVzAEX0xyZMhoG8y507Y0J5GK1aoOO&#10;1lWHsruAvrMsbPXO8pgmCunt6hggZqtxFKhTpdcNnddWqZ+S2Np/7tuopz/D8h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7eaDu2QAAAAwBAAAPAAAAAAAAAAEAIAAAACIAAABkcnMvZG93bnJldi54&#10;bWxQSwECFAAUAAAACACHTuJAf46tETICAABhBAAADgAAAAAAAAABACAAAAAoAQAAZHJzL2Uyb0Rv&#10;Yy54bWxQSwUGAAAAAAYABgBZAQAAzAUAAAAA&#10;">
              <v:fill on="f" focussize="0,0"/>
              <v:stroke on="f" weight="0.5pt"/>
              <v:imagedata o:title=""/>
              <o:lock v:ext="edit" aspectratio="f"/>
              <v:textbox inset="0mm,0mm,0mm,0mm" style="mso-fit-shape-to-text:t;">
                <w:txbxContent>
                  <w:p w14:paraId="75136579">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1AD7B">
    <w:pPr>
      <w:pStyle w:val="2"/>
    </w:pPr>
    <w:r>
      <w:rPr>
        <w:sz w:val="18"/>
      </w:rPr>
      <mc:AlternateContent>
        <mc:Choice Requires="wps">
          <w:drawing>
            <wp:anchor distT="0" distB="0" distL="114300" distR="114300" simplePos="0" relativeHeight="251660288" behindDoc="0" locked="0" layoutInCell="1" allowOverlap="1">
              <wp:simplePos x="0" y="0"/>
              <wp:positionH relativeFrom="margin">
                <wp:posOffset>160655</wp:posOffset>
              </wp:positionH>
              <wp:positionV relativeFrom="paragraph">
                <wp:posOffset>-363855</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3A77D8">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2.65pt;margin-top:-28.65pt;height:144pt;width:144pt;mso-position-horizontal-relative:margin;mso-wrap-style:none;z-index:251660288;mso-width-relative:page;mso-height-relative:page;" filled="f" stroked="f" coordsize="21600,21600" o:gfxdata="UEsDBAoAAAAAAIdO4kAAAAAAAAAAAAAAAAAEAAAAZHJzL1BLAwQUAAAACACHTuJAvhxMV9cAAAAK&#10;AQAADwAAAGRycy9kb3ducmV2LnhtbE2PwU7DMBBE70j8g7VI3Fo7NaUojVOJinBEouHA0Y23SSC2&#10;I9tNw9+znOhtVvM0O1PsZjuwCUPsvVOQLQUwdI03vWsVfNTV4glYTNoZPXiHCn4wwq68vSl0bvzF&#10;veN0SC2jEBdzraBLacw5j02HVselH9GRd/LB6kRnaLkJ+kLhduArIR651b2jD50ecd9h8304WwX7&#10;qq7DhDEMn/haya+35wd8mZW6v8vEFljCOf3D8FefqkNJnY7+7Exkg4LVWhKpYLHekCBAZpLEkRwp&#10;NsDLgl9PKH8BUEsDBBQAAAAIAIdO4kAwiRJeMQIAAGEEAAAOAAAAZHJzL2Uyb0RvYy54bWytVEuO&#10;EzEQ3SNxB8t70kkQURSlMwoTBSFFzEgDYu243WlL/sl20h0OADdgxYY958o5eO5PBg0sZsHGXXaV&#10;X/m9qurlTaMVOQkfpDU5nYzGlAjDbSHNIaefPm5fzSkJkZmCKWtETs8i0JvVyxfL2i3E1FZWFcIT&#10;gJiwqF1OqxjdIssCr4RmYWSdMHCW1msWsfWHrPCsBrpW2XQ8nmW19YXzlosQcLrpnLRH9M8BtGUp&#10;udhYftTCxA7VC8UiKIVKukBX7WvLUvB4V5ZBRKJyCqaxXZEE9j6t2WrJFgfPXCV5/wT2nCc84aSZ&#10;NEh6hdqwyMjRy7+gtOTeBlvGEbc664i0ioDFZPxEm4eKOdFygdTBXUUP/w+WfzjdeyKLnM4oMUyj&#10;4Jfv3y4/fl1+fiWzJE/twgJRDw5xsXlrGzTNcB5wmFg3pdfpCz4Efoh7voormkh4ujSfzudjuDh8&#10;wwb42eN150N8J6wmycipR/VaUdlpF2IXOoSkbMZupVJtBZUhNSi8fjNuL1w9AFcGORKJ7rHJis2+&#10;6ZntbXEGMW+7zgiObyWS71iI98yjFfBgDEu8w1IqiyS2tyiprP/yr/MUjwrBS0mN1sqpwSRRot4b&#10;VA6AcTD8YOwHwxz1rUWvTjCEjrcmLvioBrP0Vn/GBK1TDriY4ciU0ziYt7Frb0wgF+t1G3R0Xh6q&#10;7gL6zrG4Mw+OpzRJyODWxwgxW42TQJ0qvW7ovLZK/ZSk1v5z30Y9/hl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HExX1wAAAAoBAAAPAAAAAAAAAAEAIAAAACIAAABkcnMvZG93bnJldi54bWxQ&#10;SwECFAAUAAAACACHTuJAMIkSXjECAABhBAAADgAAAAAAAAABACAAAAAmAQAAZHJzL2Uyb0RvYy54&#10;bWxQSwUGAAAAAAYABgBZAQAAyQUAAAAA&#10;">
              <v:fill on="f" focussize="0,0"/>
              <v:stroke on="f" weight="0.5pt"/>
              <v:imagedata o:title=""/>
              <o:lock v:ext="edit" aspectratio="f"/>
              <v:textbox inset="0mm,0mm,0mm,0mm" style="mso-fit-shape-to-text:t;">
                <w:txbxContent>
                  <w:p w14:paraId="1E3A77D8">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evenAndOddHeaders w:val="1"/>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DC19CB"/>
    <w:rsid w:val="13D6674E"/>
    <w:rsid w:val="1EA37BDB"/>
    <w:rsid w:val="23CF5A76"/>
    <w:rsid w:val="2B116592"/>
    <w:rsid w:val="2EEB3529"/>
    <w:rsid w:val="30313158"/>
    <w:rsid w:val="34F82570"/>
    <w:rsid w:val="35212D66"/>
    <w:rsid w:val="445D0A62"/>
    <w:rsid w:val="4FB46C68"/>
    <w:rsid w:val="587F39FE"/>
    <w:rsid w:val="67DD3A75"/>
    <w:rsid w:val="68E012BD"/>
    <w:rsid w:val="6AF46B6E"/>
    <w:rsid w:val="6C6B0839"/>
    <w:rsid w:val="7F9B60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Default"/>
    <w:qFormat/>
    <w:uiPriority w:val="0"/>
    <w:pPr>
      <w:widowControl w:val="0"/>
      <w:autoSpaceDE w:val="0"/>
      <w:autoSpaceDN w:val="0"/>
      <w:adjustRightInd w:val="0"/>
    </w:pPr>
    <w:rPr>
      <w:rFonts w:ascii="仿宋_GB2312" w:hAnsi="Times New Roman" w:eastAsia="仿宋_GB2312"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3307</Words>
  <Characters>3443</Characters>
  <Lines>0</Lines>
  <Paragraphs>0</Paragraphs>
  <TotalTime>49</TotalTime>
  <ScaleCrop>false</ScaleCrop>
  <LinksUpToDate>false</LinksUpToDate>
  <CharactersWithSpaces>3464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2025-12-05T03:42:00Z</dcterms:created>
  <dc:creator>Administrator</dc:creator>
  <cp:lastModifiedBy>伏牛山人</cp:lastModifiedBy>
  <cp:lastPrinted>2025-12-12T07:13:00Z</cp:lastPrinted>
  <dcterms:modified xsi:type="dcterms:W3CDTF">2025-12-12T08:57:05Z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eyJoZGlkIjoiMjM1MGFkNjY5NTVjMzZiNGNkOWI4YzRlODc2MWNhMDAiLCJ1c2VySWQiOiIxMDY0MTA4NTE4In0=</vt:lpwstr>
  </property>
  <property fmtid="{D5CDD505-2E9C-101B-9397-08002B2CF9AE}" pid="4" name="ICV">
    <vt:lpwstr>2C200F8372254AB498346A958DFC425D_13</vt:lpwstr>
  </property>
</Properties>
</file>