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6648C">
      <w:pPr>
        <w:pStyle w:val="19"/>
        <w:keepNext/>
        <w:keepLines/>
        <w:spacing w:after="0" w:line="360" w:lineRule="auto"/>
        <w:rPr>
          <w:rFonts w:hint="eastAsia" w:ascii="黑体" w:hAnsi="黑体" w:eastAsia="黑体" w:cs="黑体"/>
          <w:sz w:val="52"/>
          <w:szCs w:val="52"/>
          <w:lang w:val="en-US" w:eastAsia="zh-CN"/>
        </w:rPr>
      </w:pPr>
    </w:p>
    <w:p w14:paraId="17A525EC">
      <w:pPr>
        <w:pStyle w:val="19"/>
        <w:keepNext/>
        <w:keepLines/>
        <w:spacing w:after="0" w:line="360" w:lineRule="auto"/>
        <w:rPr>
          <w:rFonts w:ascii="黑体" w:hAnsi="黑体" w:eastAsia="黑体" w:cs="黑体"/>
          <w:sz w:val="52"/>
          <w:szCs w:val="52"/>
          <w:lang w:val="en-US" w:eastAsia="zh-CN"/>
        </w:rPr>
      </w:pPr>
      <w:r>
        <w:rPr>
          <w:rFonts w:hint="eastAsia" w:ascii="黑体" w:hAnsi="黑体" w:eastAsia="黑体" w:cs="黑体"/>
          <w:sz w:val="52"/>
          <w:szCs w:val="52"/>
          <w:lang w:val="en-US" w:eastAsia="zh-CN"/>
        </w:rPr>
        <w:t>孟津区先进制造业开发区地下管网建设项目财政重点绩效评价报告</w:t>
      </w:r>
    </w:p>
    <w:p w14:paraId="2D9AB2DA">
      <w:pPr>
        <w:pStyle w:val="19"/>
        <w:keepNext/>
        <w:keepLines/>
        <w:spacing w:after="0" w:line="360" w:lineRule="auto"/>
        <w:rPr>
          <w:rFonts w:ascii="黑体" w:hAnsi="黑体" w:eastAsia="黑体" w:cs="黑体"/>
          <w:sz w:val="52"/>
          <w:szCs w:val="52"/>
          <w:lang w:val="en-US" w:eastAsia="zh-CN"/>
        </w:rPr>
      </w:pPr>
      <w:r>
        <w:rPr>
          <w:rFonts w:hint="eastAsia" w:ascii="黑体" w:hAnsi="黑体" w:eastAsia="黑体" w:cs="黑体"/>
          <w:sz w:val="52"/>
          <w:szCs w:val="52"/>
          <w:lang w:val="en-US" w:eastAsia="zh-CN"/>
        </w:rPr>
        <w:t>（简版）</w:t>
      </w:r>
    </w:p>
    <w:p w14:paraId="56837746">
      <w:pPr>
        <w:pStyle w:val="19"/>
        <w:keepNext/>
        <w:keepLines/>
        <w:spacing w:after="0" w:line="360" w:lineRule="auto"/>
        <w:rPr>
          <w:rFonts w:ascii="黑体" w:hAnsi="黑体" w:eastAsia="黑体" w:cs="黑体"/>
          <w:sz w:val="52"/>
          <w:szCs w:val="52"/>
          <w:lang w:val="en-US" w:eastAsia="zh-CN"/>
        </w:rPr>
      </w:pPr>
    </w:p>
    <w:p w14:paraId="39EAEA81">
      <w:pPr>
        <w:ind w:firstLine="640"/>
        <w:rPr>
          <w:lang w:bidi="ar"/>
        </w:rPr>
      </w:pPr>
    </w:p>
    <w:p w14:paraId="32ACD44D">
      <w:pPr>
        <w:ind w:firstLine="640"/>
        <w:rPr>
          <w:lang w:bidi="ar"/>
        </w:rPr>
      </w:pPr>
    </w:p>
    <w:p w14:paraId="5541A9FD">
      <w:pPr>
        <w:ind w:firstLine="640"/>
        <w:rPr>
          <w:lang w:bidi="ar"/>
        </w:rPr>
      </w:pPr>
    </w:p>
    <w:p w14:paraId="187CEE5B">
      <w:pPr>
        <w:ind w:firstLine="640"/>
        <w:rPr>
          <w:lang w:bidi="ar"/>
        </w:rPr>
      </w:pPr>
    </w:p>
    <w:p w14:paraId="30A95861">
      <w:pPr>
        <w:pStyle w:val="10"/>
        <w:ind w:firstLine="320"/>
        <w:rPr>
          <w:lang w:bidi="ar"/>
        </w:rPr>
      </w:pPr>
    </w:p>
    <w:p w14:paraId="7E143317">
      <w:pPr>
        <w:pStyle w:val="10"/>
        <w:ind w:firstLine="320"/>
        <w:rPr>
          <w:lang w:bidi="ar"/>
        </w:rPr>
      </w:pPr>
    </w:p>
    <w:p w14:paraId="4C40E34E">
      <w:pPr>
        <w:pStyle w:val="10"/>
        <w:ind w:firstLine="320"/>
        <w:rPr>
          <w:lang w:bidi="ar"/>
        </w:rPr>
      </w:pPr>
    </w:p>
    <w:p w14:paraId="5F4A0391">
      <w:pPr>
        <w:pStyle w:val="10"/>
        <w:ind w:firstLine="320"/>
        <w:rPr>
          <w:lang w:bidi="ar"/>
        </w:rPr>
      </w:pPr>
    </w:p>
    <w:p w14:paraId="2EF538C3">
      <w:pPr>
        <w:ind w:firstLine="640"/>
        <w:rPr>
          <w:lang w:bidi="ar"/>
        </w:rPr>
      </w:pPr>
    </w:p>
    <w:p w14:paraId="1B268F4B">
      <w:pPr>
        <w:pStyle w:val="18"/>
        <w:spacing w:line="720" w:lineRule="exact"/>
        <w:ind w:firstLine="640" w:firstLineChars="200"/>
        <w:rPr>
          <w:rFonts w:ascii="黑体" w:hAnsi="黑体" w:eastAsia="黑体" w:cs="黑体"/>
          <w:sz w:val="32"/>
          <w:szCs w:val="32"/>
          <w:lang w:val="zh-TW" w:eastAsia="zh-TW" w:bidi="zh-TW"/>
        </w:rPr>
      </w:pPr>
      <w:r>
        <w:rPr>
          <w:rFonts w:hint="eastAsia" w:ascii="黑体" w:hAnsi="黑体" w:eastAsia="黑体" w:cs="黑体"/>
          <w:sz w:val="32"/>
          <w:szCs w:val="32"/>
          <w:lang w:val="zh-TW" w:eastAsia="zh-TW" w:bidi="zh-TW"/>
        </w:rPr>
        <w:t>评价实施机构：河南昭元绩效评价咨询有限公司</w:t>
      </w:r>
    </w:p>
    <w:p w14:paraId="7C731E18">
      <w:pPr>
        <w:pStyle w:val="18"/>
        <w:spacing w:line="720" w:lineRule="exact"/>
        <w:ind w:firstLine="640" w:firstLineChars="200"/>
        <w:rPr>
          <w:lang w:bidi="ar"/>
        </w:rPr>
        <w:sectPr>
          <w:pgSz w:w="11906" w:h="16838"/>
          <w:pgMar w:top="2098" w:right="1474" w:bottom="1984" w:left="1587" w:header="851" w:footer="992" w:gutter="0"/>
          <w:cols w:space="0" w:num="1"/>
          <w:rtlGutter w:val="0"/>
          <w:docGrid w:type="lines" w:linePitch="439" w:charSpace="0"/>
        </w:sectPr>
      </w:pPr>
      <w:r>
        <w:rPr>
          <w:rFonts w:hint="eastAsia" w:ascii="黑体" w:hAnsi="黑体" w:eastAsia="黑体" w:cs="黑体"/>
          <w:sz w:val="32"/>
          <w:szCs w:val="32"/>
          <w:lang w:val="zh-TW" w:eastAsia="zh-TW" w:bidi="zh-TW"/>
        </w:rPr>
        <w:t>评价报告时间：202</w:t>
      </w:r>
      <w:r>
        <w:rPr>
          <w:rFonts w:hint="eastAsia" w:ascii="黑体" w:hAnsi="黑体" w:eastAsia="黑体" w:cs="黑体"/>
          <w:sz w:val="32"/>
          <w:szCs w:val="32"/>
          <w:lang w:val="en-US" w:eastAsia="zh-CN" w:bidi="zh-TW"/>
        </w:rPr>
        <w:t>5</w:t>
      </w:r>
      <w:r>
        <w:rPr>
          <w:rFonts w:hint="eastAsia" w:ascii="黑体" w:hAnsi="黑体" w:eastAsia="黑体" w:cs="黑体"/>
          <w:sz w:val="32"/>
          <w:szCs w:val="32"/>
          <w:lang w:val="zh-TW" w:eastAsia="zh-TW" w:bidi="zh-TW"/>
        </w:rPr>
        <w:t>年</w:t>
      </w:r>
      <w:r>
        <w:rPr>
          <w:rFonts w:hint="eastAsia" w:ascii="黑体" w:hAnsi="黑体" w:eastAsia="黑体" w:cs="黑体"/>
          <w:sz w:val="32"/>
          <w:szCs w:val="32"/>
          <w:lang w:val="en-US" w:eastAsia="zh-CN" w:bidi="zh-TW"/>
        </w:rPr>
        <w:t>4</w:t>
      </w:r>
      <w:r>
        <w:rPr>
          <w:rFonts w:hint="eastAsia" w:ascii="黑体" w:hAnsi="黑体" w:eastAsia="黑体" w:cs="黑体"/>
          <w:sz w:val="32"/>
          <w:szCs w:val="32"/>
          <w:lang w:val="zh-TW" w:eastAsia="zh-TW" w:bidi="zh-TW"/>
        </w:rPr>
        <w:t>月</w:t>
      </w:r>
    </w:p>
    <w:p w14:paraId="25B627B9">
      <w:pPr>
        <w:pStyle w:val="18"/>
        <w:tabs>
          <w:tab w:val="left" w:pos="1276"/>
        </w:tabs>
        <w:spacing w:line="560" w:lineRule="exact"/>
        <w:ind w:firstLine="643" w:firstLineChars="200"/>
        <w:rPr>
          <w:rFonts w:ascii="黑体" w:hAnsi="黑体" w:eastAsia="黑体" w:cs="黑体"/>
          <w:b/>
          <w:bCs/>
          <w:sz w:val="32"/>
          <w:szCs w:val="32"/>
          <w:lang w:val="zh-TW" w:eastAsia="zh-TW" w:bidi="zh-TW"/>
        </w:rPr>
      </w:pPr>
      <w:r>
        <w:rPr>
          <w:rFonts w:hint="eastAsia" w:ascii="黑体" w:hAnsi="黑体" w:eastAsia="黑体" w:cs="黑体"/>
          <w:b/>
          <w:bCs/>
          <w:sz w:val="32"/>
          <w:szCs w:val="32"/>
          <w:lang w:val="zh-TW" w:bidi="zh-TW"/>
        </w:rPr>
        <w:t>一、</w:t>
      </w:r>
      <w:r>
        <w:rPr>
          <w:rFonts w:hint="eastAsia" w:ascii="黑体" w:hAnsi="黑体" w:eastAsia="黑体" w:cs="黑体"/>
          <w:b/>
          <w:bCs/>
          <w:sz w:val="32"/>
          <w:szCs w:val="32"/>
          <w:lang w:val="zh-TW" w:eastAsia="zh-TW" w:bidi="zh-TW"/>
        </w:rPr>
        <w:t>评价项目概况</w:t>
      </w:r>
    </w:p>
    <w:p w14:paraId="43591C9E">
      <w:pPr>
        <w:bidi w:val="0"/>
        <w:rPr>
          <w:rFonts w:hint="eastAsia" w:ascii="仿宋" w:hAnsi="仿宋" w:eastAsia="仿宋" w:cs="仿宋"/>
          <w:lang w:val="en-US" w:eastAsia="zh-CN"/>
        </w:rPr>
      </w:pPr>
      <w:r>
        <w:rPr>
          <w:rFonts w:hint="eastAsia" w:ascii="仿宋" w:hAnsi="仿宋" w:eastAsia="仿宋" w:cs="仿宋"/>
          <w:lang w:val="en-US" w:eastAsia="zh-CN"/>
        </w:rPr>
        <w:t>国家《“十四五”新型基础设施建设规划》明确提出“推进产业园区地下管网智能化改造”，要求开发区配套建设高标准的供水、排水、能源管网系统。河南省“十四五”规划将孟津开发区列为全省30个重点建设的先进制造业开发区之一，要求配套基础设施达到“九通一平”标准。2022年河南省住建厅出台的《开发区基础设施提质增效行动方案》明确要求：“新建开发区地下管网须实现雨污分流、管线入廊率不低于60%”，并鼓励社会资本参与建设。</w:t>
      </w:r>
    </w:p>
    <w:p w14:paraId="42E2362D">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洛阳市在《洛阳都市圈发展规划（2021-2035）》中赋予孟津区“产业新高地”定位，随着中硅高科、中石化等重大项目落地，现有管网已无法满足需求。2024年洛阳市发改委将孟津区先进制造业开发区地下管网建设项目列入市级重点项目库，安排专项债资金支持。本</w:t>
      </w:r>
      <w:r>
        <w:rPr>
          <w:rFonts w:hint="eastAsia" w:ascii="仿宋" w:hAnsi="仿宋" w:eastAsia="仿宋" w:cs="仿宋"/>
          <w:b w:val="0"/>
          <w:bCs w:val="0"/>
          <w:color w:val="auto"/>
          <w:highlight w:val="none"/>
          <w:lang w:val="en-US" w:eastAsia="zh-CN"/>
        </w:rPr>
        <w:t>项目运营收入源于电力管道租赁、通信管道租赁、污水管道租赁、中水管道租赁、给水管道租赁、电缆沟管道租赁等，在债券存续期内可实现收益与融资的自求平衡，在项目收益期内可满足专项债还本付息的要求。</w:t>
      </w:r>
      <w:r>
        <w:rPr>
          <w:rFonts w:hint="eastAsia" w:ascii="仿宋" w:hAnsi="仿宋" w:eastAsia="仿宋" w:cs="仿宋"/>
          <w:color w:val="auto"/>
          <w:highlight w:val="none"/>
          <w:lang w:val="en-US" w:eastAsia="zh-CN"/>
        </w:rPr>
        <w:t>本项目建成后将完善孟津区先进制造业开发区供水、污水、电力、中水、雨水管网等市政基础设施，提升孟津区城市形象，促进孟津区高质量发展。</w:t>
      </w:r>
    </w:p>
    <w:p w14:paraId="5A9F3F15">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项目计划建设周期10个月，预计开工时间2023年7月，预计竣工时间2024年4月。项目建设地点位于孟津区石化园区内，位于纬三路（老洛济快速通道—紫金路）、紫金路（纬三路—中原路）、长治路（纬三路—纬一路）、花苑路（北环路—吉利大道）、北环路（G208—启明北路）、启明北路（北环—吉利大道）、新建北环路（花园路—G208）、新建中水厂—大乙烯园区、新建中原路（大港路—世纪大道）、花苑路、大港路、经七路、纬一路。</w:t>
      </w:r>
    </w:p>
    <w:p w14:paraId="2EB945EB">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本项目以道路市政管网入地工程为主，计划建设内容为：给水管网10364米，雨水管网5770米，污水管网8654米，电力管网6604米，通信管网6604米，中水管网7682米，电缆沟5760米。</w:t>
      </w:r>
      <w:r>
        <w:rPr>
          <w:rFonts w:hint="eastAsia" w:ascii="仿宋" w:hAnsi="仿宋" w:eastAsia="仿宋" w:cs="仿宋"/>
          <w:lang w:val="en-US" w:eastAsia="zh-CN"/>
        </w:rPr>
        <w:t>项目于2023年7月正式开工，截至2024年8月已完成建设雨水连管3634米、雨水管网6896米、污水管网7544米、给水管网8952米、电力管网5666米、电力管沟5754米、通讯管网7279米、中水管网730米，完成项目工作量100%，截至评价时点，正在进行项目最终联合验收及竣工结算。由于该项目采用EPC总承包模式，设计与施工高度联动，地下管网建设对地质、水文等数据依赖性较强需根据现场地形和实际情况进行设计，造成地下管网实际完工长度和计划建设长度存在差异。</w:t>
      </w:r>
    </w:p>
    <w:p w14:paraId="49B64F28">
      <w:pPr>
        <w:keepNext w:val="0"/>
        <w:keepLines w:val="0"/>
        <w:pageBreakBefore w:val="0"/>
        <w:widowControl w:val="0"/>
        <w:kinsoku/>
        <w:wordWrap/>
        <w:overflowPunct w:val="0"/>
        <w:topLinePunct w:val="0"/>
        <w:autoSpaceDE/>
        <w:autoSpaceDN/>
        <w:bidi w:val="0"/>
        <w:adjustRightInd w:val="0"/>
        <w:snapToGrid w:val="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该项目预计总投资16,766.51万元，其中专项债券资金7,500.00万元，占比44.73%；项目单位自筹9,266.51万元，占比55.27%。</w:t>
      </w:r>
      <w:r>
        <w:rPr>
          <w:rFonts w:hint="eastAsia" w:ascii="仿宋" w:hAnsi="仿宋" w:eastAsia="仿宋" w:cs="仿宋"/>
          <w:color w:val="auto"/>
          <w:highlight w:val="none"/>
          <w:lang w:val="en-US" w:eastAsia="zh-CN"/>
        </w:rPr>
        <w:t>截至评价时点</w:t>
      </w:r>
      <w:r>
        <w:rPr>
          <w:rFonts w:hint="eastAsia" w:ascii="仿宋" w:hAnsi="仿宋" w:eastAsia="仿宋" w:cs="仿宋"/>
          <w:color w:val="auto"/>
          <w:highlight w:val="none"/>
          <w:lang w:val="en-US" w:eastAsia="zh-CN"/>
        </w:rPr>
        <w:t>，项目</w:t>
      </w:r>
      <w:r>
        <w:rPr>
          <w:rFonts w:hint="eastAsia" w:ascii="仿宋" w:hAnsi="仿宋" w:eastAsia="仿宋" w:cs="仿宋"/>
          <w:color w:val="auto"/>
          <w:highlight w:val="none"/>
          <w:lang w:val="en-US" w:eastAsia="zh-CN"/>
        </w:rPr>
        <w:t>实际到位资金16,266.51</w:t>
      </w:r>
      <w:r>
        <w:rPr>
          <w:rFonts w:hint="eastAsia" w:ascii="仿宋" w:hAnsi="仿宋" w:eastAsia="仿宋" w:cs="仿宋"/>
          <w:color w:val="auto"/>
          <w:highlight w:val="none"/>
          <w:lang w:val="en-US" w:eastAsia="zh-CN"/>
        </w:rPr>
        <w:t>万元，项目</w:t>
      </w:r>
      <w:r>
        <w:rPr>
          <w:rFonts w:hint="eastAsia" w:ascii="仿宋" w:hAnsi="仿宋" w:eastAsia="仿宋" w:cs="仿宋"/>
          <w:color w:val="auto"/>
          <w:highlight w:val="none"/>
          <w:lang w:val="en-US" w:eastAsia="zh-CN"/>
        </w:rPr>
        <w:t>资金到位率97.02</w:t>
      </w:r>
      <w:r>
        <w:rPr>
          <w:rFonts w:hint="eastAsia" w:ascii="仿宋" w:hAnsi="仿宋" w:eastAsia="仿宋" w:cs="仿宋"/>
          <w:color w:val="auto"/>
          <w:highlight w:val="none"/>
          <w:lang w:val="en-US" w:eastAsia="zh-CN"/>
        </w:rPr>
        <w:t>%，其中</w:t>
      </w:r>
      <w:r>
        <w:rPr>
          <w:rFonts w:hint="eastAsia" w:ascii="仿宋" w:hAnsi="仿宋" w:eastAsia="仿宋" w:cs="仿宋"/>
          <w:color w:val="auto"/>
          <w:highlight w:val="none"/>
          <w:lang w:val="en-US" w:eastAsia="zh-CN"/>
        </w:rPr>
        <w:t>专项债资金到位7,000</w:t>
      </w:r>
      <w:r>
        <w:rPr>
          <w:rFonts w:hint="eastAsia" w:ascii="仿宋" w:hAnsi="仿宋" w:eastAsia="仿宋" w:cs="仿宋"/>
          <w:color w:val="auto"/>
          <w:highlight w:val="none"/>
          <w:lang w:val="en-US" w:eastAsia="zh-CN"/>
        </w:rPr>
        <w:t>.00万元，项目单位自筹资金到位9,266.51万元。</w:t>
      </w:r>
      <w:r>
        <w:rPr>
          <w:rFonts w:hint="eastAsia" w:ascii="仿宋" w:hAnsi="仿宋" w:eastAsia="仿宋" w:cs="仿宋"/>
          <w:color w:val="auto"/>
          <w:highlight w:val="none"/>
          <w:lang w:val="en-US" w:eastAsia="zh-CN"/>
        </w:rPr>
        <w:t>项目累计</w:t>
      </w:r>
      <w:r>
        <w:rPr>
          <w:rFonts w:hint="eastAsia" w:ascii="仿宋" w:hAnsi="仿宋" w:eastAsia="仿宋" w:cs="仿宋"/>
          <w:color w:val="auto"/>
          <w:highlight w:val="none"/>
          <w:lang w:val="en-US" w:eastAsia="zh-CN"/>
        </w:rPr>
        <w:t>支出5,156.10</w:t>
      </w:r>
      <w:r>
        <w:rPr>
          <w:rFonts w:hint="eastAsia" w:ascii="仿宋" w:hAnsi="仿宋" w:eastAsia="仿宋" w:cs="仿宋"/>
          <w:color w:val="auto"/>
          <w:highlight w:val="none"/>
          <w:lang w:val="en-US" w:eastAsia="zh-CN"/>
        </w:rPr>
        <w:t>万元，预算资金</w:t>
      </w:r>
      <w:r>
        <w:rPr>
          <w:rFonts w:hint="eastAsia" w:ascii="仿宋" w:hAnsi="仿宋" w:eastAsia="仿宋" w:cs="仿宋"/>
          <w:color w:val="auto"/>
          <w:highlight w:val="none"/>
          <w:lang w:val="en-US" w:eastAsia="zh-CN"/>
        </w:rPr>
        <w:t>执行率31.70</w:t>
      </w:r>
      <w:r>
        <w:rPr>
          <w:rFonts w:hint="eastAsia" w:ascii="仿宋" w:hAnsi="仿宋" w:eastAsia="仿宋" w:cs="仿宋"/>
          <w:color w:val="auto"/>
          <w:highlight w:val="none"/>
          <w:lang w:val="en-US" w:eastAsia="zh-CN"/>
        </w:rPr>
        <w:t>%，其中</w:t>
      </w:r>
      <w:r>
        <w:rPr>
          <w:rFonts w:hint="eastAsia" w:ascii="仿宋" w:hAnsi="仿宋" w:eastAsia="仿宋" w:cs="仿宋"/>
          <w:color w:val="auto"/>
          <w:highlight w:val="none"/>
          <w:lang w:val="en-US" w:eastAsia="zh-CN"/>
        </w:rPr>
        <w:t>专项债资金累计支出5,156.10</w:t>
      </w:r>
      <w:r>
        <w:rPr>
          <w:rFonts w:hint="eastAsia" w:ascii="仿宋" w:hAnsi="仿宋" w:eastAsia="仿宋" w:cs="仿宋"/>
          <w:color w:val="auto"/>
          <w:highlight w:val="none"/>
          <w:lang w:val="en-US" w:eastAsia="zh-CN"/>
        </w:rPr>
        <w:t>万元，专项债券资金执行率为73.66</w:t>
      </w:r>
      <w:r>
        <w:rPr>
          <w:rFonts w:hint="eastAsia" w:ascii="仿宋" w:hAnsi="仿宋" w:eastAsia="仿宋" w:cs="仿宋"/>
          <w:color w:val="auto"/>
          <w:highlight w:val="none"/>
          <w:lang w:val="en-US" w:eastAsia="zh-CN"/>
        </w:rPr>
        <w:t>%。</w:t>
      </w:r>
    </w:p>
    <w:p w14:paraId="32C72BF4">
      <w:pPr>
        <w:pStyle w:val="18"/>
        <w:tabs>
          <w:tab w:val="left" w:pos="1276"/>
        </w:tabs>
        <w:spacing w:line="560" w:lineRule="exact"/>
        <w:ind w:firstLine="643" w:firstLineChars="200"/>
        <w:rPr>
          <w:rFonts w:ascii="黑体" w:hAnsi="黑体" w:eastAsia="黑体" w:cs="黑体"/>
          <w:b/>
          <w:bCs/>
          <w:sz w:val="32"/>
          <w:szCs w:val="32"/>
          <w:lang w:val="zh-TW" w:bidi="zh-TW"/>
        </w:rPr>
      </w:pPr>
      <w:r>
        <w:rPr>
          <w:rFonts w:hint="eastAsia" w:ascii="黑体" w:hAnsi="黑体" w:eastAsia="黑体" w:cs="黑体"/>
          <w:b/>
          <w:bCs/>
          <w:sz w:val="32"/>
          <w:szCs w:val="32"/>
          <w:lang w:val="zh-TW" w:bidi="zh-TW"/>
        </w:rPr>
        <w:t>二、评价原则与评</w:t>
      </w:r>
      <w:r>
        <w:rPr>
          <w:rFonts w:hint="eastAsia" w:ascii="黑体" w:hAnsi="黑体" w:eastAsia="黑体" w:cs="黑体"/>
          <w:b/>
          <w:bCs/>
          <w:sz w:val="32"/>
          <w:szCs w:val="32"/>
          <w:lang w:val="en-US" w:eastAsia="zh-CN" w:bidi="zh-TW"/>
        </w:rPr>
        <w:t>价</w:t>
      </w:r>
      <w:r>
        <w:rPr>
          <w:rFonts w:hint="eastAsia" w:ascii="黑体" w:hAnsi="黑体" w:eastAsia="黑体" w:cs="黑体"/>
          <w:b/>
          <w:bCs/>
          <w:sz w:val="32"/>
          <w:szCs w:val="32"/>
          <w:lang w:val="zh-TW" w:bidi="zh-TW"/>
        </w:rPr>
        <w:t>方法</w:t>
      </w:r>
    </w:p>
    <w:p w14:paraId="4222728C">
      <w:pPr>
        <w:ind w:firstLine="640"/>
        <w:rPr>
          <w:rFonts w:hint="eastAsia" w:ascii="仿宋" w:hAnsi="仿宋" w:eastAsia="仿宋" w:cs="仿宋"/>
          <w:color w:val="000000"/>
          <w:kern w:val="0"/>
          <w:lang w:val="zh-TW" w:eastAsia="zh-TW" w:bidi="zh-TW"/>
        </w:rPr>
      </w:pPr>
      <w:r>
        <w:rPr>
          <w:rFonts w:hint="eastAsia" w:ascii="仿宋" w:hAnsi="仿宋" w:eastAsia="仿宋" w:cs="仿宋"/>
          <w:color w:val="000000"/>
          <w:kern w:val="0"/>
          <w:lang w:val="zh-TW" w:eastAsia="zh-TW" w:bidi="zh-TW"/>
        </w:rPr>
        <w:t>本次评价主要基于</w:t>
      </w:r>
      <w:r>
        <w:rPr>
          <w:rFonts w:hint="eastAsia" w:ascii="仿宋" w:hAnsi="仿宋" w:eastAsia="仿宋" w:cs="仿宋"/>
          <w:color w:val="auto"/>
          <w:highlight w:val="none"/>
          <w:lang w:val="zh-CN"/>
        </w:rPr>
        <w:t>《河南省财政厅关于印发〈河南省省级预算项目支出绩效评价管理办法〉的通知》《河南省财政厅关于开展2024年度专项债券项目资金重点绩效评价工作的通知》（豫财债〔2025〕19号）</w:t>
      </w:r>
      <w:r>
        <w:rPr>
          <w:rFonts w:hint="eastAsia" w:ascii="仿宋" w:hAnsi="仿宋" w:eastAsia="仿宋" w:cs="仿宋"/>
          <w:color w:val="000000"/>
          <w:kern w:val="0"/>
          <w:lang w:val="zh-TW" w:eastAsia="zh-TW" w:bidi="zh-TW"/>
        </w:rPr>
        <w:t>中的指标体系及要求，遵循科学规范</w:t>
      </w:r>
      <w:r>
        <w:rPr>
          <w:rFonts w:hint="eastAsia" w:ascii="仿宋" w:hAnsi="仿宋" w:eastAsia="仿宋" w:cs="仿宋"/>
          <w:color w:val="000000"/>
          <w:kern w:val="0"/>
          <w:lang w:val="zh-TW" w:eastAsia="zh-CN" w:bidi="zh-TW"/>
        </w:rPr>
        <w:t>、</w:t>
      </w:r>
      <w:r>
        <w:rPr>
          <w:rFonts w:hint="eastAsia" w:ascii="仿宋" w:hAnsi="仿宋" w:eastAsia="仿宋" w:cs="仿宋"/>
          <w:color w:val="000000"/>
          <w:kern w:val="0"/>
          <w:lang w:val="zh-TW" w:eastAsia="zh-TW" w:bidi="zh-TW"/>
        </w:rPr>
        <w:t>公开公正</w:t>
      </w:r>
      <w:r>
        <w:rPr>
          <w:rFonts w:hint="eastAsia" w:ascii="仿宋" w:hAnsi="仿宋" w:eastAsia="仿宋" w:cs="仿宋"/>
          <w:color w:val="000000"/>
          <w:kern w:val="0"/>
          <w:lang w:val="zh-TW" w:eastAsia="zh-CN" w:bidi="zh-TW"/>
        </w:rPr>
        <w:t>、</w:t>
      </w:r>
      <w:r>
        <w:rPr>
          <w:rFonts w:hint="eastAsia" w:ascii="仿宋" w:hAnsi="仿宋" w:eastAsia="仿宋" w:cs="仿宋"/>
          <w:color w:val="000000"/>
          <w:kern w:val="0"/>
          <w:lang w:val="zh-TW" w:eastAsia="zh-TW" w:bidi="zh-TW"/>
        </w:rPr>
        <w:t>绩效相关的评价原则，采用因素分析法</w:t>
      </w:r>
      <w:r>
        <w:rPr>
          <w:rFonts w:hint="eastAsia" w:ascii="仿宋" w:hAnsi="仿宋" w:eastAsia="仿宋" w:cs="仿宋"/>
          <w:color w:val="000000"/>
          <w:kern w:val="0"/>
          <w:lang w:val="zh-TW" w:eastAsia="zh-CN" w:bidi="zh-TW"/>
        </w:rPr>
        <w:t>、</w:t>
      </w:r>
      <w:r>
        <w:rPr>
          <w:rFonts w:hint="eastAsia" w:ascii="仿宋" w:hAnsi="仿宋" w:eastAsia="仿宋" w:cs="仿宋"/>
          <w:color w:val="000000"/>
          <w:kern w:val="0"/>
          <w:lang w:val="zh-TW" w:eastAsia="zh-TW" w:bidi="zh-TW"/>
        </w:rPr>
        <w:t>公众评判法等评价方法，通过对绩效目标与实施效果、不同部门和地区同类支出的比较，综合分析影响绩效目标实现和实施效益的内外因素，再结合专家评价意见以及公众调查结果，对财政资金的决策、过程、产出和效益做出客观、公正的评价。</w:t>
      </w:r>
    </w:p>
    <w:p w14:paraId="1EB265A6">
      <w:pPr>
        <w:pStyle w:val="18"/>
        <w:tabs>
          <w:tab w:val="left" w:pos="1276"/>
        </w:tabs>
        <w:adjustRightInd w:val="0"/>
        <w:snapToGrid w:val="0"/>
        <w:spacing w:line="560" w:lineRule="exact"/>
        <w:ind w:firstLine="643" w:firstLineChars="200"/>
        <w:rPr>
          <w:rFonts w:hint="eastAsia" w:ascii="黑体" w:hAnsi="黑体" w:eastAsia="黑体" w:cs="黑体"/>
          <w:b/>
          <w:bCs/>
          <w:sz w:val="32"/>
          <w:szCs w:val="32"/>
          <w:lang w:val="zh-TW" w:bidi="zh-TW"/>
        </w:rPr>
      </w:pPr>
      <w:r>
        <w:rPr>
          <w:rFonts w:hint="eastAsia" w:ascii="黑体" w:hAnsi="黑体" w:eastAsia="黑体" w:cs="黑体"/>
          <w:b/>
          <w:bCs/>
          <w:sz w:val="32"/>
          <w:szCs w:val="32"/>
          <w:lang w:val="zh-TW" w:bidi="zh-TW"/>
        </w:rPr>
        <w:t>三、评价结论</w:t>
      </w:r>
    </w:p>
    <w:p w14:paraId="766F788E">
      <w:pPr>
        <w:ind w:firstLine="640"/>
        <w:rPr>
          <w:rFonts w:hint="eastAsia" w:ascii="仿宋" w:hAnsi="仿宋" w:eastAsia="仿宋" w:cs="仿宋"/>
          <w:color w:val="000000"/>
          <w:kern w:val="0"/>
          <w:lang w:val="zh-TW" w:eastAsia="zh-TW" w:bidi="zh-TW"/>
        </w:rPr>
      </w:pPr>
      <w:r>
        <w:rPr>
          <w:rFonts w:hint="eastAsia" w:ascii="仿宋" w:hAnsi="仿宋" w:eastAsia="仿宋" w:cs="仿宋"/>
          <w:color w:val="000000"/>
          <w:kern w:val="0"/>
          <w:lang w:val="zh-TW" w:eastAsia="zh-TW" w:bidi="zh-TW"/>
        </w:rPr>
        <w:t>根据既定指标体系和评分标准，经资料分析及现场核查，评价小组对“</w:t>
      </w:r>
      <w:sdt>
        <w:sdtPr>
          <w:rPr>
            <w:rFonts w:hint="eastAsia" w:ascii="仿宋" w:hAnsi="仿宋" w:eastAsia="仿宋" w:cs="仿宋"/>
            <w:color w:val="000000"/>
            <w:kern w:val="0"/>
            <w:lang w:val="en-US" w:eastAsia="zh-CN" w:bidi="zh-TW"/>
          </w:rPr>
          <w:id w:val="147483555"/>
          <w15:color w:val="DBDBDB"/>
          <w:docPartObj>
            <w:docPartGallery w:val="Table of Contents"/>
            <w:docPartUnique/>
          </w:docPartObj>
        </w:sdtPr>
        <w:sdtEndPr>
          <w:rPr>
            <w:rFonts w:hint="eastAsia" w:ascii="仿宋" w:hAnsi="仿宋" w:eastAsia="仿宋" w:cs="仿宋"/>
            <w:color w:val="000000"/>
            <w:kern w:val="0"/>
            <w:lang w:val="en-US" w:eastAsia="zh-CN" w:bidi="zh-TW"/>
          </w:rPr>
        </w:sdtEndPr>
        <w:sdtContent>
          <w:r>
            <w:rPr>
              <w:rFonts w:hint="eastAsia" w:ascii="仿宋" w:hAnsi="仿宋" w:eastAsia="仿宋" w:cs="仿宋"/>
              <w:color w:val="auto"/>
              <w:highlight w:val="none"/>
              <w:lang w:val="en-US" w:eastAsia="zh-CN"/>
            </w:rPr>
            <w:t>孟津区先进制造业开发区地下管网建设项目</w:t>
          </w:r>
        </w:sdtContent>
      </w:sdt>
      <w:r>
        <w:rPr>
          <w:rFonts w:hint="eastAsia" w:ascii="仿宋" w:hAnsi="仿宋" w:eastAsia="仿宋" w:cs="仿宋"/>
          <w:color w:val="000000"/>
          <w:kern w:val="0"/>
          <w:lang w:val="zh-TW" w:eastAsia="zh-TW" w:bidi="zh-TW"/>
        </w:rPr>
        <w:t>”的决策、</w:t>
      </w:r>
      <w:r>
        <w:rPr>
          <w:rFonts w:hint="eastAsia" w:ascii="仿宋" w:hAnsi="仿宋" w:eastAsia="仿宋" w:cs="仿宋"/>
          <w:color w:val="000000"/>
          <w:kern w:val="0"/>
          <w:lang w:val="en-US" w:eastAsia="zh-CN" w:bidi="zh-TW"/>
        </w:rPr>
        <w:t>管理</w:t>
      </w:r>
      <w:r>
        <w:rPr>
          <w:rFonts w:hint="eastAsia" w:ascii="仿宋" w:hAnsi="仿宋" w:eastAsia="仿宋" w:cs="仿宋"/>
          <w:color w:val="000000"/>
          <w:kern w:val="0"/>
          <w:lang w:val="zh-TW" w:eastAsia="zh-TW" w:bidi="zh-TW"/>
        </w:rPr>
        <w:t>、产出和效益进行了全面评价。</w:t>
      </w:r>
      <w:r>
        <w:rPr>
          <w:rFonts w:hint="eastAsia" w:ascii="仿宋" w:hAnsi="仿宋" w:eastAsia="仿宋" w:cs="仿宋"/>
          <w:color w:val="000000"/>
          <w:kern w:val="0"/>
          <w:lang w:val="en-US" w:eastAsia="zh-CN" w:bidi="zh-TW"/>
        </w:rPr>
        <w:t>截</w:t>
      </w:r>
      <w:r>
        <w:rPr>
          <w:rFonts w:hint="eastAsia" w:ascii="仿宋" w:hAnsi="仿宋" w:eastAsia="仿宋" w:cs="仿宋"/>
          <w:color w:val="auto"/>
          <w:highlight w:val="none"/>
          <w:lang w:val="zh-CN"/>
        </w:rPr>
        <w:t>至评价时段，项目仍在建设期，暂未形成</w:t>
      </w:r>
      <w:r>
        <w:rPr>
          <w:rFonts w:hint="eastAsia" w:ascii="仿宋" w:hAnsi="仿宋" w:eastAsia="仿宋" w:cs="仿宋"/>
          <w:color w:val="auto"/>
          <w:highlight w:val="none"/>
          <w:lang w:val="en-US" w:eastAsia="zh-CN"/>
        </w:rPr>
        <w:t>稳步</w:t>
      </w:r>
      <w:r>
        <w:rPr>
          <w:rFonts w:hint="eastAsia" w:ascii="仿宋" w:hAnsi="仿宋" w:eastAsia="仿宋" w:cs="仿宋"/>
          <w:color w:val="auto"/>
          <w:highlight w:val="none"/>
          <w:lang w:val="zh-CN"/>
        </w:rPr>
        <w:t>运营收入和收益。</w:t>
      </w:r>
      <w:r>
        <w:rPr>
          <w:rFonts w:hint="eastAsia" w:ascii="仿宋" w:hAnsi="仿宋" w:eastAsia="仿宋" w:cs="仿宋"/>
          <w:color w:val="auto"/>
          <w:highlight w:val="none"/>
          <w:lang w:val="en-US" w:eastAsia="zh-CN"/>
        </w:rPr>
        <w:t>该项目</w:t>
      </w:r>
      <w:r>
        <w:rPr>
          <w:rFonts w:hint="eastAsia" w:ascii="仿宋" w:hAnsi="仿宋" w:eastAsia="仿宋" w:cs="仿宋"/>
          <w:color w:val="auto"/>
          <w:highlight w:val="none"/>
          <w:lang w:val="zh-CN"/>
        </w:rPr>
        <w:t>总得分为</w:t>
      </w:r>
      <w:r>
        <w:rPr>
          <w:rFonts w:hint="eastAsia" w:ascii="仿宋" w:hAnsi="仿宋" w:eastAsia="仿宋" w:cs="仿宋"/>
          <w:color w:val="auto"/>
          <w:highlight w:val="none"/>
          <w:lang w:val="en-US" w:eastAsia="zh-CN"/>
        </w:rPr>
        <w:t>94.13</w:t>
      </w:r>
      <w:r>
        <w:rPr>
          <w:rFonts w:hint="eastAsia" w:ascii="仿宋" w:hAnsi="仿宋" w:eastAsia="仿宋" w:cs="仿宋"/>
          <w:color w:val="auto"/>
          <w:highlight w:val="none"/>
        </w:rPr>
        <w:t>分</w:t>
      </w:r>
      <w:r>
        <w:rPr>
          <w:rFonts w:hint="eastAsia" w:ascii="仿宋" w:hAnsi="仿宋" w:eastAsia="仿宋" w:cs="仿宋"/>
          <w:color w:val="auto"/>
          <w:highlight w:val="none"/>
          <w:lang w:val="zh-CN"/>
        </w:rPr>
        <w:t>，项目评价等级为“</w:t>
      </w:r>
      <w:r>
        <w:rPr>
          <w:rFonts w:hint="eastAsia" w:ascii="仿宋" w:hAnsi="仿宋" w:eastAsia="仿宋" w:cs="仿宋"/>
          <w:color w:val="auto"/>
          <w:highlight w:val="none"/>
          <w:lang w:val="en-US" w:eastAsia="zh-CN"/>
        </w:rPr>
        <w:t>优</w:t>
      </w:r>
      <w:r>
        <w:rPr>
          <w:rFonts w:hint="eastAsia" w:ascii="仿宋" w:hAnsi="仿宋" w:eastAsia="仿宋" w:cs="仿宋"/>
          <w:color w:val="auto"/>
          <w:highlight w:val="none"/>
          <w:lang w:val="zh-CN"/>
        </w:rPr>
        <w:t>”。</w:t>
      </w:r>
    </w:p>
    <w:p w14:paraId="7EB653E9">
      <w:pPr>
        <w:ind w:firstLine="643"/>
        <w:rPr>
          <w:rFonts w:hint="default"/>
          <w:color w:val="auto"/>
          <w:highlight w:val="none"/>
          <w:lang w:val="en-US" w:eastAsia="zh-CN"/>
        </w:rPr>
      </w:pPr>
      <w:r>
        <w:rPr>
          <w:rFonts w:hint="eastAsia" w:ascii="黑体" w:hAnsi="黑体" w:eastAsia="黑体" w:cs="黑体"/>
          <w:b/>
          <w:bCs/>
          <w:lang w:val="en-US" w:eastAsia="zh-CN"/>
        </w:rPr>
        <w:t>四</w:t>
      </w:r>
      <w:r>
        <w:rPr>
          <w:rFonts w:hint="eastAsia" w:ascii="黑体" w:hAnsi="黑体" w:eastAsia="黑体" w:cs="黑体"/>
          <w:b/>
          <w:bCs/>
          <w:lang w:val="zh-CN"/>
        </w:rPr>
        <w:t>、存在问题</w:t>
      </w:r>
    </w:p>
    <w:p w14:paraId="33339ED6">
      <w:pPr>
        <w:pStyle w:val="2"/>
        <w:bidi w:val="0"/>
        <w:rPr>
          <w:rFonts w:hint="default"/>
          <w:color w:val="auto"/>
          <w:highlight w:val="none"/>
          <w:lang w:val="en-US" w:eastAsia="zh-CN"/>
        </w:rPr>
      </w:pPr>
      <w:r>
        <w:rPr>
          <w:rFonts w:hint="eastAsia"/>
          <w:color w:val="auto"/>
          <w:highlight w:val="none"/>
          <w:lang w:val="en-US" w:eastAsia="zh-CN"/>
        </w:rPr>
        <w:t>（一）项目管理有待提升</w:t>
      </w:r>
    </w:p>
    <w:p w14:paraId="12CC1EF4">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项目资料精细化管理不到位。经评价组查阅《施工日记》，施工日记信息填写不完整，记录人未签字，施工方日常工作精细化管理不到位。</w:t>
      </w:r>
    </w:p>
    <w:p w14:paraId="6DE83C62">
      <w:pPr>
        <w:pStyle w:val="2"/>
        <w:bidi w:val="0"/>
        <w:rPr>
          <w:rFonts w:hint="eastAsia"/>
          <w:color w:val="auto"/>
          <w:highlight w:val="none"/>
          <w:lang w:val="en-US" w:eastAsia="zh-CN"/>
        </w:rPr>
      </w:pPr>
      <w:r>
        <w:rPr>
          <w:rFonts w:hint="eastAsia"/>
          <w:color w:val="auto"/>
          <w:highlight w:val="none"/>
          <w:lang w:val="en-US" w:eastAsia="zh-CN"/>
        </w:rPr>
        <w:t>（二）绩效指标设置不合理，未落实绩效评价工作</w:t>
      </w:r>
    </w:p>
    <w:p w14:paraId="3EAEEAEB">
      <w:pPr>
        <w:bidi w:val="0"/>
        <w:rPr>
          <w:rFonts w:hint="eastAsia" w:ascii="仿宋" w:hAnsi="仿宋" w:eastAsia="仿宋" w:cs="仿宋"/>
          <w:color w:val="auto"/>
          <w:highlight w:val="none"/>
          <w:lang w:val="en-US" w:eastAsia="zh-CN"/>
        </w:rPr>
      </w:pPr>
      <w:bookmarkStart w:id="0" w:name="_Toc355"/>
      <w:bookmarkStart w:id="1" w:name="_Toc11644"/>
      <w:bookmarkStart w:id="2" w:name="_Toc28185"/>
      <w:bookmarkStart w:id="3" w:name="_Toc19173"/>
      <w:bookmarkStart w:id="4" w:name="_Toc19791"/>
      <w:bookmarkStart w:id="5" w:name="_Toc31597"/>
      <w:bookmarkStart w:id="6" w:name="_Toc20371"/>
      <w:bookmarkStart w:id="7" w:name="_Toc22329"/>
      <w:r>
        <w:rPr>
          <w:rFonts w:hint="eastAsia" w:ascii="仿宋" w:hAnsi="仿宋" w:eastAsia="仿宋" w:cs="仿宋"/>
          <w:color w:val="auto"/>
          <w:highlight w:val="none"/>
          <w:lang w:val="en-US" w:eastAsia="zh-CN"/>
        </w:rPr>
        <w:t>一是绩效指标设置不合理。洛阳隆兴投资控股集团有限公司针对地下管网建设项目设置了绩效指标，其中产出成本指标设置为“概算超支率≤10%”。结合各地实践，专项债项目需严格执行预算管理，原则上不允许随意超支，根据财政部要求，专项债资金使用需“专款专用”，且项目预算调整需履行法定程序（如报同级人大或上级部门审批）。河南省近年强调“穿透式监管”，超支可能引发审计风险或债务管控问题，为避免相关风险，建议将产出成本指标设置为“概算超支率≤0%”。</w:t>
      </w:r>
    </w:p>
    <w:p w14:paraId="7A47DA28">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二是洛阳隆兴投资控股集团有限公司未落实绩效监控及评价工作。在项目实施过程中，项目单位未对项目产出情况、效益实现情况等绩效目标进行监控，未形成监控报告；未对项目进行绩效评价，未形成绩效评价报告等资料。</w:t>
      </w:r>
    </w:p>
    <w:bookmarkEnd w:id="0"/>
    <w:bookmarkEnd w:id="1"/>
    <w:bookmarkEnd w:id="2"/>
    <w:bookmarkEnd w:id="3"/>
    <w:bookmarkEnd w:id="4"/>
    <w:bookmarkEnd w:id="5"/>
    <w:bookmarkEnd w:id="6"/>
    <w:bookmarkEnd w:id="7"/>
    <w:p w14:paraId="64C484BC">
      <w:pPr>
        <w:pStyle w:val="18"/>
        <w:tabs>
          <w:tab w:val="left" w:pos="1276"/>
        </w:tabs>
        <w:spacing w:line="560" w:lineRule="exact"/>
        <w:ind w:firstLine="643" w:firstLineChars="200"/>
        <w:rPr>
          <w:rFonts w:ascii="黑体" w:hAnsi="黑体" w:eastAsia="黑体" w:cs="黑体"/>
          <w:b/>
          <w:bCs/>
          <w:sz w:val="32"/>
          <w:szCs w:val="32"/>
          <w:lang w:bidi="zh-TW"/>
        </w:rPr>
      </w:pPr>
      <w:r>
        <w:rPr>
          <w:rFonts w:hint="eastAsia" w:ascii="黑体" w:hAnsi="黑体" w:eastAsia="黑体" w:cs="黑体"/>
          <w:b/>
          <w:bCs/>
          <w:sz w:val="32"/>
          <w:szCs w:val="32"/>
          <w:lang w:val="en-US" w:eastAsia="zh-CN" w:bidi="zh-TW"/>
        </w:rPr>
        <w:t>五</w:t>
      </w:r>
      <w:r>
        <w:rPr>
          <w:rFonts w:hint="eastAsia" w:ascii="黑体" w:hAnsi="黑体" w:eastAsia="黑体" w:cs="黑体"/>
          <w:b/>
          <w:bCs/>
          <w:sz w:val="32"/>
          <w:szCs w:val="32"/>
          <w:lang w:bidi="zh-TW"/>
        </w:rPr>
        <w:t>、有关建议</w:t>
      </w:r>
    </w:p>
    <w:p w14:paraId="0CC0821D">
      <w:pPr>
        <w:pStyle w:val="2"/>
        <w:bidi w:val="0"/>
        <w:rPr>
          <w:rFonts w:hint="eastAsia"/>
          <w:color w:val="auto"/>
          <w:highlight w:val="none"/>
          <w:lang w:val="en-US" w:eastAsia="zh-CN"/>
        </w:rPr>
      </w:pPr>
      <w:r>
        <w:rPr>
          <w:rFonts w:hint="eastAsia"/>
          <w:color w:val="auto"/>
          <w:highlight w:val="none"/>
          <w:lang w:val="en-US" w:eastAsia="zh-CN"/>
        </w:rPr>
        <w:t>（一）严格落实项目单位监督、管理责任</w:t>
      </w:r>
    </w:p>
    <w:p w14:paraId="1548B94F">
      <w:pPr>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明确项目相关方责任划分，制定资料检验流程，定期对项目相关资料进行检查、整理，确保工程施工资料准确、完整。建立考核与奖惩机制，将资料管理纳入考核项，将考核结果与资金支付机制挂钩。</w:t>
      </w:r>
    </w:p>
    <w:p w14:paraId="2CE6D5DE">
      <w:pPr>
        <w:pStyle w:val="2"/>
        <w:bidi w:val="0"/>
        <w:rPr>
          <w:rFonts w:hint="eastAsia"/>
          <w:color w:val="auto"/>
          <w:highlight w:val="none"/>
          <w:lang w:val="en-US" w:eastAsia="zh-CN"/>
        </w:rPr>
      </w:pPr>
      <w:r>
        <w:rPr>
          <w:rFonts w:hint="eastAsia"/>
          <w:color w:val="auto"/>
          <w:highlight w:val="none"/>
          <w:lang w:val="en-US" w:eastAsia="zh-CN"/>
        </w:rPr>
        <w:t>（二）提高绩效管理意识，实现项目全过程监控</w:t>
      </w:r>
    </w:p>
    <w:p w14:paraId="7B9A4E1B">
      <w:pPr>
        <w:bidi w:val="0"/>
        <w:rPr>
          <w:rFonts w:hint="eastAsia"/>
          <w:color w:val="auto"/>
          <w:highlight w:val="none"/>
          <w:lang w:val="en-US" w:eastAsia="zh-CN"/>
        </w:rPr>
      </w:pPr>
      <w:r>
        <w:rPr>
          <w:rFonts w:hint="eastAsia" w:ascii="仿宋" w:hAnsi="仿宋" w:eastAsia="仿宋" w:cs="仿宋"/>
          <w:color w:val="auto"/>
          <w:highlight w:val="none"/>
          <w:lang w:val="en-US" w:eastAsia="zh-CN"/>
        </w:rPr>
        <w:t>洛阳隆兴投资控股集团有限公司应建立“预算编制-执行监控-评价应用”三位一体机制，将绩效目标作为预算安排前置条件，设定合理的产出指标、效益指标和满意度指标三级体系。在项目实施过程中推行“双监控”模式，按月核查资金支出进度及项目进展情况，及时对监控过程中发现的问题进行整改，确保项目绩效目标的实现。项目建设完成后项目单位可组织项目部、财务部等相关部门进行项目绩效自评总结</w:t>
      </w:r>
      <w:bookmarkStart w:id="8" w:name="_GoBack"/>
      <w:bookmarkEnd w:id="8"/>
      <w:r>
        <w:rPr>
          <w:rFonts w:hint="eastAsia" w:ascii="仿宋" w:hAnsi="仿宋" w:eastAsia="仿宋" w:cs="仿宋"/>
          <w:color w:val="auto"/>
          <w:highlight w:val="none"/>
          <w:lang w:val="en-US" w:eastAsia="zh-CN"/>
        </w:rPr>
        <w:t>，并将绩效评价结果进行应用，提高财政资金使用效率。</w:t>
      </w:r>
    </w:p>
    <w:p w14:paraId="0D577892">
      <w:pPr>
        <w:ind w:firstLine="640"/>
        <w:rPr>
          <w:rFonts w:hint="eastAsia" w:ascii="仿宋" w:hAnsi="仿宋" w:eastAsia="仿宋" w:cs="仿宋"/>
          <w:color w:val="000000"/>
          <w:kern w:val="0"/>
          <w:lang w:val="zh-TW" w:eastAsia="zh-TW" w:bidi="zh-TW"/>
        </w:rPr>
      </w:pPr>
    </w:p>
    <w:sectPr>
      <w:footerReference r:id="rId5" w:type="default"/>
      <w:pgSz w:w="11906" w:h="16838"/>
      <w:pgMar w:top="2098" w:right="1474" w:bottom="1984" w:left="1587" w:header="851" w:footer="992" w:gutter="0"/>
      <w:pgNumType w:fmt="decimal" w:start="1"/>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9FDBD">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BC40E0">
                          <w:pPr>
                            <w:pStyle w:val="8"/>
                          </w:pPr>
                          <w:r>
                            <w:rPr>
                              <w:rFonts w:hint="eastAsia" w:ascii="仿宋" w:hAnsi="仿宋" w:eastAsia="仿宋" w:cs="仿宋"/>
                              <w:sz w:val="28"/>
                              <w:szCs w:val="28"/>
                            </w:rPr>
                            <w:t xml:space="preserve">第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BC40E0">
                    <w:pPr>
                      <w:pStyle w:val="8"/>
                    </w:pPr>
                    <w:r>
                      <w:rPr>
                        <w:rFonts w:hint="eastAsia" w:ascii="仿宋" w:hAnsi="仿宋" w:eastAsia="仿宋" w:cs="仿宋"/>
                        <w:sz w:val="28"/>
                        <w:szCs w:val="28"/>
                      </w:rPr>
                      <w:t xml:space="preserve">第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6"/>
      <w:lvlText w:val="第%1章　"/>
      <w:lvlJc w:val="left"/>
      <w:pPr>
        <w:tabs>
          <w:tab w:val="left" w:pos="1440"/>
        </w:tabs>
        <w:ind w:left="1470" w:hanging="720"/>
      </w:pPr>
      <w:rPr>
        <w:rFonts w:hint="eastAsia" w:cs="Times New Roman"/>
        <w:sz w:val="32"/>
      </w:rPr>
    </w:lvl>
    <w:lvl w:ilvl="1" w:tentative="0">
      <w:start w:val="1"/>
      <w:numFmt w:val="lowerRoman"/>
      <w:lvlText w:val="(%2)"/>
      <w:lvlJc w:val="left"/>
      <w:pPr>
        <w:tabs>
          <w:tab w:val="left" w:pos="861"/>
        </w:tabs>
        <w:ind w:left="1611" w:hanging="720"/>
      </w:pPr>
      <w:rPr>
        <w:rFonts w:hint="eastAsia" w:cs="Times New Roman"/>
      </w:rPr>
    </w:lvl>
    <w:lvl w:ilvl="2" w:tentative="0">
      <w:start w:val="1"/>
      <w:numFmt w:val="lowerLetter"/>
      <w:lvlText w:val="(%3)"/>
      <w:lvlJc w:val="left"/>
      <w:pPr>
        <w:tabs>
          <w:tab w:val="left" w:pos="1335"/>
        </w:tabs>
        <w:ind w:left="2085" w:hanging="495"/>
      </w:pPr>
      <w:rPr>
        <w:rFonts w:hint="eastAsia" w:cs="Times New Roman"/>
      </w:rPr>
    </w:lvl>
    <w:lvl w:ilvl="3" w:tentative="0">
      <w:start w:val="1"/>
      <w:numFmt w:val="decimal"/>
      <w:lvlText w:val="%4."/>
      <w:lvlJc w:val="left"/>
      <w:pPr>
        <w:tabs>
          <w:tab w:val="left" w:pos="1680"/>
        </w:tabs>
        <w:ind w:left="2430" w:hanging="420"/>
      </w:pPr>
      <w:rPr>
        <w:rFonts w:cs="Times New Roman"/>
      </w:rPr>
    </w:lvl>
    <w:lvl w:ilvl="4" w:tentative="0">
      <w:start w:val="1"/>
      <w:numFmt w:val="lowerLetter"/>
      <w:lvlText w:val="%5)"/>
      <w:lvlJc w:val="left"/>
      <w:pPr>
        <w:tabs>
          <w:tab w:val="left" w:pos="2100"/>
        </w:tabs>
        <w:ind w:left="2850" w:hanging="420"/>
      </w:pPr>
      <w:rPr>
        <w:rFonts w:cs="Times New Roman"/>
      </w:rPr>
    </w:lvl>
    <w:lvl w:ilvl="5" w:tentative="0">
      <w:start w:val="1"/>
      <w:numFmt w:val="lowerRoman"/>
      <w:lvlText w:val="%6."/>
      <w:lvlJc w:val="right"/>
      <w:pPr>
        <w:tabs>
          <w:tab w:val="left" w:pos="2520"/>
        </w:tabs>
        <w:ind w:left="3270" w:hanging="420"/>
      </w:pPr>
      <w:rPr>
        <w:rFonts w:cs="Times New Roman"/>
      </w:rPr>
    </w:lvl>
    <w:lvl w:ilvl="6" w:tentative="0">
      <w:start w:val="1"/>
      <w:numFmt w:val="decimal"/>
      <w:lvlText w:val="%7."/>
      <w:lvlJc w:val="left"/>
      <w:pPr>
        <w:tabs>
          <w:tab w:val="left" w:pos="2940"/>
        </w:tabs>
        <w:ind w:left="3690" w:hanging="420"/>
      </w:pPr>
      <w:rPr>
        <w:rFonts w:cs="Times New Roman"/>
      </w:rPr>
    </w:lvl>
    <w:lvl w:ilvl="7" w:tentative="0">
      <w:start w:val="1"/>
      <w:numFmt w:val="lowerLetter"/>
      <w:lvlText w:val="%8)"/>
      <w:lvlJc w:val="left"/>
      <w:pPr>
        <w:tabs>
          <w:tab w:val="left" w:pos="3360"/>
        </w:tabs>
        <w:ind w:left="4110" w:hanging="420"/>
      </w:pPr>
      <w:rPr>
        <w:rFonts w:cs="Times New Roman"/>
      </w:rPr>
    </w:lvl>
    <w:lvl w:ilvl="8" w:tentative="0">
      <w:start w:val="1"/>
      <w:numFmt w:val="lowerRoman"/>
      <w:lvlText w:val="%9."/>
      <w:lvlJc w:val="right"/>
      <w:pPr>
        <w:tabs>
          <w:tab w:val="left" w:pos="3780"/>
        </w:tabs>
        <w:ind w:left="453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5F1712"/>
    <w:rsid w:val="000E508F"/>
    <w:rsid w:val="001A5A46"/>
    <w:rsid w:val="002A201D"/>
    <w:rsid w:val="00313AC1"/>
    <w:rsid w:val="00525EAE"/>
    <w:rsid w:val="005F1712"/>
    <w:rsid w:val="00FA5432"/>
    <w:rsid w:val="03B43E82"/>
    <w:rsid w:val="06FD5E60"/>
    <w:rsid w:val="0D67306D"/>
    <w:rsid w:val="122E5DFF"/>
    <w:rsid w:val="16FB1CD6"/>
    <w:rsid w:val="1E996321"/>
    <w:rsid w:val="1EAC0A87"/>
    <w:rsid w:val="1ECC2C27"/>
    <w:rsid w:val="215E0086"/>
    <w:rsid w:val="27EE4D8D"/>
    <w:rsid w:val="32C51A10"/>
    <w:rsid w:val="35B8653B"/>
    <w:rsid w:val="39B41383"/>
    <w:rsid w:val="452E51C6"/>
    <w:rsid w:val="465D70D7"/>
    <w:rsid w:val="46AD5D96"/>
    <w:rsid w:val="481608EC"/>
    <w:rsid w:val="4AE6243F"/>
    <w:rsid w:val="5B8D57CE"/>
    <w:rsid w:val="5C7B7F81"/>
    <w:rsid w:val="635A392B"/>
    <w:rsid w:val="651B533C"/>
    <w:rsid w:val="6833299C"/>
    <w:rsid w:val="68AC53A8"/>
    <w:rsid w:val="6A965D63"/>
    <w:rsid w:val="6D785FE0"/>
    <w:rsid w:val="796573F6"/>
    <w:rsid w:val="7C9D6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880" w:firstLineChars="200"/>
      <w:jc w:val="both"/>
    </w:pPr>
    <w:rPr>
      <w:rFonts w:ascii="Times New Roman" w:hAnsi="Times New Roman" w:eastAsia="仿宋" w:cs="仿宋"/>
      <w:kern w:val="2"/>
      <w:sz w:val="32"/>
      <w:szCs w:val="32"/>
      <w:lang w:val="en-US" w:eastAsia="zh-CN" w:bidi="ar-SA"/>
    </w:rPr>
  </w:style>
  <w:style w:type="paragraph" w:styleId="2">
    <w:name w:val="heading 2"/>
    <w:basedOn w:val="1"/>
    <w:next w:val="1"/>
    <w:unhideWhenUsed/>
    <w:qFormat/>
    <w:uiPriority w:val="0"/>
    <w:pPr>
      <w:spacing w:line="640" w:lineRule="exact"/>
      <w:ind w:firstLine="964" w:firstLineChars="200"/>
      <w:jc w:val="left"/>
      <w:outlineLvl w:val="1"/>
    </w:pPr>
    <w:rPr>
      <w:rFonts w:ascii="楷体" w:hAnsi="楷体" w:eastAsia="楷体" w:cs="楷体"/>
      <w:b/>
      <w:bCs/>
    </w:rPr>
  </w:style>
  <w:style w:type="paragraph" w:styleId="3">
    <w:name w:val="heading 3"/>
    <w:basedOn w:val="1"/>
    <w:next w:val="1"/>
    <w:unhideWhenUsed/>
    <w:qFormat/>
    <w:uiPriority w:val="0"/>
    <w:pPr>
      <w:ind w:firstLine="640"/>
      <w:outlineLvl w:val="2"/>
    </w:pPr>
    <w:rPr>
      <w:rFonts w:ascii="仿宋" w:hAnsi="仿宋"/>
      <w:b/>
      <w:bCs/>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link w:val="14"/>
    <w:semiHidden/>
    <w:unhideWhenUsed/>
    <w:qFormat/>
    <w:uiPriority w:val="99"/>
    <w:pPr>
      <w:spacing w:after="120"/>
    </w:pPr>
  </w:style>
  <w:style w:type="paragraph" w:styleId="6">
    <w:name w:val="Body Text 2"/>
    <w:basedOn w:val="1"/>
    <w:qFormat/>
    <w:uiPriority w:val="99"/>
    <w:pPr>
      <w:numPr>
        <w:ilvl w:val="0"/>
        <w:numId w:val="1"/>
      </w:numPr>
      <w:spacing w:beforeLines="50" w:line="336" w:lineRule="auto"/>
      <w:ind w:firstLine="0"/>
    </w:pPr>
    <w:rPr>
      <w:rFonts w:eastAsia="黑体"/>
      <w:lang w:val="en-GB"/>
    </w:rPr>
  </w:style>
  <w:style w:type="paragraph" w:styleId="7">
    <w:name w:val="Body Text Indent"/>
    <w:basedOn w:val="1"/>
    <w:semiHidden/>
    <w:unhideWhenUsed/>
    <w:qFormat/>
    <w:uiPriority w:val="99"/>
    <w:pPr>
      <w:spacing w:line="560" w:lineRule="exact"/>
      <w:ind w:firstLine="600"/>
    </w:pPr>
    <w:rPr>
      <w:rFonts w:ascii="仿宋_GB2312" w:hAnsi="仿宋_GB2312" w:eastAsia="仿宋_GB2312"/>
      <w:szCs w:val="30"/>
    </w:rPr>
  </w:style>
  <w:style w:type="paragraph" w:styleId="8">
    <w:name w:val="footer"/>
    <w:basedOn w:val="1"/>
    <w:link w:val="16"/>
    <w:unhideWhenUsed/>
    <w:qFormat/>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paragraph" w:styleId="10">
    <w:name w:val="Body Text First Indent"/>
    <w:basedOn w:val="5"/>
    <w:next w:val="11"/>
    <w:link w:val="17"/>
    <w:unhideWhenUsed/>
    <w:qFormat/>
    <w:uiPriority w:val="99"/>
    <w:pPr>
      <w:ind w:firstLine="420" w:firstLineChars="100"/>
    </w:pPr>
  </w:style>
  <w:style w:type="paragraph" w:styleId="11">
    <w:name w:val="Body Text First Indent 2"/>
    <w:basedOn w:val="7"/>
    <w:next w:val="1"/>
    <w:semiHidden/>
    <w:unhideWhenUsed/>
    <w:qFormat/>
    <w:uiPriority w:val="99"/>
    <w:pPr>
      <w:spacing w:line="240" w:lineRule="auto"/>
      <w:ind w:firstLine="0" w:firstLineChars="0"/>
    </w:pPr>
    <w:rPr>
      <w:rFonts w:ascii="Times New Roman" w:hAnsi="Times New Roman"/>
      <w:sz w:val="28"/>
      <w:szCs w:val="28"/>
    </w:rPr>
  </w:style>
  <w:style w:type="character" w:customStyle="1" w:styleId="14">
    <w:name w:val="正文文本 字符"/>
    <w:basedOn w:val="13"/>
    <w:link w:val="5"/>
    <w:semiHidden/>
    <w:qFormat/>
    <w:uiPriority w:val="99"/>
    <w:rPr>
      <w:rFonts w:ascii="Times New Roman" w:hAnsi="Times New Roman" w:eastAsia="仿宋_GB2312" w:cs="Times New Roman"/>
      <w:sz w:val="32"/>
      <w:szCs w:val="32"/>
    </w:rPr>
  </w:style>
  <w:style w:type="character" w:customStyle="1" w:styleId="15">
    <w:name w:val="页眉 字符"/>
    <w:basedOn w:val="13"/>
    <w:link w:val="9"/>
    <w:qFormat/>
    <w:uiPriority w:val="99"/>
    <w:rPr>
      <w:sz w:val="18"/>
      <w:szCs w:val="18"/>
    </w:rPr>
  </w:style>
  <w:style w:type="character" w:customStyle="1" w:styleId="16">
    <w:name w:val="页脚 字符"/>
    <w:basedOn w:val="13"/>
    <w:link w:val="8"/>
    <w:qFormat/>
    <w:uiPriority w:val="99"/>
    <w:rPr>
      <w:sz w:val="18"/>
      <w:szCs w:val="18"/>
    </w:rPr>
  </w:style>
  <w:style w:type="character" w:customStyle="1" w:styleId="17">
    <w:name w:val="正文首行缩进 字符"/>
    <w:basedOn w:val="14"/>
    <w:link w:val="10"/>
    <w:qFormat/>
    <w:uiPriority w:val="99"/>
    <w:rPr>
      <w:rFonts w:ascii="Times New Roman" w:hAnsi="Times New Roman" w:eastAsia="仿宋_GB2312" w:cs="Times New Roman"/>
      <w:sz w:val="32"/>
      <w:szCs w:val="32"/>
    </w:rPr>
  </w:style>
  <w:style w:type="paragraph" w:customStyle="1" w:styleId="18">
    <w:name w:val="Body text|1"/>
    <w:basedOn w:val="1"/>
    <w:qFormat/>
    <w:uiPriority w:val="0"/>
    <w:pPr>
      <w:adjustRightInd/>
      <w:snapToGrid/>
      <w:spacing w:line="420" w:lineRule="auto"/>
      <w:ind w:firstLine="400" w:firstLineChars="0"/>
      <w:jc w:val="left"/>
    </w:pPr>
    <w:rPr>
      <w:rFonts w:ascii="宋体" w:hAnsi="宋体" w:eastAsia="宋体" w:cs="宋体"/>
      <w:color w:val="000000"/>
      <w:kern w:val="0"/>
      <w:sz w:val="30"/>
      <w:szCs w:val="30"/>
    </w:rPr>
  </w:style>
  <w:style w:type="paragraph" w:customStyle="1" w:styleId="19">
    <w:name w:val="Heading #1|1"/>
    <w:basedOn w:val="1"/>
    <w:qFormat/>
    <w:uiPriority w:val="0"/>
    <w:pPr>
      <w:adjustRightInd/>
      <w:snapToGrid/>
      <w:spacing w:after="3160" w:line="240" w:lineRule="auto"/>
      <w:ind w:firstLine="0" w:firstLineChars="0"/>
      <w:jc w:val="center"/>
      <w:outlineLvl w:val="0"/>
    </w:pPr>
    <w:rPr>
      <w:rFonts w:ascii="宋体" w:hAnsi="宋体" w:eastAsia="宋体" w:cs="宋体"/>
      <w:color w:val="000000"/>
      <w:kern w:val="0"/>
      <w:sz w:val="42"/>
      <w:szCs w:val="42"/>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4052</Words>
  <Characters>4384</Characters>
  <Lines>16</Lines>
  <Paragraphs>4</Paragraphs>
  <TotalTime>2</TotalTime>
  <ScaleCrop>false</ScaleCrop>
  <LinksUpToDate>false</LinksUpToDate>
  <CharactersWithSpaces>4384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2022-07-11T02:36:00Z</dcterms:created>
  <dc:creator>hnzyzd@163.com</dc:creator>
  <cp:lastModifiedBy>王丰阁</cp:lastModifiedBy>
  <dcterms:modified xsi:type="dcterms:W3CDTF">2025-11-27T12:30:08Z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791AC9A34BCC4E50813274694C6591C8_13</vt:lpwstr>
  </property>
  <property fmtid="{D5CDD505-2E9C-101B-9397-08002B2CF9AE}" pid="4" name="KSOTemplateDocerSaveRecord">
    <vt:lpwstr>eyJoZGlkIjoiMzEwNTM5NzYwMDRjMzkwZTVkZjY2ODkwMGIxNGU0OTUiLCJ1c2VySWQiOiI2Mzg2MjMyMjUifQ==</vt:lpwstr>
  </property>
</Properties>
</file>