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5AABD">
      <w:pPr>
        <w:keepNext w:val="0"/>
        <w:keepLines w:val="0"/>
        <w:pageBreakBefore w:val="0"/>
        <w:widowControl w:val="0"/>
        <w:numPr>
          <w:ilvl w:val="0"/>
          <w:numId w:val="0"/>
        </w:numPr>
        <w:kinsoku/>
        <w:wordWrap/>
        <w:overflowPunct/>
        <w:topLinePunct w:val="0"/>
        <w:autoSpaceDE/>
        <w:autoSpaceDN/>
        <w:bidi w:val="0"/>
        <w:adjustRightInd/>
        <w:snapToGrid/>
        <w:ind w:left="0" w:leftChars="0" w:right="0" w:rightChars="0" w:firstLine="0" w:firstLineChars="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t>计划生育家庭奖励帮扶项目</w:t>
      </w:r>
    </w:p>
    <w:p w14:paraId="6B94F602">
      <w:pPr>
        <w:keepNext w:val="0"/>
        <w:keepLines w:val="0"/>
        <w:pageBreakBefore w:val="0"/>
        <w:widowControl w:val="0"/>
        <w:numPr>
          <w:ilvl w:val="0"/>
          <w:numId w:val="0"/>
        </w:numPr>
        <w:kinsoku/>
        <w:wordWrap/>
        <w:overflowPunct/>
        <w:topLinePunct w:val="0"/>
        <w:autoSpaceDE/>
        <w:autoSpaceDN/>
        <w:bidi w:val="0"/>
        <w:adjustRightInd/>
        <w:snapToGrid/>
        <w:ind w:left="0" w:leftChars="0" w:right="0" w:rightChars="0" w:firstLine="0" w:firstLineChars="0"/>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rPr>
        <w:t>财政重点绩效评价报告</w:t>
      </w:r>
    </w:p>
    <w:p w14:paraId="35A780CA">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一、项目概况</w:t>
      </w:r>
      <w:bookmarkStart w:id="0" w:name="_GoBack"/>
      <w:bookmarkEnd w:id="0"/>
    </w:p>
    <w:p w14:paraId="1EC2E9C2">
      <w:pPr>
        <w:autoSpaceDE/>
        <w:autoSpaceDN/>
        <w:ind w:firstLine="640"/>
        <w:rPr>
          <w:rFonts w:hint="eastAsia"/>
          <w:color w:val="auto"/>
        </w:rPr>
      </w:pPr>
      <w:r>
        <w:rPr>
          <w:rFonts w:hint="eastAsia"/>
          <w:color w:val="auto"/>
        </w:rPr>
        <w:t>近年来，国家、省、市高度重视计划生育奖励和社会保障制度建设，先后制定了一系列奖励和社会保障政策，逐步建立了以国家农村部分计划生育家庭奖励扶助、特别扶助两项制度为龙头，以省城镇独生子女父母奖励扶助制度、计划生育特殊家庭扶助关怀、计划生育优生优育优待、计划生育家庭养老保障、家庭发展支持等政策法规为主体，以市特殊困难家庭救助、失独失能养老扶助等政策措施为补充的多层次、全覆盖、保基本的计划生育家庭奖励扶助与保障体系，这是党和政府惠民政策的有力体现，是坚持以人为本、促进社会和谐稳定的重要举措，对健全社会保障制度，优先解决计划生育家庭问题，使计划生育特殊困难家庭优先分享改革发展成果，优先享受党和国家惠民政策，密切党群、干群关系，具有重要的现实意义和深远的历史意义。</w:t>
      </w:r>
    </w:p>
    <w:p w14:paraId="3A5C97DB">
      <w:pPr>
        <w:autoSpaceDE/>
        <w:autoSpaceDN/>
        <w:ind w:firstLine="640"/>
        <w:rPr>
          <w:rFonts w:hint="eastAsia"/>
          <w:color w:val="auto"/>
        </w:rPr>
      </w:pPr>
      <w:r>
        <w:rPr>
          <w:rFonts w:hint="eastAsia"/>
          <w:color w:val="auto"/>
        </w:rPr>
        <w:t>国家在提倡一对夫妻生育一个子女期间，全市计划生育家庭牺牲个人和家庭利益，自觉执行计划生育基本国策，有效缓解了人口对资源、环境的压力，促进了经济发展和社会进步，有力支撑了改革开放和社会主义现代化事业，为全面建成小康社会奠定了坚实基础，为国家和社会做出了积极贡献。计划生育家庭奖励和社会保障工作是对实行计划生育的家庭给予奖励扶助、优先照顾，在生活、医疗、养老等方面给予保障，惠及这一特殊群体的社会保障工作制度。</w:t>
      </w:r>
    </w:p>
    <w:p w14:paraId="64BE671C">
      <w:pPr>
        <w:autoSpaceDE/>
        <w:autoSpaceDN/>
        <w:ind w:firstLine="640"/>
        <w:rPr>
          <w:rFonts w:hint="eastAsia"/>
          <w:color w:val="auto"/>
        </w:rPr>
      </w:pPr>
      <w:r>
        <w:rPr>
          <w:rFonts w:hint="eastAsia"/>
          <w:color w:val="auto"/>
        </w:rPr>
        <w:t>为深入贯彻《中华人民共和国人口与计划生育法》，全面落实《中共中央、国务院关于实施全面两孩政策改革和完善计划生育服务管理的决定》和《河南省人口与计划生育条例》，洛阳市孟津区卫生健康委员会按上级要求实施计划生育家庭奖励帮扶项目。切实落实好计划生育家庭奖励扶助政策，实现计划生育奖励扶助保障政策有效衔接，维护好计划生育家庭的合法权益，促进计划生育家庭和谐幸福。</w:t>
      </w:r>
    </w:p>
    <w:p w14:paraId="14C393E0">
      <w:r>
        <w:rPr>
          <w:rFonts w:hint="eastAsia"/>
        </w:rPr>
        <w:t>洛阳市孟津区2024年计划生育家庭奖励帮扶项目资金共安排2284.22万元，其中上级资金1309.39万元，区级资金1093.71万元，截至评价时段，该项目实际到位资金2284.22万元，其中上级资金1309.39万元，区级资金1093.71万元，资金到位率100%，支出资金2284.22万元，预算执行率100%。</w:t>
      </w:r>
    </w:p>
    <w:p w14:paraId="168567C8">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二、评价结论</w:t>
      </w:r>
    </w:p>
    <w:p w14:paraId="05A0274D">
      <w:pPr>
        <w:bidi w:val="0"/>
        <w:rPr>
          <w:rFonts w:hint="eastAsia"/>
          <w:lang w:val="en-US" w:eastAsia="zh-CN"/>
        </w:rPr>
      </w:pPr>
      <w:r>
        <w:rPr>
          <w:rFonts w:hint="eastAsia" w:ascii="Times New Roman" w:hAnsi="Times New Roman"/>
          <w:color w:val="auto"/>
        </w:rPr>
        <w:t>运用评价组设计的指标体系及评分标准，本项目绩效评价得分为</w:t>
      </w:r>
      <w:r>
        <w:rPr>
          <w:rFonts w:hint="eastAsia"/>
          <w:color w:val="auto"/>
          <w:lang w:eastAsia="zh-CN"/>
        </w:rPr>
        <w:t>94.89</w:t>
      </w:r>
      <w:r>
        <w:rPr>
          <w:rFonts w:hint="eastAsia" w:ascii="Times New Roman" w:hAnsi="Times New Roman"/>
          <w:color w:val="auto"/>
        </w:rPr>
        <w:t>分，评价等级为</w:t>
      </w:r>
      <w:r>
        <w:rPr>
          <w:rFonts w:hint="eastAsia"/>
          <w:color w:val="auto"/>
          <w:lang w:eastAsia="zh-CN"/>
        </w:rPr>
        <w:t>“</w:t>
      </w:r>
      <w:r>
        <w:rPr>
          <w:rFonts w:hint="eastAsia"/>
          <w:color w:val="auto"/>
          <w:lang w:val="en-US" w:eastAsia="zh-CN"/>
        </w:rPr>
        <w:t>优</w:t>
      </w:r>
      <w:r>
        <w:rPr>
          <w:rFonts w:hint="eastAsia"/>
          <w:color w:val="auto"/>
          <w:lang w:eastAsia="zh-CN"/>
        </w:rPr>
        <w:t>”</w:t>
      </w:r>
      <w:r>
        <w:rPr>
          <w:rFonts w:hint="eastAsia" w:ascii="Times New Roman" w:hAnsi="Times New Roman"/>
          <w:color w:val="auto"/>
        </w:rPr>
        <w:t>。</w:t>
      </w:r>
    </w:p>
    <w:p w14:paraId="5E2A98B9">
      <w:pPr>
        <w:numPr>
          <w:ilvl w:val="0"/>
          <w:numId w:val="0"/>
        </w:numPr>
        <w:wordWrap/>
        <w:autoSpaceDE/>
        <w:autoSpaceDN/>
        <w:adjustRightInd/>
        <w:snapToGrid/>
        <w:spacing w:line="240" w:lineRule="auto"/>
        <w:ind w:firstLine="640"/>
        <w:rPr>
          <w:rFonts w:ascii="Times New Roman" w:hAnsi="Times New Roman" w:eastAsia="黑体" w:cs="黑体"/>
          <w:b w:val="0"/>
          <w:bCs w:val="0"/>
          <w:color w:val="auto"/>
          <w:lang w:val="zh-CN"/>
        </w:rPr>
      </w:pPr>
      <w:r>
        <w:rPr>
          <w:rFonts w:hint="eastAsia" w:ascii="Times New Roman" w:hAnsi="Times New Roman" w:eastAsia="黑体" w:cs="黑体"/>
          <w:b w:val="0"/>
          <w:bCs w:val="0"/>
          <w:color w:val="auto"/>
          <w:lang w:val="zh-CN"/>
        </w:rPr>
        <w:t>三、</w:t>
      </w:r>
      <w:r>
        <w:rPr>
          <w:rFonts w:hint="eastAsia" w:ascii="Times New Roman" w:hAnsi="Times New Roman" w:eastAsia="黑体" w:cs="黑体"/>
          <w:b w:val="0"/>
          <w:bCs w:val="0"/>
          <w:color w:val="auto"/>
        </w:rPr>
        <w:t>实施成效</w:t>
      </w:r>
    </w:p>
    <w:p w14:paraId="0E8B52FF">
      <w:pPr>
        <w:rPr>
          <w:rFonts w:hint="eastAsia"/>
          <w:b/>
          <w:bCs/>
          <w:lang w:val="en-US" w:eastAsia="zh-CN"/>
        </w:rPr>
      </w:pPr>
      <w:r>
        <w:rPr>
          <w:rFonts w:hint="eastAsia"/>
          <w:b/>
          <w:bCs/>
          <w:lang w:val="en-US" w:eastAsia="zh-CN"/>
        </w:rPr>
        <w:t>维护社会稳定，促进社会和谐</w:t>
      </w:r>
    </w:p>
    <w:p w14:paraId="2D354078">
      <w:pPr>
        <w:autoSpaceDE/>
        <w:autoSpaceDN/>
        <w:ind w:firstLine="0"/>
      </w:pPr>
      <w:r>
        <w:rPr>
          <w:rFonts w:hint="eastAsia"/>
          <w:lang w:val="en-US" w:eastAsia="zh-CN"/>
        </w:rPr>
        <w:t>项目单位按照《关于进一步做好计划生育家庭奖励和社会保障工作的通知》（洛卫〔2018〕36号）、《财政部国家卫生健康委关于提高计划生育家庭特别扶助制度扶助标准的通知》（财社（2022）49号）、《河南省人口与计划生育条例》、《孟津县人民政府关于进一步加强人口和计划生育利益导向机制建设的意见》（孟政〔2015〕16号）、《河南省人民政府办公厅 关于印发省与市县共同财政事权指出责任省级分担办法的通知》（豫政〔2021〕75号）、《洛阳市财政局 洛阳市发展和改革委员会 洛阳市卫生健康委员会 洛阳市医疗保障局关于印发洛阳市医疗卫生领域市与县（市、区）财政事权和支出责任划分改革方案的通知》（洛财社〔2020〕18号）等文件的要求，通过建立健全奖励扶助对象档案资料，坚持审批表与认证相统一，审批表与资金发放表相统一，财务部门与业务部门数据相统一，对计划生育家庭进行准确发放。切实落实好计划生育家庭奖励扶助政策，实现计划生育奖励扶助保障政策有效衔接，维护好计划生育家庭的合法权益，促进计划生育家庭和谐幸福。</w:t>
      </w:r>
    </w:p>
    <w:p w14:paraId="24B0561E">
      <w:pPr>
        <w:wordWrap/>
        <w:autoSpaceDE/>
        <w:autoSpaceDN/>
        <w:spacing w:line="640" w:lineRule="exact"/>
        <w:ind w:firstLine="643"/>
        <w:rPr>
          <w:rFonts w:ascii="Times New Roman" w:hAnsi="Times New Roman" w:eastAsia="黑体" w:cs="黑体"/>
          <w:b w:val="0"/>
          <w:bCs w:val="0"/>
          <w:color w:val="auto"/>
          <w:lang w:val="zh-CN"/>
        </w:rPr>
      </w:pPr>
      <w:r>
        <w:rPr>
          <w:rFonts w:hint="eastAsia" w:ascii="Times New Roman" w:hAnsi="Times New Roman" w:eastAsia="黑体" w:cs="黑体"/>
          <w:b w:val="0"/>
          <w:bCs w:val="0"/>
          <w:color w:val="auto"/>
          <w:lang w:val="zh-CN"/>
        </w:rPr>
        <w:t>四、主要问题</w:t>
      </w:r>
    </w:p>
    <w:p w14:paraId="7801A608">
      <w:pPr>
        <w:bidi w:val="0"/>
        <w:rPr>
          <w:rFonts w:hint="eastAsia"/>
          <w:b/>
          <w:bCs/>
          <w:lang w:val="en-US" w:eastAsia="zh-CN"/>
        </w:rPr>
      </w:pPr>
      <w:r>
        <w:rPr>
          <w:rFonts w:hint="eastAsia"/>
          <w:b/>
          <w:bCs/>
          <w:lang w:val="en-US" w:eastAsia="zh-CN"/>
        </w:rPr>
        <w:t>政策宣传力度还不够到位，群众对相关政策知晓度不高</w:t>
      </w:r>
    </w:p>
    <w:p w14:paraId="41A98F0A">
      <w:pPr>
        <w:bidi w:val="0"/>
      </w:pPr>
      <w:r>
        <w:rPr>
          <w:rFonts w:hint="eastAsia"/>
          <w:lang w:val="en-US" w:eastAsia="zh-CN"/>
        </w:rPr>
        <w:t>依据问卷数据及实地调研，项目采用多种形式进行宣传，但群众对政策的补贴对象、标准等信息不够了解，主要原因有：一是有少部分老人常年不在户籍地，随子女养老居住，与村里不常联系，宣传申报计生家庭奖励政策不知晓；另部分符合补贴政策的对象处于分别居住的状态，年纪过大，大多文化水平低、理解能力不高等，很难通过自己理解各项政策具体情况；二是部分镇人民政府（街道办事处）向辖区群众宣传政策的广度与深度不足。</w:t>
      </w:r>
    </w:p>
    <w:p w14:paraId="4B805ED7">
      <w:pPr>
        <w:wordWrap/>
        <w:autoSpaceDE/>
        <w:autoSpaceDN/>
        <w:spacing w:line="640" w:lineRule="exact"/>
        <w:ind w:firstLine="643"/>
        <w:rPr>
          <w:rFonts w:ascii="Times New Roman" w:hAnsi="Times New Roman" w:eastAsia="黑体" w:cs="黑体"/>
          <w:b/>
          <w:bCs/>
          <w:color w:val="auto"/>
          <w:lang w:val="zh-CN"/>
        </w:rPr>
      </w:pPr>
      <w:r>
        <w:rPr>
          <w:rFonts w:hint="eastAsia" w:ascii="Times New Roman" w:hAnsi="Times New Roman" w:eastAsia="黑体" w:cs="黑体"/>
          <w:b/>
          <w:bCs/>
          <w:color w:val="auto"/>
        </w:rPr>
        <w:t>五</w:t>
      </w:r>
      <w:r>
        <w:rPr>
          <w:rFonts w:hint="eastAsia" w:ascii="Times New Roman" w:hAnsi="Times New Roman" w:eastAsia="黑体" w:cs="黑体"/>
          <w:b/>
          <w:bCs/>
          <w:color w:val="auto"/>
          <w:lang w:val="zh-CN"/>
        </w:rPr>
        <w:t>、意见和建议</w:t>
      </w:r>
    </w:p>
    <w:p w14:paraId="64F5AE82">
      <w:pPr>
        <w:bidi w:val="0"/>
        <w:rPr>
          <w:rFonts w:hint="eastAsia"/>
          <w:b/>
          <w:bCs/>
          <w:lang w:val="en-US" w:eastAsia="zh-CN"/>
        </w:rPr>
      </w:pPr>
      <w:r>
        <w:rPr>
          <w:rFonts w:hint="eastAsia"/>
          <w:b/>
          <w:bCs/>
          <w:lang w:val="en-US" w:eastAsia="zh-CN"/>
        </w:rPr>
        <w:t>创新宣传方式，丰富宣传内容，提高社会知晓率</w:t>
      </w:r>
    </w:p>
    <w:p w14:paraId="7C72D53E">
      <w:pPr>
        <w:bidi w:val="0"/>
      </w:pPr>
      <w:r>
        <w:rPr>
          <w:rFonts w:hint="eastAsia"/>
          <w:lang w:val="en-US" w:eastAsia="zh-CN"/>
        </w:rPr>
        <w:t>一是建议镇人民政府（街道办事处）多形式开展计划生育家庭奖励政策宣传活动，通过利用活动、新媒体等多种形式向辖区群众宣传农村计划生育家庭奖励补贴政策、补贴标准和成效，消除群众对补贴政策的认识误区，提高群众对计划生育家庭奖励帮扶政策的知晓度。同时，镇人民政府（街道办事处）定期组织工作人员利用展板、宣传单等措施上门进行讲解宣传，使更多的帮扶对象能够知晓这项惠民政策。另外，利用信息化手段对帮扶对象信息进行动态管理，确保符合条件的帮扶对象都能够及时享受到计划生育家庭奖励帮扶政策。</w:t>
      </w:r>
    </w:p>
    <w:p w14:paraId="099F30E5">
      <w:pPr>
        <w:bidi w:val="0"/>
        <w:ind w:firstLine="0"/>
        <w:rPr>
          <w:rFonts w:hint="default"/>
          <w:lang w:val="en-US" w:eastAsia="zh-CN"/>
        </w:rPr>
      </w:pPr>
    </w:p>
    <w:sectPr>
      <w:footerReference r:id="rId5" w:type="default"/>
      <w:pgSz w:w="11906" w:h="16838"/>
      <w:pgMar w:top="2098" w:right="1474" w:bottom="1984" w:left="1587"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08142">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2B5650">
                          <w:pPr>
                            <w:pStyle w:val="9"/>
                            <w:ind w:firstLine="0" w:firstLineChars="0"/>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2B5650">
                    <w:pPr>
                      <w:pStyle w:val="9"/>
                      <w:ind w:firstLine="0" w:firstLineChars="0"/>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4"/>
      <w:lvlText w:val="第%1章　"/>
      <w:lvlJc w:val="left"/>
      <w:pPr>
        <w:tabs>
          <w:tab w:val="left" w:pos="1440"/>
        </w:tabs>
        <w:ind w:left="1470" w:hanging="720"/>
      </w:pPr>
      <w:rPr>
        <w:rFonts w:hint="eastAsia" w:cs="Times New Roman"/>
        <w:sz w:val="32"/>
      </w:rPr>
    </w:lvl>
    <w:lvl w:ilvl="1" w:tentative="0">
      <w:start w:val="1"/>
      <w:numFmt w:val="lowerRoman"/>
      <w:lvlText w:val="(%2)"/>
      <w:lvlJc w:val="left"/>
      <w:pPr>
        <w:tabs>
          <w:tab w:val="left" w:pos="861"/>
        </w:tabs>
        <w:ind w:left="1611" w:hanging="720"/>
      </w:pPr>
      <w:rPr>
        <w:rFonts w:hint="eastAsia" w:cs="Times New Roman"/>
      </w:rPr>
    </w:lvl>
    <w:lvl w:ilvl="2" w:tentative="0">
      <w:start w:val="1"/>
      <w:numFmt w:val="lowerLetter"/>
      <w:lvlText w:val="(%3)"/>
      <w:lvlJc w:val="left"/>
      <w:pPr>
        <w:tabs>
          <w:tab w:val="left" w:pos="1335"/>
        </w:tabs>
        <w:ind w:left="2085" w:hanging="495"/>
      </w:pPr>
      <w:rPr>
        <w:rFonts w:hint="eastAsia" w:cs="Times New Roman"/>
      </w:rPr>
    </w:lvl>
    <w:lvl w:ilvl="3" w:tentative="0">
      <w:start w:val="1"/>
      <w:numFmt w:val="decimal"/>
      <w:lvlText w:val="%4."/>
      <w:lvlJc w:val="left"/>
      <w:pPr>
        <w:tabs>
          <w:tab w:val="left" w:pos="1680"/>
        </w:tabs>
        <w:ind w:left="2430" w:hanging="420"/>
      </w:pPr>
      <w:rPr>
        <w:rFonts w:cs="Times New Roman"/>
      </w:rPr>
    </w:lvl>
    <w:lvl w:ilvl="4" w:tentative="0">
      <w:start w:val="1"/>
      <w:numFmt w:val="lowerLetter"/>
      <w:lvlText w:val="%5)"/>
      <w:lvlJc w:val="left"/>
      <w:pPr>
        <w:tabs>
          <w:tab w:val="left" w:pos="2100"/>
        </w:tabs>
        <w:ind w:left="2850" w:hanging="420"/>
      </w:pPr>
      <w:rPr>
        <w:rFonts w:cs="Times New Roman"/>
      </w:rPr>
    </w:lvl>
    <w:lvl w:ilvl="5" w:tentative="0">
      <w:start w:val="1"/>
      <w:numFmt w:val="lowerRoman"/>
      <w:lvlText w:val="%6."/>
      <w:lvlJc w:val="right"/>
      <w:pPr>
        <w:tabs>
          <w:tab w:val="left" w:pos="2520"/>
        </w:tabs>
        <w:ind w:left="3270" w:hanging="420"/>
      </w:pPr>
      <w:rPr>
        <w:rFonts w:cs="Times New Roman"/>
      </w:rPr>
    </w:lvl>
    <w:lvl w:ilvl="6" w:tentative="0">
      <w:start w:val="1"/>
      <w:numFmt w:val="decimal"/>
      <w:lvlText w:val="%7."/>
      <w:lvlJc w:val="left"/>
      <w:pPr>
        <w:tabs>
          <w:tab w:val="left" w:pos="2940"/>
        </w:tabs>
        <w:ind w:left="3690" w:hanging="420"/>
      </w:pPr>
      <w:rPr>
        <w:rFonts w:cs="Times New Roman"/>
      </w:rPr>
    </w:lvl>
    <w:lvl w:ilvl="7" w:tentative="0">
      <w:start w:val="1"/>
      <w:numFmt w:val="lowerLetter"/>
      <w:lvlText w:val="%8)"/>
      <w:lvlJc w:val="left"/>
      <w:pPr>
        <w:tabs>
          <w:tab w:val="left" w:pos="3360"/>
        </w:tabs>
        <w:ind w:left="4110" w:hanging="420"/>
      </w:pPr>
      <w:rPr>
        <w:rFonts w:cs="Times New Roman"/>
      </w:rPr>
    </w:lvl>
    <w:lvl w:ilvl="8" w:tentative="0">
      <w:start w:val="1"/>
      <w:numFmt w:val="lowerRoman"/>
      <w:lvlText w:val="%9."/>
      <w:lvlJc w:val="right"/>
      <w:pPr>
        <w:tabs>
          <w:tab w:val="left" w:pos="3780"/>
        </w:tabs>
        <w:ind w:left="453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xOWExZjgzN2QwMmI1NGQxYjQzZDM0ZGNjMTQ1MGYifQ=="/>
  </w:docVars>
  <w:rsids>
    <w:rsidRoot w:val="00000000"/>
    <w:rsid w:val="0045328F"/>
    <w:rsid w:val="0119677B"/>
    <w:rsid w:val="03990047"/>
    <w:rsid w:val="06022AF8"/>
    <w:rsid w:val="06841331"/>
    <w:rsid w:val="07FC34CC"/>
    <w:rsid w:val="0A1905D6"/>
    <w:rsid w:val="0B1D1449"/>
    <w:rsid w:val="0BC83F1D"/>
    <w:rsid w:val="0BC84002"/>
    <w:rsid w:val="0DD3425A"/>
    <w:rsid w:val="0E4A08BC"/>
    <w:rsid w:val="0ED818B2"/>
    <w:rsid w:val="0FFE0F7D"/>
    <w:rsid w:val="10080B22"/>
    <w:rsid w:val="11171FDD"/>
    <w:rsid w:val="118D6E4D"/>
    <w:rsid w:val="11B500A4"/>
    <w:rsid w:val="142E4599"/>
    <w:rsid w:val="163460AA"/>
    <w:rsid w:val="16796659"/>
    <w:rsid w:val="18A95ACA"/>
    <w:rsid w:val="18C745FF"/>
    <w:rsid w:val="1BB100D5"/>
    <w:rsid w:val="1BF75317"/>
    <w:rsid w:val="1C8D750E"/>
    <w:rsid w:val="20C57642"/>
    <w:rsid w:val="21A27164"/>
    <w:rsid w:val="22527D8E"/>
    <w:rsid w:val="23D20CE0"/>
    <w:rsid w:val="23E72D7E"/>
    <w:rsid w:val="27FF5E1C"/>
    <w:rsid w:val="292530B3"/>
    <w:rsid w:val="2AC61C8E"/>
    <w:rsid w:val="2BA514B1"/>
    <w:rsid w:val="2C8C29F9"/>
    <w:rsid w:val="2D89733C"/>
    <w:rsid w:val="2E4019F3"/>
    <w:rsid w:val="2E6035EA"/>
    <w:rsid w:val="2EBC6814"/>
    <w:rsid w:val="2F5F7784"/>
    <w:rsid w:val="2FB515E4"/>
    <w:rsid w:val="322813C9"/>
    <w:rsid w:val="32870EE7"/>
    <w:rsid w:val="33022B47"/>
    <w:rsid w:val="342C4CDD"/>
    <w:rsid w:val="3584346A"/>
    <w:rsid w:val="363907FC"/>
    <w:rsid w:val="37DA28DD"/>
    <w:rsid w:val="39D50B1A"/>
    <w:rsid w:val="3A320034"/>
    <w:rsid w:val="3BB024C0"/>
    <w:rsid w:val="3C645C82"/>
    <w:rsid w:val="3E7C063C"/>
    <w:rsid w:val="3F9B60B7"/>
    <w:rsid w:val="40A0560F"/>
    <w:rsid w:val="431E6CFC"/>
    <w:rsid w:val="43650541"/>
    <w:rsid w:val="43686A12"/>
    <w:rsid w:val="44974067"/>
    <w:rsid w:val="461A5272"/>
    <w:rsid w:val="46BF5767"/>
    <w:rsid w:val="476A58AD"/>
    <w:rsid w:val="48621D83"/>
    <w:rsid w:val="49086C31"/>
    <w:rsid w:val="4B2D0092"/>
    <w:rsid w:val="4C9B52CF"/>
    <w:rsid w:val="557441D7"/>
    <w:rsid w:val="55946048"/>
    <w:rsid w:val="56576C9F"/>
    <w:rsid w:val="5A61633E"/>
    <w:rsid w:val="5C7A79A5"/>
    <w:rsid w:val="5DB449D7"/>
    <w:rsid w:val="5F9525E6"/>
    <w:rsid w:val="60FF3A2A"/>
    <w:rsid w:val="61C65BD8"/>
    <w:rsid w:val="61F33C67"/>
    <w:rsid w:val="62E418BB"/>
    <w:rsid w:val="646A2293"/>
    <w:rsid w:val="64963088"/>
    <w:rsid w:val="64C97F9B"/>
    <w:rsid w:val="67E1286C"/>
    <w:rsid w:val="6A4A435C"/>
    <w:rsid w:val="6BF54B38"/>
    <w:rsid w:val="6E0B0643"/>
    <w:rsid w:val="6EB01248"/>
    <w:rsid w:val="6F246143"/>
    <w:rsid w:val="6F353258"/>
    <w:rsid w:val="6FC8621E"/>
    <w:rsid w:val="71D25B3F"/>
    <w:rsid w:val="72330169"/>
    <w:rsid w:val="74BE07E5"/>
    <w:rsid w:val="755C6A7B"/>
    <w:rsid w:val="767C7BC4"/>
    <w:rsid w:val="77246C9A"/>
    <w:rsid w:val="7771627B"/>
    <w:rsid w:val="778711E1"/>
    <w:rsid w:val="785C7CED"/>
    <w:rsid w:val="788847E7"/>
    <w:rsid w:val="789369D3"/>
    <w:rsid w:val="7B364826"/>
    <w:rsid w:val="7D0E6FB7"/>
    <w:rsid w:val="7F0E7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60" w:lineRule="exact"/>
      <w:ind w:firstLine="880" w:firstLineChars="200"/>
      <w:jc w:val="both"/>
    </w:pPr>
    <w:rPr>
      <w:rFonts w:ascii="Times New Roman" w:hAnsi="Times New Roman" w:eastAsia="仿宋" w:cs="仿宋"/>
      <w:kern w:val="2"/>
      <w:sz w:val="32"/>
      <w:szCs w:val="32"/>
      <w:lang w:val="en-US" w:eastAsia="zh-CN" w:bidi="ar-SA"/>
    </w:rPr>
  </w:style>
  <w:style w:type="paragraph" w:styleId="7">
    <w:name w:val="heading 1"/>
    <w:basedOn w:val="1"/>
    <w:next w:val="1"/>
    <w:link w:val="15"/>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ind w:firstLine="420" w:firstLineChars="100"/>
    </w:pPr>
    <w:rPr>
      <w:rFonts w:ascii="Times New Roman" w:hAnsi="Times New Roman" w:eastAsia="仿宋"/>
    </w:rPr>
  </w:style>
  <w:style w:type="paragraph" w:styleId="3">
    <w:name w:val="Body Text"/>
    <w:basedOn w:val="1"/>
    <w:next w:val="4"/>
    <w:qFormat/>
    <w:uiPriority w:val="0"/>
    <w:pPr>
      <w:spacing w:after="120"/>
    </w:pPr>
  </w:style>
  <w:style w:type="paragraph" w:styleId="4">
    <w:name w:val="Body Text 2"/>
    <w:basedOn w:val="1"/>
    <w:next w:val="3"/>
    <w:qFormat/>
    <w:uiPriority w:val="99"/>
    <w:pPr>
      <w:numPr>
        <w:ilvl w:val="0"/>
        <w:numId w:val="1"/>
      </w:numPr>
      <w:spacing w:beforeLines="50" w:line="336" w:lineRule="auto"/>
      <w:ind w:firstLine="0"/>
    </w:pPr>
    <w:rPr>
      <w:rFonts w:eastAsia="黑体"/>
      <w:lang w:val="en-GB"/>
    </w:rPr>
  </w:style>
  <w:style w:type="paragraph" w:styleId="5">
    <w:name w:val="Body Text First Indent 2"/>
    <w:basedOn w:val="6"/>
    <w:next w:val="1"/>
    <w:qFormat/>
    <w:uiPriority w:val="99"/>
    <w:pPr>
      <w:spacing w:line="360" w:lineRule="auto"/>
      <w:ind w:firstLine="964"/>
    </w:pPr>
    <w:rPr>
      <w:rFonts w:ascii="Times New Roman" w:eastAsia="仿宋"/>
      <w:sz w:val="28"/>
      <w:szCs w:val="28"/>
    </w:rPr>
  </w:style>
  <w:style w:type="paragraph" w:styleId="6">
    <w:name w:val="Body Text Indent"/>
    <w:basedOn w:val="1"/>
    <w:qFormat/>
    <w:uiPriority w:val="99"/>
    <w:pPr>
      <w:ind w:firstLine="600"/>
    </w:pPr>
    <w:rPr>
      <w:rFonts w:ascii="仿宋_GB2312" w:eastAsia="仿宋_GB2312"/>
      <w:sz w:val="30"/>
      <w:szCs w:val="30"/>
    </w:rPr>
  </w:style>
  <w:style w:type="paragraph" w:styleId="8">
    <w:name w:val="annotation text"/>
    <w:basedOn w:val="1"/>
    <w:qFormat/>
    <w:uiPriority w:val="0"/>
    <w:pPr>
      <w:jc w:val="left"/>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3">
    <w:name w:val="Body Text 21"/>
    <w:basedOn w:val="1"/>
    <w:qFormat/>
    <w:uiPriority w:val="0"/>
    <w:pPr>
      <w:spacing w:line="480" w:lineRule="auto"/>
    </w:pPr>
  </w:style>
  <w:style w:type="paragraph" w:customStyle="1" w:styleId="14">
    <w:name w:val="封面大标题"/>
    <w:basedOn w:val="1"/>
    <w:qFormat/>
    <w:uiPriority w:val="0"/>
    <w:pPr>
      <w:spacing w:line="360" w:lineRule="auto"/>
      <w:ind w:firstLine="0" w:firstLineChars="0"/>
      <w:jc w:val="center"/>
    </w:pPr>
    <w:rPr>
      <w:rFonts w:ascii="仿宋_GB2312" w:hAnsi="仿宋_GB2312" w:eastAsia="黑体"/>
      <w:bCs/>
      <w:color w:val="auto"/>
      <w:sz w:val="52"/>
    </w:rPr>
  </w:style>
  <w:style w:type="character" w:customStyle="1" w:styleId="15">
    <w:name w:val="标题 1 Char"/>
    <w:link w:val="7"/>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1869</Words>
  <Characters>1923</Characters>
  <Lines>0</Lines>
  <Paragraphs>0</Paragraphs>
  <TotalTime>6</TotalTime>
  <ScaleCrop>false</ScaleCrop>
  <LinksUpToDate>false</LinksUpToDate>
  <CharactersWithSpaces>1923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2021-11-02T06:30:00Z</dcterms:created>
  <dc:creator>Administrator</dc:creator>
  <cp:lastModifiedBy>马帅</cp:lastModifiedBy>
  <dcterms:modified xsi:type="dcterms:W3CDTF">2025-11-27T01:49:20Z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7478F1E00907471C8423A2CEF526D138</vt:lpwstr>
  </property>
  <property fmtid="{D5CDD505-2E9C-101B-9397-08002B2CF9AE}" pid="4" name="KSOTemplateDocerSaveRecord">
    <vt:lpwstr>eyJoZGlkIjoiMWE4MmNjNzA4OWI0OGJlZDFjOGIyMjcyODVjZDRjODQiLCJ1c2VySWQiOiIzOTE0NjYxMzAifQ==</vt:lpwstr>
  </property>
</Properties>
</file>