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C7E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孟津区交通运输局2024年度</w:t>
      </w:r>
      <w:bookmarkStart w:id="0" w:name="_GoBack"/>
      <w:bookmarkEnd w:id="0"/>
    </w:p>
    <w:p w14:paraId="6B94F6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公交运营补贴项目</w:t>
      </w:r>
      <w:r>
        <w:rPr>
          <w:rFonts w:hint="eastAsia" w:ascii="黑体" w:hAnsi="黑体" w:eastAsia="黑体" w:cs="黑体"/>
          <w:sz w:val="44"/>
          <w:szCs w:val="44"/>
        </w:rPr>
        <w:t>财政重点绩效评价报告</w:t>
      </w:r>
    </w:p>
    <w:p w14:paraId="35A78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一、项目概况</w:t>
      </w:r>
    </w:p>
    <w:p w14:paraId="0E70C294">
      <w:pPr>
        <w:autoSpaceDE/>
        <w:autoSpaceDN/>
        <w:ind w:firstLine="640"/>
        <w:rPr>
          <w:rFonts w:hint="eastAsia"/>
          <w:color w:val="auto"/>
        </w:rPr>
      </w:pPr>
      <w:r>
        <w:rPr>
          <w:rFonts w:hint="eastAsia"/>
          <w:color w:val="auto"/>
        </w:rPr>
        <w:t>国家高度重视公共交通发展，党的二十大及国务院相关文件明确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</w:rPr>
        <w:t>优先发展公共交通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</w:rPr>
        <w:t>，要求完善财政保障机制、提升服务覆盖；《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</w:rPr>
        <w:t>十四五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</w:rPr>
        <w:t>现代综合交通运输体系发展规划》进一步提出扩大城乡公交覆盖。</w:t>
      </w:r>
    </w:p>
    <w:p w14:paraId="080F0F9C">
      <w:pPr>
        <w:autoSpaceDE/>
        <w:autoSpaceDN/>
        <w:ind w:firstLine="640"/>
        <w:rPr>
          <w:rFonts w:hint="eastAsia"/>
          <w:color w:val="auto"/>
        </w:rPr>
      </w:pPr>
      <w:r>
        <w:rPr>
          <w:rFonts w:hint="eastAsia"/>
          <w:color w:val="auto"/>
        </w:rPr>
        <w:t>河南省落实国家战略，明确市县为投入主体，建立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</w:rPr>
        <w:t>成本规制+动态补贴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</w:rPr>
        <w:t>机制，省级财政将公交补贴纳入转移支付。</w:t>
      </w:r>
    </w:p>
    <w:p w14:paraId="64BE671C">
      <w:pPr>
        <w:autoSpaceDE/>
        <w:autoSpaceDN/>
        <w:ind w:firstLine="640"/>
        <w:rPr>
          <w:rFonts w:ascii="Times New Roman" w:hAnsi="Times New Roman"/>
          <w:color w:val="auto"/>
        </w:rPr>
      </w:pPr>
      <w:r>
        <w:rPr>
          <w:rFonts w:hint="eastAsia"/>
          <w:color w:val="auto"/>
        </w:rPr>
        <w:t>洛阳市作为省副中心城市推进交通枢纽建设，孟津区作为其辖区，连接中心城区与周边乡镇，农村人口占比约45%，公交出行需求迫切，但乡村线路因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</w:rPr>
        <w:t>客流分散、运营成本高、票款收入低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</w:rPr>
        <w:t>，市场化运营难以维持。为响应各级政策，孟津区交通运输局实施2024年度公交运营补贴项目，以财政资金保障公交公益性和可持续性。</w:t>
      </w:r>
    </w:p>
    <w:p w14:paraId="168567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二、评价结论</w:t>
      </w:r>
    </w:p>
    <w:p w14:paraId="05A0274D">
      <w:pPr>
        <w:bidi w:val="0"/>
        <w:rPr>
          <w:rFonts w:hint="eastAsia"/>
          <w:lang w:val="en-US" w:eastAsia="zh-CN"/>
        </w:rPr>
      </w:pPr>
      <w:r>
        <w:rPr>
          <w:rFonts w:hint="eastAsia" w:ascii="Times New Roman" w:hAnsi="Times New Roman"/>
          <w:color w:val="auto"/>
        </w:rPr>
        <w:t>运用评价组设计的指标体系及评分标准，本项目绩效评价得分为</w:t>
      </w:r>
      <w:r>
        <w:rPr>
          <w:rFonts w:hint="eastAsia"/>
          <w:color w:val="auto"/>
          <w:lang w:eastAsia="zh-CN"/>
        </w:rPr>
        <w:t>80.40</w:t>
      </w:r>
      <w:r>
        <w:rPr>
          <w:rFonts w:hint="eastAsia" w:ascii="Times New Roman" w:hAnsi="Times New Roman"/>
          <w:color w:val="auto"/>
        </w:rPr>
        <w:t>分，评价等级为</w:t>
      </w:r>
      <w:r>
        <w:rPr>
          <w:rFonts w:hint="eastAsia"/>
          <w:color w:val="auto"/>
          <w:lang w:eastAsia="zh-CN"/>
        </w:rPr>
        <w:t>“</w:t>
      </w:r>
      <w:r>
        <w:rPr>
          <w:rFonts w:hint="eastAsia" w:ascii="Times New Roman" w:hAnsi="Times New Roman"/>
          <w:color w:val="auto"/>
        </w:rPr>
        <w:t>良</w:t>
      </w:r>
      <w:r>
        <w:rPr>
          <w:rFonts w:hint="eastAsia"/>
          <w:color w:val="auto"/>
          <w:lang w:eastAsia="zh-CN"/>
        </w:rPr>
        <w:t>”</w:t>
      </w:r>
      <w:r>
        <w:rPr>
          <w:rFonts w:hint="eastAsia" w:ascii="Times New Roman" w:hAnsi="Times New Roman"/>
          <w:color w:val="auto"/>
        </w:rPr>
        <w:t>。</w:t>
      </w:r>
    </w:p>
    <w:p w14:paraId="5E2A98B9">
      <w:pPr>
        <w:numPr>
          <w:ilvl w:val="0"/>
          <w:numId w:val="0"/>
        </w:numPr>
        <w:wordWrap/>
        <w:autoSpaceDE/>
        <w:autoSpaceDN/>
        <w:adjustRightInd/>
        <w:snapToGrid/>
        <w:spacing w:line="240" w:lineRule="auto"/>
        <w:ind w:firstLine="640"/>
        <w:rPr>
          <w:rFonts w:ascii="Times New Roman" w:hAnsi="Times New Roman" w:eastAsia="黑体" w:cs="黑体"/>
          <w:b w:val="0"/>
          <w:bCs w:val="0"/>
          <w:color w:val="auto"/>
          <w:lang w:val="zh-CN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lang w:val="zh-CN"/>
        </w:rPr>
        <w:t>三、</w:t>
      </w:r>
      <w:r>
        <w:rPr>
          <w:rFonts w:hint="eastAsia" w:ascii="Times New Roman" w:hAnsi="Times New Roman" w:eastAsia="黑体" w:cs="黑体"/>
          <w:b w:val="0"/>
          <w:bCs w:val="0"/>
          <w:color w:val="auto"/>
        </w:rPr>
        <w:t>实施成效</w:t>
      </w:r>
    </w:p>
    <w:p w14:paraId="4854C934">
      <w:pPr>
        <w:rPr>
          <w:rFonts w:hint="default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default"/>
          <w:b/>
          <w:bCs/>
        </w:rPr>
        <w:t>民生出行保障扎实：</w:t>
      </w:r>
      <w:r>
        <w:rPr>
          <w:rFonts w:hint="eastAsia"/>
          <w:b w:val="0"/>
          <w:bCs w:val="0"/>
          <w:lang w:val="en-US" w:eastAsia="zh-CN"/>
        </w:rPr>
        <w:t>通过</w:t>
      </w:r>
      <w:r>
        <w:rPr>
          <w:rFonts w:hint="default"/>
        </w:rPr>
        <w:t>补贴支撑17条公交线路稳定运营，年度发车超27.53万次、运营里程超1098.83万公里，完成率均达100%。乡村</w:t>
      </w:r>
      <w:r>
        <w:rPr>
          <w:rFonts w:hint="eastAsia"/>
          <w:lang w:eastAsia="zh-CN"/>
        </w:rPr>
        <w:t>“</w:t>
      </w:r>
      <w:r>
        <w:rPr>
          <w:rFonts w:hint="default"/>
        </w:rPr>
        <w:t>村村通</w:t>
      </w:r>
      <w:r>
        <w:rPr>
          <w:rFonts w:hint="eastAsia"/>
          <w:lang w:eastAsia="zh-CN"/>
        </w:rPr>
        <w:t>”</w:t>
      </w:r>
      <w:r>
        <w:rPr>
          <w:rFonts w:hint="default"/>
        </w:rPr>
        <w:t>与城区主干线分别满足农村居民便捷出行和通勤需求，筑牢公交民生底线。</w:t>
      </w:r>
    </w:p>
    <w:p w14:paraId="2D354078">
      <w:r>
        <w:rPr>
          <w:rFonts w:hint="eastAsia"/>
          <w:b/>
          <w:bCs/>
          <w:lang w:val="en-US" w:eastAsia="zh-CN"/>
        </w:rPr>
        <w:t>二是</w:t>
      </w:r>
      <w:r>
        <w:rPr>
          <w:rFonts w:hint="default"/>
          <w:b/>
          <w:bCs/>
        </w:rPr>
        <w:t>绿色交通推进见效：</w:t>
      </w:r>
      <w:r>
        <w:rPr>
          <w:rFonts w:hint="default"/>
        </w:rPr>
        <w:t>补贴推动新能源公交广泛应用，165台新能源电车占补贴线路运营车辆的94.28%，替代燃油车大幅降碳，助力交通领域绿色转型，契合</w:t>
      </w:r>
      <w:r>
        <w:rPr>
          <w:rFonts w:hint="eastAsia"/>
          <w:lang w:eastAsia="zh-CN"/>
        </w:rPr>
        <w:t>“</w:t>
      </w:r>
      <w:r>
        <w:rPr>
          <w:rFonts w:hint="default"/>
        </w:rPr>
        <w:t>双碳</w:t>
      </w:r>
      <w:r>
        <w:rPr>
          <w:rFonts w:hint="eastAsia"/>
          <w:lang w:eastAsia="zh-CN"/>
        </w:rPr>
        <w:t>”</w:t>
      </w:r>
      <w:r>
        <w:rPr>
          <w:rFonts w:hint="default"/>
        </w:rPr>
        <w:t>战略。</w:t>
      </w:r>
    </w:p>
    <w:p w14:paraId="24B0561E">
      <w:pPr>
        <w:wordWrap/>
        <w:autoSpaceDE/>
        <w:autoSpaceDN/>
        <w:spacing w:line="640" w:lineRule="exact"/>
        <w:ind w:firstLine="643"/>
        <w:rPr>
          <w:rFonts w:ascii="Times New Roman" w:hAnsi="Times New Roman" w:eastAsia="黑体" w:cs="黑体"/>
          <w:b w:val="0"/>
          <w:bCs w:val="0"/>
          <w:color w:val="auto"/>
          <w:lang w:val="zh-CN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lang w:val="zh-CN"/>
        </w:rPr>
        <w:t>四、主要问题</w:t>
      </w:r>
    </w:p>
    <w:p w14:paraId="511EE12F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eastAsia"/>
          <w:b/>
          <w:bCs/>
        </w:rPr>
        <w:t>预算编制标准不统一：</w:t>
      </w:r>
      <w:r>
        <w:rPr>
          <w:rFonts w:hint="eastAsia"/>
        </w:rPr>
        <w:t>孟津南北区公交公司新旧线路补贴标准衔接不足，2021年新增线路有第三方成本核算报告，依据明确；2021年前存量线路仅以红头文件为依据，无清晰补贴标准和历史成本数据，导致预算公平性不足、资金匹配度难验证。</w:t>
      </w:r>
    </w:p>
    <w:p w14:paraId="73DA1C7A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二是</w:t>
      </w:r>
      <w:r>
        <w:rPr>
          <w:rFonts w:hint="eastAsia"/>
          <w:b/>
          <w:bCs/>
        </w:rPr>
        <w:t>运营数据统计缺失：</w:t>
      </w:r>
      <w:r>
        <w:rPr>
          <w:rFonts w:hint="eastAsia"/>
        </w:rPr>
        <w:t>相关公交分公司未建完善统计机制，无线路站点计划到站时间标准及实际到站记录，且2024年GPS调度系统数据未备份丢失，仅靠人工记录，准点率等指标无法核算，影响调度优化和服务匹配。</w:t>
      </w:r>
    </w:p>
    <w:p w14:paraId="60EEFB3C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三是</w:t>
      </w:r>
      <w:r>
        <w:rPr>
          <w:rFonts w:hint="eastAsia"/>
          <w:b/>
          <w:bCs/>
        </w:rPr>
        <w:t>运营成本超支：</w:t>
      </w:r>
      <w:r>
        <w:rPr>
          <w:rFonts w:hint="eastAsia"/>
        </w:rPr>
        <w:t>2024年计划运营成本2863.70万元，实际达2912.72万元，因缺乏系统成本管控机制，电费、维保费等变动成本无动态监控，成本管理与运营联动不足。</w:t>
      </w:r>
    </w:p>
    <w:p w14:paraId="7E0A1C13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四是</w:t>
      </w:r>
      <w:r>
        <w:rPr>
          <w:rFonts w:hint="eastAsia"/>
          <w:b/>
          <w:bCs/>
        </w:rPr>
        <w:t>运营台账不规范：</w:t>
      </w:r>
      <w:r>
        <w:rPr>
          <w:rFonts w:hint="eastAsia"/>
        </w:rPr>
        <w:t>部分《车辆班车运行情况日志》</w:t>
      </w:r>
      <w:r>
        <w:rPr>
          <w:rFonts w:hint="eastAsia"/>
          <w:lang w:val="en-US" w:eastAsia="zh-CN"/>
        </w:rPr>
        <w:t>存在</w:t>
      </w:r>
      <w:r>
        <w:rPr>
          <w:rFonts w:hint="eastAsia"/>
        </w:rPr>
        <w:t>后期补录，未实时记录发车时间和运行状态，真实性、时效性不足，不利于运营问题追溯和管理规范。</w:t>
      </w:r>
    </w:p>
    <w:p w14:paraId="41A98F0A">
      <w:pPr>
        <w:bidi w:val="0"/>
      </w:pPr>
      <w:r>
        <w:rPr>
          <w:rFonts w:hint="eastAsia"/>
          <w:b/>
          <w:bCs/>
          <w:lang w:val="en-US" w:eastAsia="zh-CN"/>
        </w:rPr>
        <w:t>五是</w:t>
      </w:r>
      <w:r>
        <w:rPr>
          <w:rFonts w:hint="eastAsia"/>
          <w:b/>
          <w:bCs/>
        </w:rPr>
        <w:t>运力与客流匹配失衡：</w:t>
      </w:r>
      <w:r>
        <w:rPr>
          <w:rFonts w:hint="eastAsia"/>
        </w:rPr>
        <w:t>部分线路高峰运力</w:t>
      </w:r>
      <w:r>
        <w:rPr>
          <w:rFonts w:hint="eastAsia"/>
          <w:lang w:val="en-US" w:eastAsia="zh-CN"/>
        </w:rPr>
        <w:t>趋近平稳</w:t>
      </w:r>
      <w:r>
        <w:rPr>
          <w:rFonts w:hint="eastAsia"/>
        </w:rPr>
        <w:t>、平峰空载率</w:t>
      </w:r>
      <w:r>
        <w:rPr>
          <w:rFonts w:hint="eastAsia"/>
          <w:lang w:val="en-US" w:eastAsia="zh-CN"/>
        </w:rPr>
        <w:t>较</w:t>
      </w:r>
      <w:r>
        <w:rPr>
          <w:rFonts w:hint="eastAsia"/>
        </w:rPr>
        <w:t>高，乡村线路因私家车普及等客流下降，固定班次模式导致运力浪费，增加无效成本。</w:t>
      </w:r>
    </w:p>
    <w:p w14:paraId="4B805ED7">
      <w:pPr>
        <w:wordWrap/>
        <w:autoSpaceDE/>
        <w:autoSpaceDN/>
        <w:spacing w:line="640" w:lineRule="exact"/>
        <w:ind w:firstLine="643"/>
        <w:rPr>
          <w:rFonts w:ascii="Times New Roman" w:hAnsi="Times New Roman" w:eastAsia="黑体" w:cs="黑体"/>
          <w:b/>
          <w:bCs/>
          <w:color w:val="auto"/>
          <w:lang w:val="zh-CN"/>
        </w:rPr>
      </w:pPr>
      <w:r>
        <w:rPr>
          <w:rFonts w:hint="eastAsia" w:ascii="Times New Roman" w:hAnsi="Times New Roman" w:eastAsia="黑体" w:cs="黑体"/>
          <w:b/>
          <w:bCs/>
          <w:color w:val="auto"/>
        </w:rPr>
        <w:t>五</w:t>
      </w:r>
      <w:r>
        <w:rPr>
          <w:rFonts w:hint="eastAsia" w:ascii="Times New Roman" w:hAnsi="Times New Roman" w:eastAsia="黑体" w:cs="黑体"/>
          <w:b/>
          <w:bCs/>
          <w:color w:val="auto"/>
          <w:lang w:val="zh-CN"/>
        </w:rPr>
        <w:t>、意见和建议</w:t>
      </w:r>
    </w:p>
    <w:p w14:paraId="75A16487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eastAsia"/>
          <w:b/>
          <w:bCs/>
        </w:rPr>
        <w:t>统一预算编制标准：</w:t>
      </w:r>
      <w:r>
        <w:rPr>
          <w:rFonts w:hint="eastAsia"/>
        </w:rPr>
        <w:t>交通局牵头联合公交公司，委托第三方对存量线路开展补核算，结合运营里程等数据明确补贴标准，形成文件纳入《公交补贴预算编制手册》，实现新旧线路标准统一。</w:t>
      </w:r>
    </w:p>
    <w:p w14:paraId="70DD0AAB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二是</w:t>
      </w:r>
      <w:r>
        <w:rPr>
          <w:rFonts w:hint="eastAsia"/>
          <w:b/>
          <w:bCs/>
        </w:rPr>
        <w:t>完善数据统计体系：</w:t>
      </w:r>
      <w:r>
        <w:rPr>
          <w:rFonts w:hint="eastAsia"/>
        </w:rPr>
        <w:t>制定运营数据统计规范，明确准点率等指标口径及站点计划到站时间；依托GPS终端实时上传数据，优化调度系统增设自动备份，定期分析数据优化调度和站点布局。</w:t>
      </w:r>
    </w:p>
    <w:p w14:paraId="1577D8C0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三是</w:t>
      </w:r>
      <w:r>
        <w:rPr>
          <w:rFonts w:hint="eastAsia"/>
          <w:b/>
          <w:bCs/>
        </w:rPr>
        <w:t>健全成本管控机制：</w:t>
      </w:r>
      <w:r>
        <w:rPr>
          <w:rFonts w:hint="eastAsia"/>
        </w:rPr>
        <w:t>梳理核心成本管控要点，设定变动预警线，通过优化充电时段、签订维保协议等降本；将成本目标融入运营各环节，纳入考核提升管控主动性。</w:t>
      </w:r>
    </w:p>
    <w:p w14:paraId="49C9ECC8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四是</w:t>
      </w:r>
      <w:r>
        <w:rPr>
          <w:rFonts w:hint="eastAsia"/>
          <w:b/>
          <w:bCs/>
        </w:rPr>
        <w:t>规范运营台账管理：</w:t>
      </w:r>
      <w:r>
        <w:rPr>
          <w:rFonts w:hint="eastAsia"/>
        </w:rPr>
        <w:t>交通局定期抽查台账，考核记录真实性</w:t>
      </w:r>
      <w:r>
        <w:rPr>
          <w:rFonts w:hint="eastAsia"/>
          <w:lang w:eastAsia="zh-CN"/>
        </w:rPr>
        <w:t>、</w:t>
      </w:r>
      <w:r>
        <w:rPr>
          <w:rFonts w:hint="eastAsia"/>
        </w:rPr>
        <w:t>时效性；推广电子化台账系统，</w:t>
      </w:r>
      <w:r>
        <w:rPr>
          <w:rFonts w:hint="eastAsia"/>
          <w:lang w:val="en-US" w:eastAsia="zh-CN"/>
        </w:rPr>
        <w:t>设置</w:t>
      </w:r>
      <w:r>
        <w:rPr>
          <w:rFonts w:hint="eastAsia"/>
        </w:rPr>
        <w:t>实时录入提醒，自动生成档案，提升</w:t>
      </w:r>
      <w:r>
        <w:rPr>
          <w:rFonts w:hint="eastAsia"/>
          <w:lang w:val="en-US" w:eastAsia="zh-CN"/>
        </w:rPr>
        <w:t>档案</w:t>
      </w:r>
      <w:r>
        <w:rPr>
          <w:rFonts w:hint="eastAsia"/>
        </w:rPr>
        <w:t>可追溯性。</w:t>
      </w:r>
    </w:p>
    <w:p w14:paraId="7C72D53E">
      <w:pPr>
        <w:bidi w:val="0"/>
      </w:pPr>
      <w:r>
        <w:rPr>
          <w:rFonts w:hint="eastAsia"/>
          <w:b/>
          <w:bCs/>
          <w:lang w:val="en-US" w:eastAsia="zh-CN"/>
        </w:rPr>
        <w:t>五是</w:t>
      </w:r>
      <w:r>
        <w:rPr>
          <w:rFonts w:hint="eastAsia"/>
          <w:b/>
          <w:bCs/>
        </w:rPr>
        <w:t>动态优化运力配置：</w:t>
      </w:r>
      <w:r>
        <w:rPr>
          <w:rFonts w:hint="eastAsia"/>
        </w:rPr>
        <w:t>每半年开展全线路客流普查，建立数据库；高峰时段和城区主干线加密班次，平峰及客流下降乡村线路实行</w:t>
      </w:r>
      <w:r>
        <w:rPr>
          <w:rFonts w:hint="eastAsia"/>
          <w:lang w:eastAsia="zh-CN"/>
        </w:rPr>
        <w:t>“</w:t>
      </w:r>
      <w:r>
        <w:rPr>
          <w:rFonts w:hint="eastAsia"/>
        </w:rPr>
        <w:t>固定+预约</w:t>
      </w:r>
      <w:r>
        <w:rPr>
          <w:rFonts w:hint="eastAsia"/>
          <w:lang w:eastAsia="zh-CN"/>
        </w:rPr>
        <w:t>”</w:t>
      </w:r>
      <w:r>
        <w:rPr>
          <w:rFonts w:hint="eastAsia"/>
        </w:rPr>
        <w:t>班次，平衡民生保障与资源效率。</w:t>
      </w:r>
    </w:p>
    <w:p w14:paraId="099F30E5">
      <w:pPr>
        <w:bidi w:val="0"/>
        <w:ind w:firstLine="0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08142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B5650">
                          <w:pPr>
                            <w:pStyle w:val="9"/>
                            <w:ind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2B5650">
                    <w:pPr>
                      <w:pStyle w:val="9"/>
                      <w:ind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216F0"/>
    <w:multiLevelType w:val="multilevel"/>
    <w:tmpl w:val="1DA216F0"/>
    <w:lvl w:ilvl="0" w:tentative="0">
      <w:start w:val="1"/>
      <w:numFmt w:val="chineseCountingThousand"/>
      <w:pStyle w:val="4"/>
      <w:lvlText w:val="第%1章　"/>
      <w:lvlJc w:val="left"/>
      <w:pPr>
        <w:tabs>
          <w:tab w:val="left" w:pos="1440"/>
        </w:tabs>
        <w:ind w:left="1470" w:hanging="720"/>
      </w:pPr>
      <w:rPr>
        <w:rFonts w:hint="eastAsia" w:cs="Times New Roman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1611" w:hanging="720"/>
      </w:pPr>
      <w:rPr>
        <w:rFonts w:hint="eastAsia" w:cs="Times New Roman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2085" w:hanging="495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43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85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327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69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411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453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OWExZjgzN2QwMmI1NGQxYjQzZDM0ZGNjMTQ1MGYifQ=="/>
  </w:docVars>
  <w:rsids>
    <w:rsidRoot w:val="00000000"/>
    <w:rsid w:val="0045328F"/>
    <w:rsid w:val="0201343C"/>
    <w:rsid w:val="03060F81"/>
    <w:rsid w:val="03990047"/>
    <w:rsid w:val="057721FB"/>
    <w:rsid w:val="06022AF8"/>
    <w:rsid w:val="06113EC5"/>
    <w:rsid w:val="07FC34CC"/>
    <w:rsid w:val="0B1D1449"/>
    <w:rsid w:val="0B3A088F"/>
    <w:rsid w:val="0BC84002"/>
    <w:rsid w:val="0D1A5D55"/>
    <w:rsid w:val="0E4A08BC"/>
    <w:rsid w:val="0ED818B2"/>
    <w:rsid w:val="10080B22"/>
    <w:rsid w:val="11171FDD"/>
    <w:rsid w:val="11553C1F"/>
    <w:rsid w:val="118D6E4D"/>
    <w:rsid w:val="11B500A4"/>
    <w:rsid w:val="1334693B"/>
    <w:rsid w:val="142E4599"/>
    <w:rsid w:val="163460AA"/>
    <w:rsid w:val="16502C55"/>
    <w:rsid w:val="18A95ACA"/>
    <w:rsid w:val="18C745FF"/>
    <w:rsid w:val="19670574"/>
    <w:rsid w:val="1BB100D5"/>
    <w:rsid w:val="1BF75317"/>
    <w:rsid w:val="1CC21F65"/>
    <w:rsid w:val="21A27164"/>
    <w:rsid w:val="22527D8E"/>
    <w:rsid w:val="23D20CE0"/>
    <w:rsid w:val="23E72D7E"/>
    <w:rsid w:val="27FF5E1C"/>
    <w:rsid w:val="292530B3"/>
    <w:rsid w:val="2BA514B1"/>
    <w:rsid w:val="2C8C29F9"/>
    <w:rsid w:val="2D89733C"/>
    <w:rsid w:val="2E4019F3"/>
    <w:rsid w:val="2E6035EA"/>
    <w:rsid w:val="2EBC6814"/>
    <w:rsid w:val="2F5F7784"/>
    <w:rsid w:val="322813C9"/>
    <w:rsid w:val="33022B47"/>
    <w:rsid w:val="342C4CDD"/>
    <w:rsid w:val="3584346A"/>
    <w:rsid w:val="363907FC"/>
    <w:rsid w:val="39D50B1A"/>
    <w:rsid w:val="3A320034"/>
    <w:rsid w:val="3AA45452"/>
    <w:rsid w:val="3B124611"/>
    <w:rsid w:val="3B9D177C"/>
    <w:rsid w:val="3C645C82"/>
    <w:rsid w:val="3E3E40BC"/>
    <w:rsid w:val="3E7C063C"/>
    <w:rsid w:val="3F9B60B7"/>
    <w:rsid w:val="40A0560F"/>
    <w:rsid w:val="431E6CFC"/>
    <w:rsid w:val="43650541"/>
    <w:rsid w:val="43686A12"/>
    <w:rsid w:val="461A5272"/>
    <w:rsid w:val="46BF5767"/>
    <w:rsid w:val="48621D83"/>
    <w:rsid w:val="49086C31"/>
    <w:rsid w:val="4B2D0092"/>
    <w:rsid w:val="4C9B52CF"/>
    <w:rsid w:val="557441D7"/>
    <w:rsid w:val="55946048"/>
    <w:rsid w:val="5D640109"/>
    <w:rsid w:val="5DB449D7"/>
    <w:rsid w:val="60CC3634"/>
    <w:rsid w:val="60FF3A2A"/>
    <w:rsid w:val="61C65BD8"/>
    <w:rsid w:val="61DA56FC"/>
    <w:rsid w:val="61F33C67"/>
    <w:rsid w:val="646A2293"/>
    <w:rsid w:val="64963088"/>
    <w:rsid w:val="64C97F9B"/>
    <w:rsid w:val="67E1286C"/>
    <w:rsid w:val="6A4A435C"/>
    <w:rsid w:val="6B8D6867"/>
    <w:rsid w:val="6BF54B38"/>
    <w:rsid w:val="6E0B0643"/>
    <w:rsid w:val="6EB01248"/>
    <w:rsid w:val="6F246143"/>
    <w:rsid w:val="6F353258"/>
    <w:rsid w:val="71D25B3F"/>
    <w:rsid w:val="755C6A7B"/>
    <w:rsid w:val="767C7BC4"/>
    <w:rsid w:val="77246C9A"/>
    <w:rsid w:val="7771627B"/>
    <w:rsid w:val="785C7CED"/>
    <w:rsid w:val="788847E7"/>
    <w:rsid w:val="789369D3"/>
    <w:rsid w:val="7D0E6FB7"/>
    <w:rsid w:val="7F0E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32"/>
      <w:szCs w:val="32"/>
      <w:lang w:val="en-US" w:eastAsia="zh-CN" w:bidi="ar-SA"/>
    </w:rPr>
  </w:style>
  <w:style w:type="paragraph" w:styleId="7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ind w:firstLine="420" w:firstLineChars="100"/>
    </w:pPr>
    <w:rPr>
      <w:rFonts w:ascii="Times New Roman" w:hAnsi="Times New Roman" w:eastAsia="仿宋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next w:val="3"/>
    <w:qFormat/>
    <w:uiPriority w:val="99"/>
    <w:pPr>
      <w:numPr>
        <w:ilvl w:val="0"/>
        <w:numId w:val="1"/>
      </w:numPr>
      <w:spacing w:beforeLines="50" w:line="336" w:lineRule="auto"/>
      <w:ind w:firstLine="0"/>
    </w:pPr>
    <w:rPr>
      <w:rFonts w:eastAsia="黑体"/>
      <w:lang w:val="en-GB"/>
    </w:rPr>
  </w:style>
  <w:style w:type="paragraph" w:styleId="5">
    <w:name w:val="Body Text First Indent 2"/>
    <w:basedOn w:val="6"/>
    <w:next w:val="1"/>
    <w:qFormat/>
    <w:uiPriority w:val="99"/>
    <w:pPr>
      <w:spacing w:line="360" w:lineRule="auto"/>
      <w:ind w:firstLine="964"/>
    </w:pPr>
    <w:rPr>
      <w:rFonts w:ascii="Times New Roman" w:eastAsia="仿宋"/>
      <w:sz w:val="28"/>
      <w:szCs w:val="28"/>
    </w:rPr>
  </w:style>
  <w:style w:type="paragraph" w:styleId="6">
    <w:name w:val="Body Text Indent"/>
    <w:basedOn w:val="1"/>
    <w:qFormat/>
    <w:uiPriority w:val="99"/>
    <w:pPr>
      <w:ind w:firstLine="600"/>
    </w:pPr>
    <w:rPr>
      <w:rFonts w:ascii="仿宋_GB2312" w:eastAsia="仿宋_GB2312"/>
      <w:sz w:val="30"/>
      <w:szCs w:val="30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3">
    <w:name w:val="Body Text 21"/>
    <w:basedOn w:val="1"/>
    <w:qFormat/>
    <w:uiPriority w:val="0"/>
    <w:pPr>
      <w:spacing w:line="480" w:lineRule="auto"/>
    </w:pPr>
  </w:style>
  <w:style w:type="paragraph" w:customStyle="1" w:styleId="14">
    <w:name w:val="封面大标题"/>
    <w:basedOn w:val="1"/>
    <w:qFormat/>
    <w:uiPriority w:val="0"/>
    <w:pPr>
      <w:spacing w:line="360" w:lineRule="auto"/>
      <w:ind w:firstLine="0" w:firstLineChars="0"/>
      <w:jc w:val="center"/>
    </w:pPr>
    <w:rPr>
      <w:rFonts w:ascii="仿宋_GB2312" w:hAnsi="仿宋_GB2312" w:eastAsia="黑体"/>
      <w:bCs/>
      <w:color w:val="auto"/>
      <w:sz w:val="52"/>
    </w:rPr>
  </w:style>
  <w:style w:type="character" w:customStyle="1" w:styleId="15">
    <w:name w:val="标题 1 Char"/>
    <w:link w:val="7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1891</Words>
  <Characters>1977</Characters>
  <Lines>0</Lines>
  <Paragraphs>0</Paragraphs>
  <TotalTime>2</TotalTime>
  <ScaleCrop>false</ScaleCrop>
  <LinksUpToDate>false</LinksUpToDate>
  <CharactersWithSpaces>1977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2021-11-02T06:30:00Z</dcterms:created>
  <dc:creator>Administrator</dc:creator>
  <cp:lastModifiedBy>白夜行</cp:lastModifiedBy>
  <dcterms:modified xsi:type="dcterms:W3CDTF">2025-11-26T10:20:46Z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7478F1E00907471C8423A2CEF526D138</vt:lpwstr>
  </property>
</Properties>
</file>