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0" w:firstLineChars="0"/>
        <w:jc w:val="center"/>
        <w:rPr>
          <w:rFonts w:hint="eastAsia" w:ascii="黑体" w:hAnsi="宋体" w:eastAsia="黑体" w:cs="黑体"/>
          <w:color w:val="auto"/>
          <w:sz w:val="52"/>
          <w:szCs w:val="52"/>
          <w:highlight w:val="none"/>
          <w:lang w:val="en-US" w:eastAsia="zh-CN" w:bidi="ar"/>
        </w:rPr>
      </w:pPr>
    </w:p>
    <w:p>
      <w:pPr>
        <w:spacing w:line="360" w:lineRule="auto"/>
        <w:ind w:firstLine="0" w:firstLineChars="0"/>
        <w:jc w:val="center"/>
        <w:rPr>
          <w:rFonts w:hint="eastAsia" w:ascii="黑体" w:hAnsi="宋体" w:eastAsia="黑体" w:cs="黑体"/>
          <w:color w:val="auto"/>
          <w:sz w:val="52"/>
          <w:szCs w:val="52"/>
          <w:highlight w:val="none"/>
          <w:lang w:val="en-US" w:eastAsia="zh-CN" w:bidi="ar"/>
        </w:rPr>
      </w:pPr>
      <w:r>
        <w:rPr>
          <w:rFonts w:hint="eastAsia" w:ascii="黑体" w:hAnsi="宋体" w:eastAsia="黑体" w:cs="黑体"/>
          <w:color w:val="auto"/>
          <w:sz w:val="52"/>
          <w:szCs w:val="52"/>
          <w:highlight w:val="none"/>
          <w:lang w:val="en-US" w:eastAsia="zh-CN" w:bidi="ar"/>
        </w:rPr>
        <w:t>会盟镇中心幼儿园新建综合楼项目</w:t>
      </w:r>
    </w:p>
    <w:p>
      <w:pPr>
        <w:spacing w:line="360" w:lineRule="auto"/>
        <w:ind w:firstLine="0" w:firstLineChars="0"/>
        <w:jc w:val="center"/>
        <w:rPr>
          <w:rFonts w:hint="eastAsia" w:ascii="黑体" w:hAnsi="宋体" w:eastAsia="黑体" w:cs="黑体"/>
          <w:color w:val="auto"/>
          <w:sz w:val="52"/>
          <w:szCs w:val="52"/>
          <w:highlight w:val="none"/>
          <w:lang w:val="en-US" w:eastAsia="zh-CN" w:bidi="ar"/>
        </w:rPr>
      </w:pPr>
      <w:r>
        <w:rPr>
          <w:rFonts w:hint="eastAsia" w:ascii="黑体" w:hAnsi="宋体" w:eastAsia="黑体" w:cs="黑体"/>
          <w:color w:val="auto"/>
          <w:sz w:val="52"/>
          <w:szCs w:val="52"/>
          <w:highlight w:val="none"/>
          <w:lang w:val="en-US" w:eastAsia="zh-CN" w:bidi="ar"/>
        </w:rPr>
        <w:t>财政重点绩效评价报告</w:t>
      </w:r>
    </w:p>
    <w:p>
      <w:pPr>
        <w:spacing w:line="360" w:lineRule="auto"/>
        <w:ind w:firstLine="0" w:firstLineChars="0"/>
        <w:jc w:val="center"/>
        <w:rPr>
          <w:rFonts w:hint="eastAsia" w:ascii="黑体" w:hAnsi="宋体" w:eastAsia="黑体" w:cs="黑体"/>
          <w:color w:val="auto"/>
          <w:sz w:val="52"/>
          <w:szCs w:val="52"/>
          <w:highlight w:val="none"/>
          <w:lang w:val="en-US" w:eastAsia="zh-CN" w:bidi="ar"/>
        </w:rPr>
      </w:pPr>
      <w:r>
        <w:rPr>
          <w:rFonts w:hint="eastAsia" w:ascii="黑体" w:hAnsi="宋体" w:eastAsia="黑体" w:cs="黑体"/>
          <w:color w:val="auto"/>
          <w:sz w:val="52"/>
          <w:szCs w:val="52"/>
          <w:highlight w:val="none"/>
          <w:lang w:val="en-US" w:eastAsia="zh-CN" w:bidi="ar"/>
        </w:rPr>
        <w:t>（简版）</w:t>
      </w:r>
    </w:p>
    <w:p>
      <w:pPr>
        <w:spacing w:line="360" w:lineRule="auto"/>
        <w:ind w:firstLine="0" w:firstLineChars="0"/>
        <w:jc w:val="center"/>
        <w:rPr>
          <w:rFonts w:hint="eastAsia" w:ascii="黑体" w:hAnsi="宋体" w:eastAsia="黑体" w:cs="黑体"/>
          <w:color w:val="auto"/>
          <w:sz w:val="52"/>
          <w:szCs w:val="52"/>
          <w:highlight w:val="none"/>
          <w:lang w:val="en-US" w:eastAsia="zh-CN" w:bidi="ar"/>
        </w:rPr>
      </w:pPr>
    </w:p>
    <w:p>
      <w:pPr>
        <w:ind w:left="0" w:leftChars="0" w:firstLine="0" w:firstLineChars="0"/>
        <w:rPr>
          <w:lang w:bidi="ar"/>
        </w:rPr>
      </w:pPr>
    </w:p>
    <w:p>
      <w:pPr>
        <w:ind w:firstLine="640"/>
        <w:rPr>
          <w:lang w:bidi="ar"/>
        </w:rPr>
      </w:pPr>
    </w:p>
    <w:p>
      <w:pPr>
        <w:pStyle w:val="2"/>
        <w:ind w:firstLine="320"/>
        <w:rPr>
          <w:lang w:bidi="ar"/>
        </w:rPr>
      </w:pPr>
    </w:p>
    <w:p>
      <w:pPr>
        <w:pStyle w:val="2"/>
        <w:ind w:firstLine="320"/>
        <w:rPr>
          <w:lang w:bidi="ar"/>
        </w:rPr>
      </w:pPr>
    </w:p>
    <w:p>
      <w:pPr>
        <w:pStyle w:val="2"/>
        <w:ind w:firstLine="320"/>
        <w:rPr>
          <w:lang w:bidi="ar"/>
        </w:rPr>
      </w:pPr>
    </w:p>
    <w:p>
      <w:pPr>
        <w:pStyle w:val="2"/>
        <w:ind w:firstLine="320"/>
        <w:rPr>
          <w:lang w:bidi="ar"/>
        </w:rPr>
      </w:pPr>
    </w:p>
    <w:p>
      <w:pPr>
        <w:ind w:firstLine="640"/>
        <w:rPr>
          <w:lang w:bidi="ar"/>
        </w:rPr>
      </w:pPr>
    </w:p>
    <w:p>
      <w:pPr>
        <w:pStyle w:val="2"/>
      </w:pPr>
    </w:p>
    <w:p>
      <w:pPr>
        <w:pStyle w:val="21"/>
        <w:spacing w:line="720" w:lineRule="exact"/>
        <w:ind w:firstLine="640" w:firstLineChars="200"/>
        <w:rPr>
          <w:rFonts w:ascii="黑体" w:hAnsi="黑体" w:eastAsia="黑体" w:cs="黑体"/>
          <w:sz w:val="32"/>
          <w:szCs w:val="32"/>
          <w:lang w:val="zh-TW" w:eastAsia="zh-TW" w:bidi="zh-TW"/>
        </w:rPr>
      </w:pPr>
      <w:r>
        <w:rPr>
          <w:rFonts w:hint="eastAsia" w:ascii="黑体" w:hAnsi="黑体" w:eastAsia="黑体" w:cs="黑体"/>
          <w:sz w:val="32"/>
          <w:szCs w:val="32"/>
          <w:lang w:val="zh-TW" w:eastAsia="zh-TW" w:bidi="zh-TW"/>
        </w:rPr>
        <w:t>评价实施机构：河南昭元绩效评价咨询有限公司</w:t>
      </w:r>
    </w:p>
    <w:p>
      <w:pPr>
        <w:pStyle w:val="21"/>
        <w:spacing w:line="720" w:lineRule="exact"/>
        <w:ind w:firstLine="640" w:firstLineChars="200"/>
        <w:rPr>
          <w:lang w:bidi="ar"/>
        </w:rPr>
        <w:sectPr>
          <w:pgSz w:w="11906" w:h="16838"/>
          <w:pgMar w:top="2098" w:right="1474" w:bottom="1984" w:left="1587" w:header="851" w:footer="992" w:gutter="0"/>
          <w:cols w:space="0" w:num="1"/>
          <w:rtlGutter w:val="0"/>
          <w:docGrid w:type="lines" w:linePitch="439" w:charSpace="0"/>
        </w:sectPr>
      </w:pPr>
      <w:r>
        <w:rPr>
          <w:rFonts w:hint="eastAsia" w:ascii="黑体" w:hAnsi="黑体" w:eastAsia="黑体" w:cs="黑体"/>
          <w:sz w:val="32"/>
          <w:szCs w:val="32"/>
          <w:lang w:val="zh-TW" w:eastAsia="zh-TW" w:bidi="zh-TW"/>
        </w:rPr>
        <w:t>评价报告时间：</w:t>
      </w:r>
      <w:r>
        <w:rPr>
          <w:rFonts w:hint="eastAsia" w:ascii="黑体" w:hAnsi="黑体" w:eastAsia="黑体" w:cs="黑体"/>
          <w:sz w:val="32"/>
          <w:szCs w:val="32"/>
          <w:lang w:val="zh-TW" w:eastAsia="zh-CN" w:bidi="zh-TW"/>
        </w:rPr>
        <w:t>2025年</w:t>
      </w:r>
      <w:r>
        <w:rPr>
          <w:rFonts w:hint="eastAsia" w:ascii="黑体" w:hAnsi="黑体" w:eastAsia="黑体" w:cs="黑体"/>
          <w:sz w:val="32"/>
          <w:szCs w:val="32"/>
          <w:lang w:val="en-US" w:eastAsia="zh-CN" w:bidi="zh-TW"/>
        </w:rPr>
        <w:t>9</w:t>
      </w:r>
      <w:r>
        <w:rPr>
          <w:rFonts w:hint="eastAsia" w:ascii="黑体" w:hAnsi="黑体" w:eastAsia="黑体" w:cs="黑体"/>
          <w:sz w:val="32"/>
          <w:szCs w:val="32"/>
          <w:lang w:val="zh-TW" w:eastAsia="zh-TW" w:bidi="zh-TW"/>
        </w:rPr>
        <w:t>月</w:t>
      </w:r>
    </w:p>
    <w:p>
      <w:pPr>
        <w:pStyle w:val="7"/>
        <w:bidi w:val="0"/>
        <w:rPr>
          <w:rFonts w:hint="eastAsia"/>
          <w:b w:val="0"/>
          <w:bCs w:val="0"/>
          <w:lang w:val="zh-TW" w:eastAsia="zh-TW"/>
        </w:rPr>
      </w:pPr>
      <w:r>
        <w:rPr>
          <w:rFonts w:hint="eastAsia"/>
          <w:b w:val="0"/>
          <w:bCs w:val="0"/>
          <w:lang w:val="zh-TW"/>
        </w:rPr>
        <w:t>一、</w:t>
      </w:r>
      <w:r>
        <w:rPr>
          <w:rFonts w:hint="eastAsia"/>
          <w:b w:val="0"/>
          <w:bCs w:val="0"/>
          <w:lang w:val="zh-TW" w:eastAsia="zh-TW"/>
        </w:rPr>
        <w:t>评价项目概况</w:t>
      </w:r>
    </w:p>
    <w:p>
      <w:pPr>
        <w:keepNext w:val="0"/>
        <w:keepLines w:val="0"/>
        <w:pageBreakBefore w:val="0"/>
        <w:shd w:val="clear"/>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 w:cs="仿宋_GB2312"/>
          <w:color w:val="auto"/>
          <w:sz w:val="32"/>
          <w:szCs w:val="32"/>
          <w:highlight w:val="none"/>
          <w:lang w:val="en-US" w:eastAsia="zh-CN"/>
        </w:rPr>
      </w:pPr>
      <w:r>
        <w:rPr>
          <w:rFonts w:hint="eastAsia" w:ascii="仿宋_GB2312" w:hAnsi="仿宋_GB2312" w:eastAsia="仿宋" w:cs="仿宋_GB2312"/>
          <w:color w:val="auto"/>
          <w:sz w:val="32"/>
          <w:szCs w:val="32"/>
          <w:highlight w:val="none"/>
          <w:lang w:val="en-US" w:eastAsia="zh-CN"/>
        </w:rPr>
        <w:t>《中共河南省委、河南省人民政府关于学前教育深化改革规范发展的实施意见》(2020年)提出：扩充普惠资源，持续实施学前教育行动计划，继续将普惠园建设列入各级政府为民办实事项目。《洛阳市人民政府关于印发洛阳市国民经济和社会发展第十四个五年规划和2035年远景目标纲要的通知》(洛政(2021)38号)提出:“十四五”时期经济社会发展主要目标:持续实施学前教育行动计划，推进学前教育普及普惠与扩容提质，加大公办幼儿园供给，提高普惠性幼儿园覆盖率，加快普及学前三年教育，解决入园难、入园贵问题。到2025年，学前三年毛入园率达到 94.00%。</w:t>
      </w:r>
    </w:p>
    <w:p>
      <w:pPr>
        <w:pStyle w:val="9"/>
        <w:ind w:firstLine="640"/>
        <w:rPr>
          <w:rFonts w:hint="eastAsia" w:ascii="仿宋_GB2312" w:hAnsi="仿宋_GB2312" w:eastAsia="仿宋" w:cs="仿宋_GB2312"/>
          <w:color w:val="auto"/>
          <w:highlight w:val="none"/>
          <w:lang w:val="en-US" w:eastAsia="zh-CN"/>
        </w:rPr>
      </w:pPr>
      <w:r>
        <w:rPr>
          <w:rFonts w:hint="eastAsia" w:ascii="仿宋_GB2312" w:hAnsi="仿宋_GB2312" w:eastAsia="仿宋" w:cs="仿宋_GB2312"/>
          <w:color w:val="auto"/>
          <w:sz w:val="32"/>
          <w:szCs w:val="32"/>
          <w:highlight w:val="none"/>
          <w:lang w:val="en-US" w:eastAsia="zh-CN"/>
        </w:rPr>
        <w:t>为改善孟津区公办学前教育资源短缺现状，加大普惠性幼儿园建设，缓解公办学前教育资源不足的问题，孟津区教育体育局申请实施会盟镇中心幼儿园新建综合楼项目。项目的建设是孟津区为贯彻落实国家及省市关于解决好幼儿教育问题文件精神和要求、国家教育的基本方针以及当地教育产业的发展规划而提出的，项目建成后能更好地解决孟津区会盟镇幼儿教育问题</w:t>
      </w:r>
      <w:r>
        <w:rPr>
          <w:rFonts w:hint="eastAsia" w:ascii="仿宋_GB2312" w:hAnsi="仿宋_GB2312" w:eastAsia="仿宋" w:cs="仿宋_GB2312"/>
          <w:color w:val="auto"/>
          <w:highlight w:val="none"/>
          <w:lang w:val="en-US" w:eastAsia="zh-CN"/>
        </w:rPr>
        <w:t>。</w:t>
      </w:r>
    </w:p>
    <w:p>
      <w:pPr>
        <w:ind w:firstLine="640"/>
        <w:rPr>
          <w:rFonts w:hint="eastAsia" w:ascii="仿宋" w:hAnsi="仿宋" w:eastAsia="仿宋" w:cs="仿宋"/>
          <w:color w:val="auto"/>
          <w:highlight w:val="none"/>
          <w:lang w:eastAsia="zh-CN"/>
        </w:rPr>
      </w:pPr>
      <w:r>
        <w:rPr>
          <w:rFonts w:hint="eastAsia" w:ascii="仿宋_GB2312" w:hAnsi="仿宋_GB2312" w:eastAsia="仿宋" w:cs="仿宋_GB2312"/>
          <w:color w:val="auto"/>
          <w:highlight w:val="none"/>
          <w:lang w:val="en-US" w:eastAsia="zh-CN"/>
        </w:rPr>
        <w:t>孟津区教育体育局</w:t>
      </w:r>
      <w:r>
        <w:rPr>
          <w:rFonts w:hint="eastAsia"/>
          <w:color w:val="auto"/>
          <w:highlight w:val="none"/>
          <w:lang w:val="zh-CN" w:eastAsia="zh-CN"/>
        </w:rPr>
        <w:t>依据</w:t>
      </w:r>
      <w:r>
        <w:rPr>
          <w:rFonts w:hint="eastAsia"/>
          <w:color w:val="auto"/>
          <w:highlight w:val="none"/>
          <w:lang w:val="en-US" w:eastAsia="zh-CN"/>
        </w:rPr>
        <w:t>孟津</w:t>
      </w:r>
      <w:r>
        <w:rPr>
          <w:rFonts w:hint="eastAsia"/>
          <w:color w:val="auto"/>
          <w:highlight w:val="none"/>
          <w:lang w:val="zh-CN" w:eastAsia="zh-CN"/>
        </w:rPr>
        <w:t>区财政投资评审中心</w:t>
      </w:r>
      <w:r>
        <w:rPr>
          <w:rFonts w:hint="eastAsia"/>
          <w:color w:val="auto"/>
          <w:highlight w:val="none"/>
          <w:lang w:eastAsia="zh-CN"/>
        </w:rPr>
        <w:t>审定后的招标控制价</w:t>
      </w:r>
      <w:r>
        <w:rPr>
          <w:rFonts w:hint="eastAsia"/>
          <w:color w:val="auto"/>
          <w:highlight w:val="none"/>
          <w:lang w:val="zh-CN" w:eastAsia="zh-CN"/>
        </w:rPr>
        <w:t>，</w:t>
      </w:r>
      <w:r>
        <w:rPr>
          <w:rFonts w:hint="eastAsia" w:ascii="仿宋_GB2312" w:hAnsi="仿宋_GB2312" w:eastAsia="仿宋" w:cs="仿宋_GB2312"/>
          <w:color w:val="auto"/>
          <w:highlight w:val="none"/>
          <w:lang w:val="en-US" w:eastAsia="zh-CN"/>
        </w:rPr>
        <w:t>孟津区教育体育局</w:t>
      </w:r>
      <w:r>
        <w:rPr>
          <w:rFonts w:hint="eastAsia"/>
          <w:color w:val="auto"/>
          <w:highlight w:val="none"/>
          <w:lang w:val="zh-CN" w:eastAsia="zh-CN"/>
        </w:rPr>
        <w:t>进入</w:t>
      </w:r>
      <w:r>
        <w:rPr>
          <w:rFonts w:hint="eastAsia"/>
          <w:color w:val="auto"/>
          <w:highlight w:val="none"/>
          <w:lang w:val="en-US" w:eastAsia="zh-CN"/>
        </w:rPr>
        <w:t>洛阳</w:t>
      </w:r>
      <w:r>
        <w:rPr>
          <w:rFonts w:hint="eastAsia"/>
          <w:color w:val="auto"/>
          <w:highlight w:val="none"/>
          <w:lang w:val="zh-CN" w:eastAsia="zh-CN"/>
        </w:rPr>
        <w:t>市</w:t>
      </w:r>
      <w:r>
        <w:rPr>
          <w:rFonts w:hint="eastAsia"/>
          <w:color w:val="auto"/>
          <w:highlight w:val="none"/>
          <w:lang w:val="en-US" w:eastAsia="zh-CN"/>
        </w:rPr>
        <w:t>孟津区</w:t>
      </w:r>
      <w:r>
        <w:rPr>
          <w:rFonts w:hint="eastAsia"/>
          <w:color w:val="auto"/>
          <w:highlight w:val="none"/>
          <w:lang w:val="zh-CN" w:eastAsia="zh-CN"/>
        </w:rPr>
        <w:t>公共资源交易中心对项目工程施工进行公开招标，确定中标单位和中标价。施工单位按照工程设计图、工程量清单和合同约定内容及时开展项目建设工作。实际开工日期202</w:t>
      </w:r>
      <w:r>
        <w:rPr>
          <w:rFonts w:hint="eastAsia"/>
          <w:color w:val="auto"/>
          <w:highlight w:val="none"/>
          <w:lang w:val="en-US" w:eastAsia="zh-CN"/>
        </w:rPr>
        <w:t>4</w:t>
      </w:r>
      <w:r>
        <w:rPr>
          <w:rFonts w:hint="eastAsia"/>
          <w:color w:val="auto"/>
          <w:highlight w:val="none"/>
          <w:lang w:val="zh-CN" w:eastAsia="zh-CN"/>
        </w:rPr>
        <w:t>年</w:t>
      </w:r>
      <w:r>
        <w:rPr>
          <w:rFonts w:hint="eastAsia"/>
          <w:color w:val="auto"/>
          <w:highlight w:val="none"/>
          <w:lang w:val="en-US" w:eastAsia="zh-CN"/>
        </w:rPr>
        <w:t>3</w:t>
      </w:r>
      <w:r>
        <w:rPr>
          <w:rFonts w:hint="eastAsia"/>
          <w:color w:val="auto"/>
          <w:highlight w:val="none"/>
          <w:lang w:val="zh-CN" w:eastAsia="zh-CN"/>
        </w:rPr>
        <w:t>月</w:t>
      </w:r>
      <w:r>
        <w:rPr>
          <w:rFonts w:hint="eastAsia"/>
          <w:color w:val="auto"/>
          <w:highlight w:val="none"/>
          <w:lang w:val="en-US" w:eastAsia="zh-CN"/>
        </w:rPr>
        <w:t>13</w:t>
      </w:r>
      <w:r>
        <w:rPr>
          <w:rFonts w:hint="eastAsia"/>
          <w:color w:val="auto"/>
          <w:highlight w:val="none"/>
          <w:lang w:val="zh-CN" w:eastAsia="zh-CN"/>
        </w:rPr>
        <w:t>日，实际竣工日期202</w:t>
      </w:r>
      <w:r>
        <w:rPr>
          <w:rFonts w:hint="eastAsia"/>
          <w:color w:val="auto"/>
          <w:highlight w:val="none"/>
          <w:lang w:val="en-US" w:eastAsia="zh-CN"/>
        </w:rPr>
        <w:t>4</w:t>
      </w:r>
      <w:r>
        <w:rPr>
          <w:rFonts w:hint="eastAsia"/>
          <w:color w:val="auto"/>
          <w:highlight w:val="none"/>
          <w:lang w:val="zh-CN" w:eastAsia="zh-CN"/>
        </w:rPr>
        <w:t>年</w:t>
      </w:r>
      <w:r>
        <w:rPr>
          <w:rFonts w:hint="eastAsia"/>
          <w:color w:val="auto"/>
          <w:highlight w:val="none"/>
          <w:lang w:val="en-US" w:eastAsia="zh-CN"/>
        </w:rPr>
        <w:t>12</w:t>
      </w:r>
      <w:r>
        <w:rPr>
          <w:rFonts w:hint="eastAsia"/>
          <w:color w:val="auto"/>
          <w:highlight w:val="none"/>
          <w:lang w:val="zh-CN" w:eastAsia="zh-CN"/>
        </w:rPr>
        <w:t>月</w:t>
      </w:r>
      <w:r>
        <w:rPr>
          <w:rFonts w:hint="eastAsia"/>
          <w:color w:val="auto"/>
          <w:highlight w:val="none"/>
          <w:lang w:val="en-US" w:eastAsia="zh-CN"/>
        </w:rPr>
        <w:t>20</w:t>
      </w:r>
      <w:r>
        <w:rPr>
          <w:rFonts w:hint="eastAsia"/>
          <w:color w:val="auto"/>
          <w:highlight w:val="none"/>
          <w:lang w:val="zh-CN" w:eastAsia="zh-CN"/>
        </w:rPr>
        <w:t>日，于202</w:t>
      </w:r>
      <w:r>
        <w:rPr>
          <w:rFonts w:hint="eastAsia"/>
          <w:color w:val="auto"/>
          <w:highlight w:val="none"/>
          <w:lang w:val="en-US" w:eastAsia="zh-CN"/>
        </w:rPr>
        <w:t>4</w:t>
      </w:r>
      <w:r>
        <w:rPr>
          <w:rFonts w:hint="eastAsia"/>
          <w:color w:val="auto"/>
          <w:highlight w:val="none"/>
          <w:lang w:val="zh-CN" w:eastAsia="zh-CN"/>
        </w:rPr>
        <w:t>年1</w:t>
      </w:r>
      <w:r>
        <w:rPr>
          <w:rFonts w:hint="eastAsia"/>
          <w:color w:val="auto"/>
          <w:highlight w:val="none"/>
          <w:lang w:val="en-US" w:eastAsia="zh-CN"/>
        </w:rPr>
        <w:t>2</w:t>
      </w:r>
      <w:r>
        <w:rPr>
          <w:rFonts w:hint="eastAsia"/>
          <w:color w:val="auto"/>
          <w:highlight w:val="none"/>
          <w:lang w:val="zh-CN" w:eastAsia="zh-CN"/>
        </w:rPr>
        <w:t>月</w:t>
      </w:r>
      <w:r>
        <w:rPr>
          <w:rFonts w:hint="eastAsia"/>
          <w:color w:val="auto"/>
          <w:highlight w:val="none"/>
          <w:lang w:val="en-US" w:eastAsia="zh-CN"/>
        </w:rPr>
        <w:t>20</w:t>
      </w:r>
      <w:r>
        <w:rPr>
          <w:rFonts w:hint="eastAsia"/>
          <w:color w:val="auto"/>
          <w:highlight w:val="none"/>
          <w:lang w:val="zh-CN" w:eastAsia="zh-CN"/>
        </w:rPr>
        <w:t>日经各方责任单位组织验收，工程质量验收合格。</w:t>
      </w:r>
      <w:r>
        <w:rPr>
          <w:rFonts w:hint="eastAsia"/>
          <w:color w:val="auto"/>
          <w:highlight w:val="none"/>
          <w:lang w:val="en-US" w:eastAsia="zh-CN"/>
        </w:rPr>
        <w:t>截止评价报告出具时点，新建综合楼一楼已投入使用，因新建综合楼配套消防水池等设施建设工作尚在进行，待配套消防水池等实施建设完成，通过消防验收，预计十月底新建综合楼整体可投入使用，发挥预期效益</w:t>
      </w:r>
      <w:r>
        <w:rPr>
          <w:rFonts w:hint="eastAsia"/>
          <w:color w:val="auto"/>
          <w:highlight w:val="none"/>
          <w:lang w:val="zh-CN" w:eastAsia="zh-CN"/>
        </w:rPr>
        <w:t>。</w:t>
      </w:r>
      <w:r>
        <w:rPr>
          <w:rFonts w:hint="eastAsia" w:ascii="仿宋" w:hAnsi="仿宋" w:eastAsia="仿宋" w:cs="仿宋"/>
          <w:color w:val="auto"/>
          <w:highlight w:val="none"/>
          <w:lang w:eastAsia="zh-CN"/>
        </w:rPr>
        <w:t>截至202</w:t>
      </w:r>
      <w:r>
        <w:rPr>
          <w:rFonts w:hint="eastAsia" w:ascii="仿宋" w:hAnsi="仿宋" w:cs="仿宋"/>
          <w:color w:val="auto"/>
          <w:highlight w:val="none"/>
          <w:lang w:val="en-US" w:eastAsia="zh-CN"/>
        </w:rPr>
        <w:t>4</w:t>
      </w:r>
      <w:r>
        <w:rPr>
          <w:rFonts w:hint="eastAsia" w:ascii="仿宋" w:hAnsi="仿宋" w:eastAsia="仿宋" w:cs="仿宋"/>
          <w:color w:val="auto"/>
          <w:highlight w:val="none"/>
          <w:lang w:eastAsia="zh-CN"/>
        </w:rPr>
        <w:t>年12月31日，</w:t>
      </w:r>
      <w:r>
        <w:rPr>
          <w:rFonts w:hint="eastAsia" w:ascii="仿宋" w:hAnsi="仿宋" w:cs="仿宋"/>
          <w:color w:val="auto"/>
          <w:highlight w:val="none"/>
          <w:lang w:eastAsia="zh-CN"/>
        </w:rPr>
        <w:t>会盟镇中心幼儿园新建综合楼项目</w:t>
      </w:r>
      <w:r>
        <w:rPr>
          <w:rFonts w:hint="eastAsia" w:ascii="仿宋" w:hAnsi="仿宋" w:cs="仿宋"/>
          <w:color w:val="auto"/>
          <w:highlight w:val="none"/>
          <w:lang w:val="en-US" w:eastAsia="zh-CN"/>
        </w:rPr>
        <w:t>财政</w:t>
      </w:r>
      <w:r>
        <w:rPr>
          <w:rFonts w:hint="eastAsia" w:ascii="仿宋" w:hAnsi="仿宋" w:eastAsia="仿宋" w:cs="仿宋"/>
          <w:color w:val="auto"/>
          <w:highlight w:val="none"/>
          <w:lang w:eastAsia="zh-CN"/>
        </w:rPr>
        <w:t>到位资金</w:t>
      </w:r>
      <w:r>
        <w:rPr>
          <w:rFonts w:hint="eastAsia" w:ascii="仿宋" w:hAnsi="仿宋" w:cs="仿宋"/>
          <w:color w:val="auto"/>
          <w:highlight w:val="none"/>
          <w:lang w:val="en-US" w:eastAsia="zh-CN"/>
        </w:rPr>
        <w:t>0</w:t>
      </w:r>
      <w:r>
        <w:rPr>
          <w:rFonts w:hint="eastAsia" w:ascii="仿宋" w:hAnsi="仿宋" w:eastAsia="仿宋" w:cs="仿宋"/>
          <w:color w:val="auto"/>
          <w:highlight w:val="none"/>
          <w:lang w:eastAsia="zh-CN"/>
        </w:rPr>
        <w:t>万元，资金到位率</w:t>
      </w:r>
      <w:r>
        <w:rPr>
          <w:rFonts w:hint="eastAsia" w:ascii="仿宋" w:hAnsi="仿宋" w:cs="仿宋"/>
          <w:color w:val="auto"/>
          <w:highlight w:val="none"/>
          <w:lang w:val="en-US" w:eastAsia="zh-CN"/>
        </w:rPr>
        <w:t>0</w:t>
      </w:r>
      <w:r>
        <w:rPr>
          <w:rFonts w:hint="eastAsia" w:ascii="仿宋" w:hAnsi="仿宋" w:eastAsia="仿宋" w:cs="仿宋"/>
          <w:color w:val="auto"/>
          <w:highlight w:val="none"/>
          <w:lang w:eastAsia="zh-CN"/>
        </w:rPr>
        <w:t>%，项目共支付</w:t>
      </w:r>
      <w:r>
        <w:rPr>
          <w:rFonts w:hint="eastAsia" w:ascii="仿宋_GB2312" w:hAnsi="仿宋_GB2312" w:eastAsia="仿宋" w:cs="仿宋_GB2312"/>
          <w:color w:val="auto"/>
          <w:highlight w:val="none"/>
          <w:lang w:val="en-US" w:eastAsia="zh-CN"/>
        </w:rPr>
        <w:t>4390946元</w:t>
      </w:r>
      <w:r>
        <w:rPr>
          <w:rFonts w:hint="eastAsia" w:ascii="仿宋" w:hAnsi="仿宋" w:eastAsia="仿宋" w:cs="仿宋"/>
          <w:color w:val="auto"/>
          <w:highlight w:val="none"/>
          <w:lang w:eastAsia="zh-CN"/>
        </w:rPr>
        <w:t>，</w:t>
      </w:r>
      <w:r>
        <w:rPr>
          <w:rFonts w:hint="eastAsia" w:ascii="仿宋" w:hAnsi="仿宋" w:cs="仿宋"/>
          <w:color w:val="auto"/>
          <w:highlight w:val="none"/>
          <w:lang w:val="en-US" w:eastAsia="zh-CN"/>
        </w:rPr>
        <w:t>由专项债债券资金支付</w:t>
      </w:r>
      <w:r>
        <w:rPr>
          <w:rFonts w:hint="eastAsia" w:ascii="仿宋" w:hAnsi="仿宋" w:eastAsia="仿宋" w:cs="仿宋"/>
          <w:color w:val="auto"/>
          <w:highlight w:val="none"/>
          <w:lang w:eastAsia="zh-CN"/>
        </w:rPr>
        <w:t>。</w:t>
      </w:r>
    </w:p>
    <w:p>
      <w:pPr>
        <w:pStyle w:val="7"/>
        <w:bidi w:val="0"/>
        <w:rPr>
          <w:b w:val="0"/>
          <w:bCs w:val="0"/>
          <w:lang w:val="zh-TW"/>
        </w:rPr>
      </w:pPr>
      <w:r>
        <w:rPr>
          <w:rFonts w:hint="eastAsia"/>
          <w:b w:val="0"/>
          <w:bCs w:val="0"/>
          <w:lang w:val="zh-TW"/>
        </w:rPr>
        <w:t>二、评价原则与评</w:t>
      </w:r>
      <w:r>
        <w:rPr>
          <w:rFonts w:hint="eastAsia"/>
          <w:b w:val="0"/>
          <w:bCs w:val="0"/>
          <w:lang w:val="en-US" w:eastAsia="zh-CN"/>
        </w:rPr>
        <w:t>价</w:t>
      </w:r>
      <w:r>
        <w:rPr>
          <w:rFonts w:hint="eastAsia"/>
          <w:b w:val="0"/>
          <w:bCs w:val="0"/>
          <w:lang w:val="zh-TW"/>
        </w:rPr>
        <w:t>方法</w:t>
      </w:r>
    </w:p>
    <w:p>
      <w:pPr>
        <w:bidi w:val="0"/>
        <w:rPr>
          <w:color w:val="auto"/>
          <w:highlight w:val="none"/>
          <w:lang w:val="zh-TW" w:eastAsia="zh-TW"/>
        </w:rPr>
      </w:pPr>
      <w:r>
        <w:rPr>
          <w:rFonts w:hint="eastAsia"/>
          <w:color w:val="auto"/>
          <w:highlight w:val="none"/>
          <w:lang w:val="zh-TW" w:eastAsia="zh-TW"/>
        </w:rPr>
        <w:t>本次评价主要依据《河南省省级预算项目支出绩效评价管理办法》（豫财效〔</w:t>
      </w:r>
      <w:r>
        <w:rPr>
          <w:rFonts w:hint="default"/>
          <w:color w:val="auto"/>
          <w:highlight w:val="none"/>
          <w:lang w:val="zh-TW" w:eastAsia="zh-TW"/>
        </w:rPr>
        <w:t>2020</w:t>
      </w:r>
      <w:r>
        <w:rPr>
          <w:rFonts w:hint="eastAsia"/>
          <w:color w:val="auto"/>
          <w:highlight w:val="none"/>
          <w:lang w:val="zh-TW" w:eastAsia="zh-TW"/>
        </w:rPr>
        <w:t>〕</w:t>
      </w:r>
      <w:r>
        <w:rPr>
          <w:rFonts w:hint="default"/>
          <w:color w:val="auto"/>
          <w:highlight w:val="none"/>
          <w:lang w:val="zh-TW" w:eastAsia="zh-TW"/>
        </w:rPr>
        <w:t>10</w:t>
      </w:r>
      <w:r>
        <w:rPr>
          <w:rFonts w:hint="eastAsia"/>
          <w:color w:val="auto"/>
          <w:highlight w:val="none"/>
          <w:lang w:val="zh-TW" w:eastAsia="zh-TW"/>
        </w:rPr>
        <w:t>号）规定，遵循科学规范、公开公正、绩效相关的评价原则，评价组对照绩效指标评价体系，从决策、管理、产出和效益四个维度，通过数据采集、实地调研等方式，对本项目进行客观公正的绩效评价。</w:t>
      </w:r>
    </w:p>
    <w:p>
      <w:pPr>
        <w:pStyle w:val="7"/>
        <w:bidi w:val="0"/>
        <w:rPr>
          <w:rFonts w:hint="eastAsia"/>
          <w:b w:val="0"/>
          <w:bCs w:val="0"/>
          <w:lang w:val="zh-TW"/>
        </w:rPr>
      </w:pPr>
      <w:r>
        <w:rPr>
          <w:rFonts w:hint="eastAsia"/>
          <w:b w:val="0"/>
          <w:bCs w:val="0"/>
          <w:lang w:val="zh-TW"/>
        </w:rPr>
        <w:t>三、评价结论</w:t>
      </w:r>
    </w:p>
    <w:p>
      <w:pPr>
        <w:pStyle w:val="8"/>
        <w:bidi w:val="0"/>
        <w:rPr>
          <w:rFonts w:hint="eastAsia"/>
          <w:b w:val="0"/>
          <w:bCs w:val="0"/>
        </w:rPr>
      </w:pPr>
      <w:r>
        <w:rPr>
          <w:rFonts w:hint="eastAsia"/>
          <w:b w:val="0"/>
          <w:bCs w:val="0"/>
          <w:lang w:val="zh-TW"/>
        </w:rPr>
        <w:t>（一）</w:t>
      </w:r>
      <w:r>
        <w:rPr>
          <w:rFonts w:hint="eastAsia"/>
          <w:b w:val="0"/>
          <w:bCs w:val="0"/>
          <w:lang w:val="zh-TW" w:eastAsia="zh-TW"/>
        </w:rPr>
        <w:t>综合评价情况</w:t>
      </w:r>
    </w:p>
    <w:p>
      <w:pPr>
        <w:keepNext w:val="0"/>
        <w:keepLines w:val="0"/>
        <w:pageBreakBefore w:val="0"/>
        <w:widowControl w:val="0"/>
        <w:shd w:val="clear"/>
        <w:kinsoku/>
        <w:wordWrap/>
        <w:overflowPunct/>
        <w:topLinePunct w:val="0"/>
        <w:autoSpaceDE/>
        <w:autoSpaceDN/>
        <w:bidi w:val="0"/>
        <w:adjustRightInd w:val="0"/>
        <w:snapToGrid w:val="0"/>
        <w:spacing w:line="560" w:lineRule="exact"/>
        <w:textAlignment w:val="auto"/>
        <w:rPr>
          <w:rFonts w:hint="eastAsia" w:ascii="仿宋_GB2312" w:hAnsi="仿宋_GB2312" w:eastAsia="仿宋" w:cs="仿宋_GB2312"/>
          <w:color w:val="auto"/>
          <w:highlight w:val="none"/>
          <w:lang w:val="en-US" w:eastAsia="zh-CN"/>
        </w:rPr>
      </w:pPr>
      <w:r>
        <w:rPr>
          <w:rFonts w:hint="eastAsia"/>
          <w:lang w:eastAsia="zh-CN"/>
        </w:rPr>
        <w:t>会盟镇中心幼儿园新建综合楼项目</w:t>
      </w:r>
      <w:r>
        <w:rPr>
          <w:rFonts w:hint="eastAsia" w:ascii="仿宋_GB2312" w:hAnsi="仿宋_GB2312" w:eastAsia="仿宋" w:cs="仿宋_GB2312"/>
          <w:color w:val="auto"/>
          <w:highlight w:val="none"/>
          <w:lang w:val="en-US" w:eastAsia="zh-CN"/>
        </w:rPr>
        <w:t>开工前明确了所有参建人员的安全岗位职责，层层落实安全生产管理目标责任，形成健全的安全责任体系，有效分解落实了内部安全生产管理目标责任，明确岗位安全管理职责分工、强化日常安全信息及数据报告工作；在完善安全生产责任体系的同时，建立健全的安全生产监督管理体系，强化日常安全生产检查及整改工作和强化季度安全生产督察抽查等，规范安全监管各项要求，切实履行安全监督检查职责，筑牢安全防线，实现工程安全生产，在项目施工期间未发生安全事故。</w:t>
      </w:r>
    </w:p>
    <w:p>
      <w:pPr>
        <w:pStyle w:val="8"/>
        <w:bidi w:val="0"/>
        <w:rPr>
          <w:rFonts w:hint="eastAsia"/>
          <w:b w:val="0"/>
          <w:bCs w:val="0"/>
          <w:lang w:val="zh-TW"/>
        </w:rPr>
      </w:pPr>
      <w:r>
        <w:rPr>
          <w:rFonts w:hint="eastAsia"/>
          <w:b w:val="0"/>
          <w:bCs w:val="0"/>
          <w:lang w:val="zh-TW"/>
        </w:rPr>
        <w:t>（二）评价结论</w:t>
      </w:r>
    </w:p>
    <w:p>
      <w:pPr>
        <w:bidi w:val="0"/>
        <w:rPr>
          <w:lang w:val="zh-TW" w:eastAsia="zh-TW"/>
        </w:rPr>
      </w:pPr>
      <w:r>
        <w:rPr>
          <w:rFonts w:hint="eastAsia"/>
          <w:lang w:val="zh-TW" w:eastAsia="zh-TW"/>
        </w:rPr>
        <w:t>根据既定指标体系和评分标准，经资料分析及现场核查，评价小组对“</w:t>
      </w:r>
      <w:r>
        <w:rPr>
          <w:rFonts w:hint="eastAsia"/>
          <w:lang w:val="zh-TW" w:eastAsia="zh-CN"/>
        </w:rPr>
        <w:t>会盟镇中心幼儿园新建综合楼项目</w:t>
      </w:r>
      <w:r>
        <w:rPr>
          <w:rFonts w:hint="eastAsia"/>
          <w:lang w:val="zh-TW" w:eastAsia="zh-TW"/>
        </w:rPr>
        <w:t>”的决策、过程、产出和效益进行了全面评价。评定</w:t>
      </w:r>
      <w:r>
        <w:rPr>
          <w:rFonts w:hint="eastAsia"/>
          <w:lang w:val="en-US" w:eastAsia="zh-CN"/>
        </w:rPr>
        <w:t>会盟镇中心幼儿园新建综合楼项目得分为85.50分，评价结果为“良”</w:t>
      </w:r>
      <w:r>
        <w:rPr>
          <w:rFonts w:hint="eastAsia"/>
          <w:lang w:val="zh-TW" w:eastAsia="zh-TW"/>
        </w:rPr>
        <w:t>。</w:t>
      </w:r>
    </w:p>
    <w:p>
      <w:pPr>
        <w:pStyle w:val="7"/>
        <w:bidi w:val="0"/>
        <w:rPr>
          <w:rFonts w:hint="eastAsia"/>
          <w:b w:val="0"/>
          <w:bCs w:val="0"/>
          <w:lang w:val="zh-CN"/>
        </w:rPr>
      </w:pPr>
      <w:r>
        <w:rPr>
          <w:rFonts w:hint="eastAsia"/>
          <w:b w:val="0"/>
          <w:bCs w:val="0"/>
          <w:lang w:val="en-US" w:eastAsia="zh-CN"/>
        </w:rPr>
        <w:t>四</w:t>
      </w:r>
      <w:r>
        <w:rPr>
          <w:rFonts w:hint="eastAsia"/>
          <w:b w:val="0"/>
          <w:bCs w:val="0"/>
          <w:lang w:val="zh-CN"/>
        </w:rPr>
        <w:t>、存在问题</w:t>
      </w:r>
    </w:p>
    <w:p>
      <w:pPr>
        <w:bidi w:val="0"/>
        <w:rPr>
          <w:rFonts w:hint="eastAsia"/>
          <w:lang w:val="en-US" w:eastAsia="zh-CN"/>
        </w:rPr>
      </w:pPr>
      <w:r>
        <w:rPr>
          <w:rFonts w:hint="eastAsia" w:ascii="楷体" w:hAnsi="楷体" w:eastAsia="楷体" w:cs="楷体"/>
          <w:b w:val="0"/>
          <w:bCs w:val="0"/>
          <w:snapToGrid w:val="0"/>
          <w:color w:val="auto"/>
          <w:kern w:val="0"/>
          <w:szCs w:val="32"/>
          <w:highlight w:val="none"/>
          <w:lang w:val="en-US" w:eastAsia="zh-CN" w:bidi="ar-SA"/>
        </w:rPr>
        <w:t>(</w:t>
      </w:r>
      <w:r>
        <w:rPr>
          <w:rFonts w:hint="eastAsia"/>
          <w:lang w:val="en-US" w:eastAsia="zh-CN"/>
        </w:rPr>
        <w:t>一)项目管理不规范，档案管理制度执行有待加强</w:t>
      </w:r>
    </w:p>
    <w:p>
      <w:pPr>
        <w:bidi w:val="0"/>
        <w:rPr>
          <w:rFonts w:hint="eastAsia"/>
          <w:lang w:val="en-US" w:eastAsia="zh-CN"/>
        </w:rPr>
      </w:pPr>
      <w:r>
        <w:rPr>
          <w:rFonts w:hint="eastAsia"/>
          <w:lang w:val="en-US" w:eastAsia="zh-CN"/>
        </w:rPr>
        <w:t>项目资料不够齐全，资料归档不够规范。孟津区教育体育局按照《洛阳市孟津区校建项目管理办法》及上级档案管理制度规定，将项目前期申请资料、招标资料、合同书、验收报告等与项目有关的资料统一管理，并装订成册。评价组在查阅归档档案资料过程中发现多处需填报日期的地方未填报的情形。</w:t>
      </w:r>
    </w:p>
    <w:p>
      <w:pPr>
        <w:bidi w:val="0"/>
        <w:rPr>
          <w:rFonts w:hint="default"/>
          <w:lang w:val="en-US" w:eastAsia="zh-CN"/>
        </w:rPr>
      </w:pPr>
      <w:r>
        <w:rPr>
          <w:rFonts w:hint="eastAsia"/>
          <w:lang w:val="en-US" w:eastAsia="zh-CN"/>
        </w:rPr>
        <w:t>(二)项目配套消防设施未通过验收，存在消防安全隐患</w:t>
      </w:r>
    </w:p>
    <w:p>
      <w:pPr>
        <w:bidi w:val="0"/>
        <w:rPr>
          <w:rFonts w:hint="eastAsia"/>
          <w:lang w:val="en-US" w:eastAsia="zh-CN"/>
        </w:rPr>
      </w:pPr>
      <w:r>
        <w:rPr>
          <w:rFonts w:hint="eastAsia"/>
          <w:lang w:val="en-US" w:eastAsia="zh-CN"/>
        </w:rPr>
        <w:t>评价组与项目单位现场调研访谈，截至评价时点新建综合楼配套消防水池等设施建设工作尚在进行，尚未进行消防验收。目前新建综合楼一楼已投入使用，因消防未通过验收，师生在楼内存在消防安全隐患问题。</w:t>
      </w:r>
    </w:p>
    <w:p>
      <w:pPr>
        <w:bidi w:val="0"/>
        <w:rPr>
          <w:rFonts w:hint="default"/>
          <w:lang w:val="en-US" w:eastAsia="zh-CN"/>
        </w:rPr>
      </w:pPr>
      <w:r>
        <w:rPr>
          <w:rFonts w:hint="eastAsia"/>
          <w:lang w:val="en-US" w:eastAsia="zh-CN"/>
        </w:rPr>
        <w:t>(三)前期规划不严谨，国有资产存在闲置浪费</w:t>
      </w:r>
    </w:p>
    <w:p>
      <w:pPr>
        <w:bidi w:val="0"/>
        <w:rPr>
          <w:rFonts w:hint="eastAsia"/>
          <w:lang w:val="en-US" w:eastAsia="zh-CN"/>
        </w:rPr>
      </w:pPr>
      <w:r>
        <w:rPr>
          <w:rFonts w:hint="eastAsia"/>
          <w:lang w:val="en-US" w:eastAsia="zh-CN"/>
        </w:rPr>
        <w:t>项目单位前期规划工作未进行充分的科学论证，过程不严谨，造成新建综合楼竣工验收后，因配套消防水池等设施未同步完工影响综合楼整体通过消防验收。目前综合楼仅一楼投入使用，国有资产存在闲置浪费的情形。</w:t>
      </w:r>
    </w:p>
    <w:p>
      <w:pPr>
        <w:pStyle w:val="7"/>
        <w:bidi w:val="0"/>
        <w:rPr>
          <w:rFonts w:hint="eastAsia"/>
          <w:b w:val="0"/>
          <w:bCs w:val="0"/>
          <w:lang w:val="en-US" w:eastAsia="zh-CN"/>
        </w:rPr>
      </w:pPr>
      <w:r>
        <w:rPr>
          <w:rFonts w:hint="eastAsia"/>
          <w:b w:val="0"/>
          <w:bCs w:val="0"/>
          <w:lang w:val="en-US" w:eastAsia="zh-CN"/>
        </w:rPr>
        <w:t>五、有关建议</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Chars="200"/>
        <w:jc w:val="left"/>
        <w:textAlignment w:val="auto"/>
        <w:outlineLvl w:val="9"/>
        <w:rPr>
          <w:rFonts w:hint="default" w:ascii="楷体" w:hAnsi="楷体" w:eastAsia="楷体" w:cs="楷体"/>
          <w:b w:val="0"/>
          <w:bCs w:val="0"/>
          <w:snapToGrid w:val="0"/>
          <w:color w:val="auto"/>
          <w:kern w:val="0"/>
          <w:sz w:val="32"/>
          <w:szCs w:val="32"/>
          <w:highlight w:val="none"/>
          <w:lang w:val="en-US" w:eastAsia="zh-CN" w:bidi="ar-SA"/>
        </w:rPr>
      </w:pPr>
      <w:r>
        <w:rPr>
          <w:rFonts w:hint="eastAsia" w:ascii="楷体" w:hAnsi="楷体" w:eastAsia="楷体" w:cs="楷体"/>
          <w:b w:val="0"/>
          <w:bCs w:val="0"/>
          <w:snapToGrid w:val="0"/>
          <w:color w:val="auto"/>
          <w:kern w:val="0"/>
          <w:sz w:val="32"/>
          <w:szCs w:val="32"/>
          <w:highlight w:val="none"/>
          <w:lang w:val="en-US" w:eastAsia="zh-CN" w:bidi="ar-SA"/>
        </w:rPr>
        <w:t>（一）规范项目管理模式，落实档案管理制度</w:t>
      </w:r>
    </w:p>
    <w:p>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 w:cs="仿宋_GB2312"/>
          <w:snapToGrid w:val="0"/>
          <w:color w:val="auto"/>
          <w:kern w:val="0"/>
          <w:sz w:val="32"/>
          <w:szCs w:val="32"/>
          <w:highlight w:val="none"/>
          <w:lang w:val="en-US" w:eastAsia="zh-CN" w:bidi="ar-SA"/>
        </w:rPr>
      </w:pPr>
      <w:r>
        <w:rPr>
          <w:rFonts w:hint="eastAsia" w:ascii="仿宋_GB2312" w:hAnsi="仿宋_GB2312" w:eastAsia="仿宋" w:cs="仿宋_GB2312"/>
          <w:snapToGrid w:val="0"/>
          <w:color w:val="auto"/>
          <w:kern w:val="0"/>
          <w:sz w:val="32"/>
          <w:szCs w:val="32"/>
          <w:highlight w:val="none"/>
          <w:lang w:val="en-US" w:eastAsia="zh-CN" w:bidi="ar-SA"/>
        </w:rPr>
        <w:t>建议项目单位严格执行档案管理制度，按照档案管理制度收集、整理、保存项目资料，及时对项目文件进行归档审查，在项目完成验收时，档案资料内容应填写完整、规范并及时归档，精确反映项目的完成情况，提升档案管理的规范性。</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Chars="200"/>
        <w:jc w:val="left"/>
        <w:textAlignment w:val="auto"/>
        <w:outlineLvl w:val="9"/>
        <w:rPr>
          <w:rFonts w:hint="default" w:ascii="楷体" w:hAnsi="楷体" w:eastAsia="楷体" w:cs="楷体"/>
          <w:b w:val="0"/>
          <w:bCs w:val="0"/>
          <w:snapToGrid w:val="0"/>
          <w:color w:val="auto"/>
          <w:kern w:val="0"/>
          <w:sz w:val="32"/>
          <w:szCs w:val="32"/>
          <w:highlight w:val="none"/>
          <w:lang w:val="en-US" w:eastAsia="zh-CN" w:bidi="ar-SA"/>
        </w:rPr>
      </w:pPr>
      <w:r>
        <w:rPr>
          <w:rFonts w:hint="eastAsia" w:ascii="楷体" w:hAnsi="楷体" w:eastAsia="楷体" w:cs="楷体"/>
          <w:b w:val="0"/>
          <w:bCs w:val="0"/>
          <w:snapToGrid w:val="0"/>
          <w:color w:val="auto"/>
          <w:kern w:val="0"/>
          <w:sz w:val="32"/>
          <w:szCs w:val="32"/>
          <w:highlight w:val="none"/>
          <w:lang w:val="en-US" w:eastAsia="zh-CN" w:bidi="ar-SA"/>
        </w:rPr>
        <w:t>（二）合理规划工程节点时间安排，确保校园安全</w:t>
      </w:r>
    </w:p>
    <w:p>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cs="仿宋_GB2312"/>
          <w:snapToGrid w:val="0"/>
          <w:color w:val="auto"/>
          <w:kern w:val="0"/>
          <w:sz w:val="32"/>
          <w:szCs w:val="32"/>
          <w:highlight w:val="none"/>
          <w:lang w:val="en-US" w:eastAsia="zh-CN" w:bidi="ar-SA"/>
        </w:rPr>
      </w:pPr>
      <w:r>
        <w:rPr>
          <w:rFonts w:hint="eastAsia" w:ascii="仿宋_GB2312" w:hAnsi="仿宋_GB2312" w:cs="仿宋_GB2312"/>
          <w:snapToGrid w:val="0"/>
          <w:color w:val="auto"/>
          <w:kern w:val="0"/>
          <w:sz w:val="32"/>
          <w:szCs w:val="32"/>
          <w:highlight w:val="none"/>
          <w:lang w:val="en-US" w:eastAsia="zh-CN" w:bidi="ar-SA"/>
        </w:rPr>
        <w:t>建议项目单位在项目编制实施方案时，合理安排工程节点，考虑后期验收，统筹安排工程进度，确保项目能按时投入使用。新建综合楼消防水池等配套设施工程需项目单位提高重视，在确保工程质量的前提下，尽快完工，并通过消防验收。确保新建综合楼整体投入使用后，消除安全隐患，确保校园安全。</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Chars="200"/>
        <w:jc w:val="left"/>
        <w:textAlignment w:val="auto"/>
        <w:outlineLvl w:val="9"/>
        <w:rPr>
          <w:rFonts w:hint="default" w:ascii="楷体" w:hAnsi="楷体" w:eastAsia="楷体" w:cs="楷体"/>
          <w:b w:val="0"/>
          <w:bCs w:val="0"/>
          <w:snapToGrid w:val="0"/>
          <w:color w:val="auto"/>
          <w:kern w:val="0"/>
          <w:sz w:val="32"/>
          <w:szCs w:val="32"/>
          <w:highlight w:val="none"/>
          <w:lang w:val="en-US" w:eastAsia="zh-CN" w:bidi="ar-SA"/>
        </w:rPr>
      </w:pPr>
      <w:r>
        <w:rPr>
          <w:rFonts w:hint="eastAsia" w:ascii="楷体" w:hAnsi="楷体" w:eastAsia="楷体" w:cs="楷体"/>
          <w:b w:val="0"/>
          <w:bCs w:val="0"/>
          <w:snapToGrid w:val="0"/>
          <w:color w:val="auto"/>
          <w:kern w:val="0"/>
          <w:sz w:val="32"/>
          <w:szCs w:val="32"/>
          <w:highlight w:val="none"/>
          <w:lang w:val="en-US" w:eastAsia="zh-CN" w:bidi="ar-SA"/>
        </w:rPr>
        <w:t>（三）科学规划，避免国有资产闲置浪费</w:t>
      </w:r>
    </w:p>
    <w:p>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560" w:lineRule="exact"/>
        <w:ind w:firstLine="640" w:firstLineChars="200"/>
        <w:jc w:val="left"/>
        <w:textAlignment w:val="auto"/>
        <w:rPr>
          <w:rFonts w:hint="default" w:ascii="仿宋_GB2312" w:hAnsi="仿宋_GB2312" w:cs="仿宋_GB2312"/>
          <w:snapToGrid w:val="0"/>
          <w:color w:val="auto"/>
          <w:kern w:val="0"/>
          <w:sz w:val="32"/>
          <w:szCs w:val="32"/>
          <w:highlight w:val="none"/>
          <w:lang w:val="en-US" w:eastAsia="zh-CN" w:bidi="ar-SA"/>
        </w:rPr>
      </w:pPr>
      <w:r>
        <w:rPr>
          <w:rFonts w:hint="eastAsia" w:ascii="仿宋_GB2312" w:hAnsi="仿宋_GB2312" w:cs="仿宋_GB2312"/>
          <w:snapToGrid w:val="0"/>
          <w:color w:val="auto"/>
          <w:kern w:val="0"/>
          <w:sz w:val="32"/>
          <w:szCs w:val="32"/>
          <w:highlight w:val="none"/>
          <w:lang w:val="en-US" w:eastAsia="zh-CN" w:bidi="ar-SA"/>
        </w:rPr>
        <w:t>建议项目单位科学安排施工，尽快完成消防配套设施的建设工作，尽早完成新建综合楼的整体消防验收工作。新建综合楼整体尽快投入使用，才能发挥社会效益，避免国有资产的闲置。使有限的财政资金发挥最大的作用。</w:t>
      </w:r>
    </w:p>
    <w:p>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ascii="仿宋_GB2312" w:hAnsi="仿宋_GB2312" w:eastAsia="仿宋" w:cs="仿宋_GB2312"/>
          <w:snapToGrid w:val="0"/>
          <w:color w:val="auto"/>
          <w:kern w:val="0"/>
          <w:sz w:val="32"/>
          <w:szCs w:val="32"/>
          <w:highlight w:val="none"/>
          <w:lang w:val="en-US" w:eastAsia="zh-CN" w:bidi="ar-SA"/>
        </w:rPr>
      </w:pPr>
      <w:bookmarkStart w:id="0" w:name="_GoBack"/>
      <w:bookmarkEnd w:id="0"/>
    </w:p>
    <w:p>
      <w:pPr>
        <w:bidi w:val="0"/>
        <w:spacing w:line="560" w:lineRule="exact"/>
        <w:ind w:firstLine="664"/>
        <w:rPr>
          <w:lang w:eastAsia="zh-TW"/>
        </w:rPr>
      </w:pPr>
    </w:p>
    <w:sectPr>
      <w:footerReference r:id="rId5" w:type="default"/>
      <w:pgSz w:w="11906" w:h="16838"/>
      <w:pgMar w:top="2098" w:right="1474" w:bottom="1984" w:left="1587" w:header="851" w:footer="992" w:gutter="0"/>
      <w:pgNumType w:fmt="decimal" w:start="1"/>
      <w:cols w:space="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ascii="仿宋" w:hAnsi="仿宋" w:eastAsia="仿宋" w:cs="仿宋"/>
                              <w:sz w:val="28"/>
                              <w:szCs w:val="28"/>
                            </w:rPr>
                            <w:t xml:space="preserve">第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rPr>
                        <w:rFonts w:hint="eastAsia" w:ascii="仿宋" w:hAnsi="仿宋" w:eastAsia="仿宋" w:cs="仿宋"/>
                        <w:sz w:val="28"/>
                        <w:szCs w:val="28"/>
                      </w:rPr>
                      <w:t xml:space="preserve">第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216F0"/>
    <w:multiLevelType w:val="multilevel"/>
    <w:tmpl w:val="1DA216F0"/>
    <w:lvl w:ilvl="0" w:tentative="0">
      <w:start w:val="1"/>
      <w:numFmt w:val="chineseCountingThousand"/>
      <w:pStyle w:val="4"/>
      <w:lvlText w:val="第%1章　"/>
      <w:lvlJc w:val="left"/>
      <w:pPr>
        <w:tabs>
          <w:tab w:val="left" w:pos="1440"/>
        </w:tabs>
        <w:ind w:left="1470" w:hanging="720"/>
      </w:pPr>
      <w:rPr>
        <w:rFonts w:hint="eastAsia" w:cs="Times New Roman"/>
        <w:sz w:val="32"/>
      </w:rPr>
    </w:lvl>
    <w:lvl w:ilvl="1" w:tentative="0">
      <w:start w:val="1"/>
      <w:numFmt w:val="lowerRoman"/>
      <w:lvlText w:val="(%2)"/>
      <w:lvlJc w:val="left"/>
      <w:pPr>
        <w:tabs>
          <w:tab w:val="left" w:pos="861"/>
        </w:tabs>
        <w:ind w:left="1611" w:hanging="720"/>
      </w:pPr>
      <w:rPr>
        <w:rFonts w:hint="eastAsia" w:cs="Times New Roman"/>
      </w:rPr>
    </w:lvl>
    <w:lvl w:ilvl="2" w:tentative="0">
      <w:start w:val="1"/>
      <w:numFmt w:val="lowerLetter"/>
      <w:lvlText w:val="(%3)"/>
      <w:lvlJc w:val="left"/>
      <w:pPr>
        <w:tabs>
          <w:tab w:val="left" w:pos="1335"/>
        </w:tabs>
        <w:ind w:left="2085" w:hanging="495"/>
      </w:pPr>
      <w:rPr>
        <w:rFonts w:hint="eastAsia" w:cs="Times New Roman"/>
      </w:rPr>
    </w:lvl>
    <w:lvl w:ilvl="3" w:tentative="0">
      <w:start w:val="1"/>
      <w:numFmt w:val="decimal"/>
      <w:lvlText w:val="%4."/>
      <w:lvlJc w:val="left"/>
      <w:pPr>
        <w:tabs>
          <w:tab w:val="left" w:pos="1680"/>
        </w:tabs>
        <w:ind w:left="2430" w:hanging="420"/>
      </w:pPr>
      <w:rPr>
        <w:rFonts w:cs="Times New Roman"/>
      </w:rPr>
    </w:lvl>
    <w:lvl w:ilvl="4" w:tentative="0">
      <w:start w:val="1"/>
      <w:numFmt w:val="lowerLetter"/>
      <w:lvlText w:val="%5)"/>
      <w:lvlJc w:val="left"/>
      <w:pPr>
        <w:tabs>
          <w:tab w:val="left" w:pos="2100"/>
        </w:tabs>
        <w:ind w:left="2850" w:hanging="420"/>
      </w:pPr>
      <w:rPr>
        <w:rFonts w:cs="Times New Roman"/>
      </w:rPr>
    </w:lvl>
    <w:lvl w:ilvl="5" w:tentative="0">
      <w:start w:val="1"/>
      <w:numFmt w:val="lowerRoman"/>
      <w:lvlText w:val="%6."/>
      <w:lvlJc w:val="right"/>
      <w:pPr>
        <w:tabs>
          <w:tab w:val="left" w:pos="2520"/>
        </w:tabs>
        <w:ind w:left="3270" w:hanging="420"/>
      </w:pPr>
      <w:rPr>
        <w:rFonts w:cs="Times New Roman"/>
      </w:rPr>
    </w:lvl>
    <w:lvl w:ilvl="6" w:tentative="0">
      <w:start w:val="1"/>
      <w:numFmt w:val="decimal"/>
      <w:lvlText w:val="%7."/>
      <w:lvlJc w:val="left"/>
      <w:pPr>
        <w:tabs>
          <w:tab w:val="left" w:pos="2940"/>
        </w:tabs>
        <w:ind w:left="3690" w:hanging="420"/>
      </w:pPr>
      <w:rPr>
        <w:rFonts w:cs="Times New Roman"/>
      </w:rPr>
    </w:lvl>
    <w:lvl w:ilvl="7" w:tentative="0">
      <w:start w:val="1"/>
      <w:numFmt w:val="lowerLetter"/>
      <w:lvlText w:val="%8)"/>
      <w:lvlJc w:val="left"/>
      <w:pPr>
        <w:tabs>
          <w:tab w:val="left" w:pos="3360"/>
        </w:tabs>
        <w:ind w:left="4110" w:hanging="420"/>
      </w:pPr>
      <w:rPr>
        <w:rFonts w:cs="Times New Roman"/>
      </w:rPr>
    </w:lvl>
    <w:lvl w:ilvl="8" w:tentative="0">
      <w:start w:val="1"/>
      <w:numFmt w:val="lowerRoman"/>
      <w:lvlText w:val="%9."/>
      <w:lvlJc w:val="right"/>
      <w:pPr>
        <w:tabs>
          <w:tab w:val="left" w:pos="3780"/>
        </w:tabs>
        <w:ind w:left="453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22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c2ZGQyNDEyYzI4N2ExMjAwMWJhMzBlZTc3NjgxZDEifQ=="/>
  </w:docVars>
  <w:rsids>
    <w:rsidRoot w:val="005F1712"/>
    <w:rsid w:val="000E508F"/>
    <w:rsid w:val="001A5A46"/>
    <w:rsid w:val="002A201D"/>
    <w:rsid w:val="00313AC1"/>
    <w:rsid w:val="00525EAE"/>
    <w:rsid w:val="005F1712"/>
    <w:rsid w:val="00DE5437"/>
    <w:rsid w:val="00FA5432"/>
    <w:rsid w:val="01CA3F1A"/>
    <w:rsid w:val="031A53D4"/>
    <w:rsid w:val="051C2B5B"/>
    <w:rsid w:val="06FD5E60"/>
    <w:rsid w:val="071F05E1"/>
    <w:rsid w:val="08943D18"/>
    <w:rsid w:val="0978425B"/>
    <w:rsid w:val="0D67306D"/>
    <w:rsid w:val="0E6A4ABA"/>
    <w:rsid w:val="108D683E"/>
    <w:rsid w:val="119D51A7"/>
    <w:rsid w:val="122E5DFF"/>
    <w:rsid w:val="130C4392"/>
    <w:rsid w:val="13327C2C"/>
    <w:rsid w:val="13A20852"/>
    <w:rsid w:val="148E5453"/>
    <w:rsid w:val="180F1AA5"/>
    <w:rsid w:val="195E346D"/>
    <w:rsid w:val="1AFC7E73"/>
    <w:rsid w:val="1D57445C"/>
    <w:rsid w:val="1EAC0A87"/>
    <w:rsid w:val="1ECC2C27"/>
    <w:rsid w:val="1FAA11BB"/>
    <w:rsid w:val="215E0086"/>
    <w:rsid w:val="219B7FCF"/>
    <w:rsid w:val="229E48DB"/>
    <w:rsid w:val="272464F0"/>
    <w:rsid w:val="2C1873C8"/>
    <w:rsid w:val="2E41718E"/>
    <w:rsid w:val="2E861045"/>
    <w:rsid w:val="30EE2ED1"/>
    <w:rsid w:val="32C51A10"/>
    <w:rsid w:val="344A48C2"/>
    <w:rsid w:val="345474EF"/>
    <w:rsid w:val="36AA7CC5"/>
    <w:rsid w:val="38174ABC"/>
    <w:rsid w:val="3F812A17"/>
    <w:rsid w:val="402D012D"/>
    <w:rsid w:val="41E85363"/>
    <w:rsid w:val="425248A4"/>
    <w:rsid w:val="42775942"/>
    <w:rsid w:val="43AD4526"/>
    <w:rsid w:val="452E51C6"/>
    <w:rsid w:val="465D70D7"/>
    <w:rsid w:val="46AD5D96"/>
    <w:rsid w:val="47DB78B4"/>
    <w:rsid w:val="481608EC"/>
    <w:rsid w:val="49A66B2F"/>
    <w:rsid w:val="4AE6243F"/>
    <w:rsid w:val="4B0344BB"/>
    <w:rsid w:val="4C115F9A"/>
    <w:rsid w:val="4D5D520F"/>
    <w:rsid w:val="4E52289A"/>
    <w:rsid w:val="507C3BFE"/>
    <w:rsid w:val="508B5C9D"/>
    <w:rsid w:val="530E3233"/>
    <w:rsid w:val="59B60181"/>
    <w:rsid w:val="59EA7E2A"/>
    <w:rsid w:val="5B8D57CE"/>
    <w:rsid w:val="5C9A5B38"/>
    <w:rsid w:val="5D094A9D"/>
    <w:rsid w:val="5ED510A9"/>
    <w:rsid w:val="5FB94527"/>
    <w:rsid w:val="60011642"/>
    <w:rsid w:val="60101DDA"/>
    <w:rsid w:val="62A72D5C"/>
    <w:rsid w:val="62C0266A"/>
    <w:rsid w:val="635A392B"/>
    <w:rsid w:val="64942E6C"/>
    <w:rsid w:val="651B533C"/>
    <w:rsid w:val="65206DF6"/>
    <w:rsid w:val="676577B5"/>
    <w:rsid w:val="6833299C"/>
    <w:rsid w:val="69083E29"/>
    <w:rsid w:val="6A4627E3"/>
    <w:rsid w:val="6A965D63"/>
    <w:rsid w:val="6B2D401B"/>
    <w:rsid w:val="6C904861"/>
    <w:rsid w:val="7141437C"/>
    <w:rsid w:val="72E90827"/>
    <w:rsid w:val="7373113D"/>
    <w:rsid w:val="74E46DBB"/>
    <w:rsid w:val="75734D20"/>
    <w:rsid w:val="77FC74C1"/>
    <w:rsid w:val="78324A1E"/>
    <w:rsid w:val="78E0041E"/>
    <w:rsid w:val="796573F6"/>
    <w:rsid w:val="7A8D1C15"/>
    <w:rsid w:val="7B242D44"/>
    <w:rsid w:val="7D1D5C9D"/>
    <w:rsid w:val="7DF2712A"/>
    <w:rsid w:val="7F2552DD"/>
    <w:rsid w:val="DF773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60" w:lineRule="exact"/>
      <w:ind w:firstLine="880" w:firstLineChars="200"/>
      <w:jc w:val="both"/>
    </w:pPr>
    <w:rPr>
      <w:rFonts w:ascii="Times New Roman" w:hAnsi="Times New Roman" w:eastAsia="仿宋" w:cs="仿宋"/>
      <w:kern w:val="2"/>
      <w:sz w:val="32"/>
      <w:szCs w:val="32"/>
      <w:lang w:val="en-US" w:eastAsia="zh-CN" w:bidi="ar-SA"/>
    </w:rPr>
  </w:style>
  <w:style w:type="paragraph" w:styleId="7">
    <w:name w:val="heading 1"/>
    <w:basedOn w:val="1"/>
    <w:next w:val="1"/>
    <w:qFormat/>
    <w:uiPriority w:val="0"/>
    <w:pPr>
      <w:spacing w:line="640" w:lineRule="exact"/>
      <w:jc w:val="left"/>
      <w:outlineLvl w:val="0"/>
    </w:pPr>
    <w:rPr>
      <w:rFonts w:eastAsia="黑体" w:cs="Times New Roman"/>
      <w:b/>
      <w:bCs/>
      <w:snapToGrid w:val="0"/>
      <w:kern w:val="0"/>
    </w:rPr>
  </w:style>
  <w:style w:type="paragraph" w:styleId="8">
    <w:name w:val="heading 2"/>
    <w:basedOn w:val="1"/>
    <w:next w:val="1"/>
    <w:unhideWhenUsed/>
    <w:qFormat/>
    <w:uiPriority w:val="9"/>
    <w:pPr>
      <w:keepNext w:val="0"/>
      <w:keepLines w:val="0"/>
      <w:spacing w:line="640" w:lineRule="exact"/>
      <w:outlineLvl w:val="1"/>
    </w:pPr>
    <w:rPr>
      <w:rFonts w:ascii="楷体" w:hAnsi="楷体" w:eastAsia="楷体" w:cs="楷体"/>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link w:val="20"/>
    <w:unhideWhenUsed/>
    <w:qFormat/>
    <w:uiPriority w:val="99"/>
    <w:pPr>
      <w:ind w:firstLine="420" w:firstLineChars="100"/>
    </w:pPr>
  </w:style>
  <w:style w:type="paragraph" w:styleId="3">
    <w:name w:val="Body Text"/>
    <w:basedOn w:val="1"/>
    <w:next w:val="4"/>
    <w:link w:val="17"/>
    <w:semiHidden/>
    <w:unhideWhenUsed/>
    <w:qFormat/>
    <w:uiPriority w:val="99"/>
    <w:pPr>
      <w:spacing w:after="120"/>
    </w:pPr>
  </w:style>
  <w:style w:type="paragraph" w:styleId="4">
    <w:name w:val="Body Text 2"/>
    <w:basedOn w:val="1"/>
    <w:next w:val="3"/>
    <w:qFormat/>
    <w:uiPriority w:val="99"/>
    <w:pPr>
      <w:numPr>
        <w:ilvl w:val="0"/>
        <w:numId w:val="1"/>
      </w:numPr>
      <w:spacing w:beforeLines="50" w:line="336" w:lineRule="auto"/>
      <w:ind w:firstLine="0"/>
    </w:pPr>
    <w:rPr>
      <w:rFonts w:eastAsia="黑体"/>
      <w:lang w:val="en-GB"/>
    </w:rPr>
  </w:style>
  <w:style w:type="paragraph" w:styleId="5">
    <w:name w:val="Body Text First Indent 2"/>
    <w:basedOn w:val="6"/>
    <w:next w:val="1"/>
    <w:semiHidden/>
    <w:unhideWhenUsed/>
    <w:qFormat/>
    <w:uiPriority w:val="99"/>
    <w:pPr>
      <w:spacing w:line="240" w:lineRule="auto"/>
      <w:ind w:firstLine="0" w:firstLineChars="0"/>
    </w:pPr>
    <w:rPr>
      <w:rFonts w:ascii="Times New Roman" w:hAnsi="Times New Roman"/>
      <w:sz w:val="28"/>
      <w:szCs w:val="28"/>
    </w:rPr>
  </w:style>
  <w:style w:type="paragraph" w:styleId="6">
    <w:name w:val="Body Text Indent"/>
    <w:basedOn w:val="1"/>
    <w:semiHidden/>
    <w:unhideWhenUsed/>
    <w:qFormat/>
    <w:uiPriority w:val="99"/>
    <w:pPr>
      <w:spacing w:line="560" w:lineRule="exact"/>
      <w:ind w:firstLine="600"/>
    </w:pPr>
    <w:rPr>
      <w:rFonts w:ascii="仿宋_GB2312" w:hAnsi="仿宋_GB2312" w:eastAsia="仿宋_GB2312"/>
      <w:szCs w:val="30"/>
    </w:rPr>
  </w:style>
  <w:style w:type="paragraph" w:styleId="9">
    <w:name w:val="Normal Indent"/>
    <w:basedOn w:val="1"/>
    <w:qFormat/>
    <w:uiPriority w:val="0"/>
    <w:pPr>
      <w:ind w:firstLine="420"/>
    </w:pPr>
  </w:style>
  <w:style w:type="paragraph" w:styleId="10">
    <w:name w:val="annotation text"/>
    <w:basedOn w:val="1"/>
    <w:semiHidden/>
    <w:unhideWhenUsed/>
    <w:qFormat/>
    <w:uiPriority w:val="99"/>
    <w:pPr>
      <w:jc w:val="left"/>
    </w:pPr>
  </w:style>
  <w:style w:type="paragraph" w:styleId="11">
    <w:name w:val="footer"/>
    <w:basedOn w:val="1"/>
    <w:link w:val="19"/>
    <w:unhideWhenUsed/>
    <w:qFormat/>
    <w:uiPriority w:val="99"/>
    <w:pPr>
      <w:tabs>
        <w:tab w:val="center" w:pos="4153"/>
        <w:tab w:val="right" w:pos="8306"/>
      </w:tabs>
      <w:adjustRightInd/>
      <w:spacing w:line="240" w:lineRule="auto"/>
      <w:ind w:firstLine="0" w:firstLineChars="0"/>
      <w:jc w:val="left"/>
    </w:pPr>
    <w:rPr>
      <w:rFonts w:asciiTheme="minorHAnsi" w:hAnsiTheme="minorHAnsi" w:eastAsiaTheme="minorEastAsia" w:cstheme="minorBidi"/>
      <w:sz w:val="18"/>
      <w:szCs w:val="18"/>
    </w:rPr>
  </w:style>
  <w:style w:type="paragraph" w:styleId="12">
    <w:name w:val="header"/>
    <w:basedOn w:val="1"/>
    <w:link w:val="18"/>
    <w:unhideWhenUsed/>
    <w:qFormat/>
    <w:uiPriority w:val="99"/>
    <w:pPr>
      <w:pBdr>
        <w:bottom w:val="single" w:color="auto" w:sz="6" w:space="1"/>
      </w:pBdr>
      <w:tabs>
        <w:tab w:val="center" w:pos="4153"/>
        <w:tab w:val="right" w:pos="8306"/>
      </w:tabs>
      <w:adjustRightInd/>
      <w:spacing w:line="240" w:lineRule="auto"/>
      <w:ind w:firstLine="0" w:firstLineChars="0"/>
      <w:jc w:val="center"/>
    </w:pPr>
    <w:rPr>
      <w:rFonts w:asciiTheme="minorHAnsi" w:hAnsiTheme="minorHAnsi" w:eastAsiaTheme="minorEastAsia" w:cstheme="minorBidi"/>
      <w:sz w:val="18"/>
      <w:szCs w:val="18"/>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
    <w:basedOn w:val="8"/>
    <w:next w:val="1"/>
    <w:qFormat/>
    <w:uiPriority w:val="0"/>
    <w:pPr>
      <w:wordWrap w:val="0"/>
      <w:spacing w:line="240" w:lineRule="auto"/>
      <w:ind w:firstLine="0" w:firstLineChars="0"/>
      <w:jc w:val="center"/>
      <w:outlineLvl w:val="9"/>
    </w:pPr>
    <w:rPr>
      <w:rFonts w:ascii="仿宋" w:hAnsi="仿宋" w:eastAsia="仿宋" w:cs="仿宋"/>
      <w:b w:val="0"/>
      <w:snapToGrid w:val="0"/>
      <w:kern w:val="0"/>
      <w:sz w:val="24"/>
      <w:szCs w:val="24"/>
    </w:rPr>
  </w:style>
  <w:style w:type="character" w:customStyle="1" w:styleId="17">
    <w:name w:val="正文文本 字符"/>
    <w:basedOn w:val="15"/>
    <w:link w:val="3"/>
    <w:semiHidden/>
    <w:qFormat/>
    <w:uiPriority w:val="99"/>
    <w:rPr>
      <w:rFonts w:ascii="Times New Roman" w:hAnsi="Times New Roman" w:eastAsia="仿宋_GB2312" w:cs="Times New Roman"/>
      <w:sz w:val="32"/>
      <w:szCs w:val="32"/>
    </w:rPr>
  </w:style>
  <w:style w:type="character" w:customStyle="1" w:styleId="18">
    <w:name w:val="页眉 字符"/>
    <w:basedOn w:val="15"/>
    <w:link w:val="12"/>
    <w:qFormat/>
    <w:uiPriority w:val="99"/>
    <w:rPr>
      <w:sz w:val="18"/>
      <w:szCs w:val="18"/>
    </w:rPr>
  </w:style>
  <w:style w:type="character" w:customStyle="1" w:styleId="19">
    <w:name w:val="页脚 字符"/>
    <w:basedOn w:val="15"/>
    <w:link w:val="11"/>
    <w:qFormat/>
    <w:uiPriority w:val="99"/>
    <w:rPr>
      <w:sz w:val="18"/>
      <w:szCs w:val="18"/>
    </w:rPr>
  </w:style>
  <w:style w:type="character" w:customStyle="1" w:styleId="20">
    <w:name w:val="正文首行缩进 字符"/>
    <w:basedOn w:val="17"/>
    <w:link w:val="2"/>
    <w:qFormat/>
    <w:uiPriority w:val="99"/>
    <w:rPr>
      <w:rFonts w:ascii="Times New Roman" w:hAnsi="Times New Roman" w:eastAsia="仿宋_GB2312" w:cs="Times New Roman"/>
      <w:sz w:val="32"/>
      <w:szCs w:val="32"/>
    </w:rPr>
  </w:style>
  <w:style w:type="paragraph" w:customStyle="1" w:styleId="21">
    <w:name w:val="Body text|1"/>
    <w:basedOn w:val="1"/>
    <w:qFormat/>
    <w:uiPriority w:val="0"/>
    <w:pPr>
      <w:adjustRightInd/>
      <w:snapToGrid/>
      <w:spacing w:line="420" w:lineRule="auto"/>
      <w:ind w:firstLine="400" w:firstLineChars="0"/>
      <w:jc w:val="left"/>
    </w:pPr>
    <w:rPr>
      <w:rFonts w:ascii="宋体" w:hAnsi="宋体" w:eastAsia="宋体" w:cs="宋体"/>
      <w:color w:val="000000"/>
      <w:kern w:val="0"/>
      <w:sz w:val="30"/>
      <w:szCs w:val="30"/>
    </w:rPr>
  </w:style>
  <w:style w:type="paragraph" w:customStyle="1" w:styleId="22">
    <w:name w:val="Heading #1|1"/>
    <w:basedOn w:val="1"/>
    <w:qFormat/>
    <w:uiPriority w:val="0"/>
    <w:pPr>
      <w:adjustRightInd/>
      <w:snapToGrid/>
      <w:spacing w:after="3160" w:line="240" w:lineRule="auto"/>
      <w:ind w:firstLine="0" w:firstLineChars="0"/>
      <w:jc w:val="center"/>
      <w:outlineLvl w:val="0"/>
    </w:pPr>
    <w:rPr>
      <w:rFonts w:ascii="宋体" w:hAnsi="宋体" w:eastAsia="宋体" w:cs="宋体"/>
      <w:color w:val="000000"/>
      <w:kern w:val="0"/>
      <w:sz w:val="42"/>
      <w:szCs w:val="42"/>
      <w:lang w:val="zh-TW" w:eastAsia="zh-TW" w:bidi="zh-TW"/>
    </w:rPr>
  </w:style>
  <w:style w:type="character" w:customStyle="1" w:styleId="23">
    <w:name w:val="正文文本 + 11 pt"/>
    <w:basedOn w:val="24"/>
    <w:qFormat/>
    <w:uiPriority w:val="0"/>
    <w:rPr>
      <w:rFonts w:ascii="MingLiU" w:hAnsi="MingLiU" w:eastAsia="MingLiU" w:cs="MingLiU"/>
      <w:color w:val="000000"/>
      <w:spacing w:val="40"/>
      <w:w w:val="100"/>
      <w:position w:val="0"/>
      <w:sz w:val="22"/>
      <w:szCs w:val="22"/>
      <w:u w:val="none"/>
      <w:lang w:val="en-US"/>
    </w:rPr>
  </w:style>
  <w:style w:type="character" w:customStyle="1" w:styleId="24">
    <w:name w:val="正文文本_"/>
    <w:basedOn w:val="15"/>
    <w:link w:val="25"/>
    <w:qFormat/>
    <w:uiPriority w:val="0"/>
    <w:rPr>
      <w:rFonts w:ascii="MingLiU" w:hAnsi="MingLiU" w:eastAsia="MingLiU" w:cs="MingLiU"/>
      <w:spacing w:val="40"/>
      <w:sz w:val="28"/>
      <w:szCs w:val="28"/>
    </w:rPr>
  </w:style>
  <w:style w:type="paragraph" w:customStyle="1" w:styleId="25">
    <w:name w:val="正文文本1"/>
    <w:basedOn w:val="1"/>
    <w:link w:val="24"/>
    <w:qFormat/>
    <w:uiPriority w:val="0"/>
    <w:pPr>
      <w:shd w:val="clear" w:color="auto" w:fill="FFFFFF"/>
      <w:spacing w:before="540" w:line="595" w:lineRule="exact"/>
      <w:ind w:hanging="240"/>
      <w:jc w:val="distribute"/>
    </w:pPr>
    <w:rPr>
      <w:rFonts w:ascii="MingLiU" w:hAnsi="MingLiU" w:eastAsia="MingLiU" w:cs="MingLiU"/>
      <w:spacing w:val="4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2159</Words>
  <Characters>2209</Characters>
  <Lines>16</Lines>
  <Paragraphs>4</Paragraphs>
  <TotalTime>0</TotalTime>
  <ScaleCrop>false</ScaleCrop>
  <LinksUpToDate>false</LinksUpToDate>
  <CharactersWithSpaces>2209</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2022-07-11T10:36:00Z</dcterms:created>
  <dc:creator>hnzyzd@163.com</dc:creator>
  <cp:lastModifiedBy>18418</cp:lastModifiedBy>
  <dcterms:modified xsi:type="dcterms:W3CDTF">2025-11-26T03:15:36Z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11AFA5BDDF7D4654B190BC66782C4623</vt:lpwstr>
  </property>
  <property fmtid="{D5CDD505-2E9C-101B-9397-08002B2CF9AE}" pid="4" name="KSOTemplateDocerSaveRecord">
    <vt:lpwstr>eyJoZGlkIjoiMWE4MmNjNzA4OWI0OGJlZDFjOGIyMjcyODVjZDRjODQiLCJ1c2VySWQiOiIyODQ5MDk5NzEifQ==</vt:lpwstr>
  </property>
</Properties>
</file>