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A217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jc w:val="center"/>
        <w:textAlignment w:val="auto"/>
        <w:rPr>
          <w:rFonts w:hint="eastAsia" w:ascii="黑体" w:hAnsi="黑体" w:eastAsia="黑体" w:cs="黑体"/>
          <w:sz w:val="44"/>
          <w:szCs w:val="44"/>
          <w:lang w:eastAsia="zh-CN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  <w:lang w:eastAsia="zh-CN"/>
        </w:rPr>
        <w:t>孟津区城市管理局2024年度</w:t>
      </w:r>
    </w:p>
    <w:p w14:paraId="6B94F6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小额维修备用金项目</w:t>
      </w:r>
      <w:r>
        <w:rPr>
          <w:rFonts w:hint="eastAsia" w:ascii="黑体" w:hAnsi="黑体" w:eastAsia="黑体" w:cs="黑体"/>
          <w:sz w:val="44"/>
          <w:szCs w:val="44"/>
        </w:rPr>
        <w:t>财政重点绩效评价报告</w:t>
      </w:r>
    </w:p>
    <w:p w14:paraId="35A780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一、项目概况</w:t>
      </w:r>
    </w:p>
    <w:p w14:paraId="64BE671C">
      <w:pPr>
        <w:autoSpaceDE/>
        <w:autoSpaceDN/>
        <w:ind w:firstLine="640"/>
        <w:rPr>
          <w:rFonts w:ascii="Times New Roman" w:hAnsi="Times New Roman"/>
          <w:color w:val="auto"/>
        </w:rPr>
      </w:pPr>
      <w:r>
        <w:rPr>
          <w:rFonts w:hint="eastAsia"/>
          <w:color w:val="auto"/>
        </w:rPr>
        <w:t>随着城市化加速推进，市政、绿化、环卫等设施维护需求日益增长，相关政策也明确要求加强城市小型设施日常维护、优化小额维修资金使用机制。作为洛阳市辖区，孟津区近年城区面积扩大，老旧小区及背街小巷的市政道路（如路面破损、道牙松动）、绿化设施（如设备老化、苗木需补植）、环卫设施等老化破损问题突出，群众反馈强烈，亟需快速解决。为此，孟津区城市管理局设立小额维修备用金项目，通过</w:t>
      </w:r>
      <w:r>
        <w:rPr>
          <w:rFonts w:hint="eastAsia"/>
          <w:color w:val="auto"/>
          <w:lang w:eastAsia="zh-CN"/>
        </w:rPr>
        <w:t>“</w:t>
      </w:r>
      <w:r>
        <w:rPr>
          <w:rFonts w:hint="eastAsia"/>
          <w:color w:val="auto"/>
        </w:rPr>
        <w:t>小修小补</w:t>
      </w:r>
      <w:r>
        <w:rPr>
          <w:rFonts w:hint="eastAsia"/>
          <w:color w:val="auto"/>
          <w:lang w:eastAsia="zh-CN"/>
        </w:rPr>
        <w:t>”</w:t>
      </w:r>
      <w:r>
        <w:rPr>
          <w:rFonts w:hint="eastAsia"/>
          <w:color w:val="auto"/>
        </w:rPr>
        <w:t>即时响应民生需求，以低成本维持城市设施良好运行，提升城市形象与居民生活质量，助力基础设施及公共服务设施跟上城市发展步伐。</w:t>
      </w:r>
    </w:p>
    <w:p w14:paraId="168567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二、评价结论</w:t>
      </w:r>
    </w:p>
    <w:p w14:paraId="05A0274D">
      <w:pPr>
        <w:bidi w:val="0"/>
        <w:rPr>
          <w:rFonts w:hint="eastAsia"/>
          <w:lang w:val="en-US" w:eastAsia="zh-CN"/>
        </w:rPr>
      </w:pPr>
      <w:r>
        <w:rPr>
          <w:rFonts w:hint="eastAsia" w:ascii="Times New Roman" w:hAnsi="Times New Roman"/>
          <w:color w:val="auto"/>
        </w:rPr>
        <w:t>运用评价组设计的指标体系及评分标准，本项目绩效评价得分为</w:t>
      </w:r>
      <w:r>
        <w:rPr>
          <w:rFonts w:hint="eastAsia"/>
          <w:color w:val="auto"/>
          <w:lang w:eastAsia="zh-CN"/>
        </w:rPr>
        <w:t>82.25</w:t>
      </w:r>
      <w:r>
        <w:rPr>
          <w:rFonts w:hint="eastAsia" w:ascii="Times New Roman" w:hAnsi="Times New Roman"/>
          <w:color w:val="auto"/>
        </w:rPr>
        <w:t>分，评价等级为</w:t>
      </w:r>
      <w:r>
        <w:rPr>
          <w:rFonts w:hint="eastAsia"/>
          <w:color w:val="auto"/>
          <w:lang w:eastAsia="zh-CN"/>
        </w:rPr>
        <w:t>“</w:t>
      </w:r>
      <w:r>
        <w:rPr>
          <w:rFonts w:hint="eastAsia" w:ascii="Times New Roman" w:hAnsi="Times New Roman"/>
          <w:color w:val="auto"/>
        </w:rPr>
        <w:t>良</w:t>
      </w:r>
      <w:r>
        <w:rPr>
          <w:rFonts w:hint="eastAsia"/>
          <w:color w:val="auto"/>
          <w:lang w:eastAsia="zh-CN"/>
        </w:rPr>
        <w:t>”</w:t>
      </w:r>
      <w:r>
        <w:rPr>
          <w:rFonts w:hint="eastAsia" w:ascii="Times New Roman" w:hAnsi="Times New Roman"/>
          <w:color w:val="auto"/>
        </w:rPr>
        <w:t>。</w:t>
      </w:r>
    </w:p>
    <w:p w14:paraId="5E2A98B9">
      <w:pPr>
        <w:numPr>
          <w:ilvl w:val="0"/>
          <w:numId w:val="0"/>
        </w:numPr>
        <w:wordWrap/>
        <w:autoSpaceDE/>
        <w:autoSpaceDN/>
        <w:adjustRightInd/>
        <w:snapToGrid/>
        <w:spacing w:line="240" w:lineRule="auto"/>
        <w:ind w:firstLine="640"/>
        <w:rPr>
          <w:rFonts w:ascii="Times New Roman" w:hAnsi="Times New Roman" w:eastAsia="黑体" w:cs="黑体"/>
          <w:b w:val="0"/>
          <w:bCs w:val="0"/>
          <w:color w:val="auto"/>
          <w:lang w:val="zh-CN"/>
        </w:rPr>
      </w:pPr>
      <w:r>
        <w:rPr>
          <w:rFonts w:hint="eastAsia" w:ascii="Times New Roman" w:hAnsi="Times New Roman" w:eastAsia="黑体" w:cs="黑体"/>
          <w:b w:val="0"/>
          <w:bCs w:val="0"/>
          <w:color w:val="auto"/>
          <w:lang w:val="zh-CN"/>
        </w:rPr>
        <w:t>三、</w:t>
      </w:r>
      <w:r>
        <w:rPr>
          <w:rFonts w:hint="eastAsia" w:ascii="Times New Roman" w:hAnsi="Times New Roman" w:eastAsia="黑体" w:cs="黑体"/>
          <w:b w:val="0"/>
          <w:bCs w:val="0"/>
          <w:color w:val="auto"/>
        </w:rPr>
        <w:t>实施成效</w:t>
      </w:r>
    </w:p>
    <w:p w14:paraId="460833CC">
      <w:pPr>
        <w:rPr>
          <w:rFonts w:hint="default"/>
        </w:rPr>
      </w:pPr>
      <w:r>
        <w:rPr>
          <w:rFonts w:hint="eastAsia"/>
          <w:b/>
          <w:bCs/>
          <w:lang w:val="en-US" w:eastAsia="zh-CN"/>
        </w:rPr>
        <w:t>一是</w:t>
      </w:r>
      <w:r>
        <w:rPr>
          <w:rFonts w:hint="default"/>
          <w:b/>
          <w:bCs/>
        </w:rPr>
        <w:t>项目产出高效：</w:t>
      </w:r>
      <w:r>
        <w:rPr>
          <w:rFonts w:hint="default"/>
        </w:rPr>
        <w:t>2024年度累计完成市政、泵站、绿化等各类维修项目80项，含市政设施61项、泵站维修5项、绿化及辅助设施7项、其他小额维修7项，任务完成率100%，覆盖</w:t>
      </w:r>
      <w:r>
        <w:rPr>
          <w:rFonts w:hint="eastAsia"/>
          <w:lang w:val="en-US" w:eastAsia="zh-CN"/>
        </w:rPr>
        <w:t>年度</w:t>
      </w:r>
      <w:r>
        <w:rPr>
          <w:rFonts w:hint="default"/>
        </w:rPr>
        <w:t>反映的设施破损问题。所有项目验收合格率、完工及时率均达100%，紧急维修接报后迅速处置无延迟，且单项成本均控制在5万元内，实现</w:t>
      </w:r>
      <w:r>
        <w:rPr>
          <w:rFonts w:hint="eastAsia"/>
          <w:lang w:eastAsia="zh-CN"/>
        </w:rPr>
        <w:t>“</w:t>
      </w:r>
      <w:r>
        <w:rPr>
          <w:rFonts w:hint="default"/>
        </w:rPr>
        <w:t>保质、按时、控本</w:t>
      </w:r>
      <w:r>
        <w:rPr>
          <w:rFonts w:hint="eastAsia"/>
          <w:lang w:eastAsia="zh-CN"/>
        </w:rPr>
        <w:t>”</w:t>
      </w:r>
      <w:r>
        <w:rPr>
          <w:rFonts w:hint="default"/>
        </w:rPr>
        <w:t>目标。</w:t>
      </w:r>
    </w:p>
    <w:p w14:paraId="2D354078">
      <w:pPr>
        <w:autoSpaceDE/>
        <w:autoSpaceDN/>
        <w:ind w:firstLine="640"/>
        <w:rPr>
          <w:rFonts w:ascii="Times New Roman" w:hAnsi="Times New Roman"/>
          <w:color w:val="auto"/>
        </w:rPr>
      </w:pPr>
      <w:r>
        <w:rPr>
          <w:rFonts w:hint="eastAsia"/>
          <w:b/>
          <w:bCs/>
          <w:lang w:val="en-US" w:eastAsia="zh-CN"/>
        </w:rPr>
        <w:t>二是</w:t>
      </w:r>
      <w:r>
        <w:rPr>
          <w:rFonts w:hint="default"/>
          <w:b/>
          <w:bCs/>
        </w:rPr>
        <w:t>综合效益凸显：</w:t>
      </w:r>
      <w:r>
        <w:rPr>
          <w:rFonts w:hint="default"/>
        </w:rPr>
        <w:t>民生保障方面，通过道路修补、道牙修复、井盖更换等消除出行安全隐患，泵站检修和管网清淤提升汛期排水能力，市政设施完好度显著改善；生态与环境效益方面，依托环卫和绿化水费实现</w:t>
      </w:r>
      <w:r>
        <w:rPr>
          <w:rFonts w:hint="eastAsia"/>
          <w:lang w:eastAsia="zh-CN"/>
        </w:rPr>
        <w:t>“</w:t>
      </w:r>
      <w:r>
        <w:rPr>
          <w:rFonts w:hint="default"/>
        </w:rPr>
        <w:t>洒水降尘+绿化固尘</w:t>
      </w:r>
      <w:r>
        <w:rPr>
          <w:rFonts w:hint="eastAsia"/>
          <w:lang w:eastAsia="zh-CN"/>
        </w:rPr>
        <w:t>”</w:t>
      </w:r>
      <w:r>
        <w:rPr>
          <w:rFonts w:hint="default"/>
        </w:rPr>
        <w:t>，结合垃圾清运、雨污混流改造，提升城市环境整洁度，营造宜居环境。</w:t>
      </w:r>
    </w:p>
    <w:p w14:paraId="24B0561E">
      <w:pPr>
        <w:wordWrap/>
        <w:autoSpaceDE/>
        <w:autoSpaceDN/>
        <w:spacing w:line="640" w:lineRule="exact"/>
        <w:ind w:firstLine="643"/>
        <w:rPr>
          <w:rFonts w:ascii="Times New Roman" w:hAnsi="Times New Roman" w:eastAsia="黑体" w:cs="黑体"/>
          <w:b w:val="0"/>
          <w:bCs w:val="0"/>
          <w:color w:val="auto"/>
          <w:lang w:val="zh-CN"/>
        </w:rPr>
      </w:pPr>
      <w:r>
        <w:rPr>
          <w:rFonts w:hint="eastAsia" w:ascii="Times New Roman" w:hAnsi="Times New Roman" w:eastAsia="黑体" w:cs="黑体"/>
          <w:b w:val="0"/>
          <w:bCs w:val="0"/>
          <w:color w:val="auto"/>
          <w:lang w:val="zh-CN"/>
        </w:rPr>
        <w:t>四、主要问题</w:t>
      </w:r>
    </w:p>
    <w:p w14:paraId="62A9C3BB">
      <w:pPr>
        <w:bidi w:val="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一是</w:t>
      </w:r>
      <w:r>
        <w:rPr>
          <w:rFonts w:hint="eastAsia"/>
          <w:b/>
          <w:bCs/>
        </w:rPr>
        <w:t>施工方选用不合规：</w:t>
      </w:r>
      <w:r>
        <w:rPr>
          <w:rFonts w:hint="eastAsia"/>
        </w:rPr>
        <w:t>2024年11个小额维修项目（涉及21.36万元）未选用2022年入围的4家框架施工单位，自行委托非框架企业且无合规例外审批手续，违反相关管理办法。部分项目如市民广场围墙修复、桂花大道交通标线整改等接近5万元上限仍未按规采购，存在“化整为零”嫌疑；选用的跨区域企业还导致售后响应滞后、质量追溯困难。</w:t>
      </w:r>
    </w:p>
    <w:p w14:paraId="75E14DC9">
      <w:pPr>
        <w:bidi w:val="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二是</w:t>
      </w:r>
      <w:r>
        <w:rPr>
          <w:rFonts w:hint="eastAsia"/>
          <w:b/>
          <w:bCs/>
        </w:rPr>
        <w:t>制度执行不规范：</w:t>
      </w:r>
      <w:r>
        <w:rPr>
          <w:rFonts w:hint="eastAsia"/>
        </w:rPr>
        <w:t>合同管理上，部分合同缺失验收时限、质量标准等核心条款，易引发履约纠纷；档案管理上，部分项目资金申请、验收单等资料不完整，施工影像与项目对应性不足，未实现“一项一档”，影响流程</w:t>
      </w:r>
      <w:r>
        <w:rPr>
          <w:rFonts w:hint="eastAsia"/>
          <w:lang w:val="en-US" w:eastAsia="zh-CN"/>
        </w:rPr>
        <w:t>可</w:t>
      </w:r>
      <w:r>
        <w:rPr>
          <w:rFonts w:hint="eastAsia"/>
        </w:rPr>
        <w:t>追溯</w:t>
      </w:r>
      <w:r>
        <w:rPr>
          <w:rFonts w:hint="eastAsia"/>
          <w:lang w:val="en-US" w:eastAsia="zh-CN"/>
        </w:rPr>
        <w:t>性</w:t>
      </w:r>
      <w:r>
        <w:rPr>
          <w:rFonts w:hint="eastAsia"/>
        </w:rPr>
        <w:t>。</w:t>
      </w:r>
    </w:p>
    <w:p w14:paraId="6C5CDB51">
      <w:pPr>
        <w:bidi w:val="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三是</w:t>
      </w:r>
      <w:r>
        <w:rPr>
          <w:rFonts w:hint="eastAsia"/>
          <w:b/>
          <w:bCs/>
        </w:rPr>
        <w:t>项目管理有漏洞</w:t>
      </w:r>
      <w:r>
        <w:rPr>
          <w:rFonts w:hint="eastAsia"/>
        </w:rPr>
        <w:t>：安全管控不到位，部分作业未规范摆放警示标志、施工人员未按要求佩戴劳保用品，存在安全风险；验收时效不达标，80个项目中7个验收延迟超3天，及时率仅91.25%；竣工验收后未开展第三方审计，且单位缺乏工程专业人员，难以核实工程量、把控造价，存在财政资金使用风险。</w:t>
      </w:r>
    </w:p>
    <w:p w14:paraId="2E699E56">
      <w:pPr>
        <w:bidi w:val="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四是</w:t>
      </w:r>
      <w:r>
        <w:rPr>
          <w:rFonts w:hint="eastAsia"/>
          <w:b/>
          <w:bCs/>
          <w:lang w:val="en-US" w:eastAsia="zh-CN"/>
        </w:rPr>
        <w:t>长效机制</w:t>
      </w:r>
      <w:r>
        <w:rPr>
          <w:rFonts w:hint="eastAsia"/>
          <w:b/>
          <w:bCs/>
        </w:rPr>
        <w:t>不</w:t>
      </w:r>
      <w:r>
        <w:rPr>
          <w:rFonts w:hint="eastAsia"/>
          <w:b/>
          <w:bCs/>
          <w:lang w:val="en-US" w:eastAsia="zh-CN"/>
        </w:rPr>
        <w:t>理想</w:t>
      </w:r>
      <w:r>
        <w:rPr>
          <w:rFonts w:hint="eastAsia"/>
          <w:b/>
          <w:bCs/>
        </w:rPr>
        <w:t>：</w:t>
      </w:r>
      <w:r>
        <w:rPr>
          <w:rFonts w:hint="eastAsia"/>
        </w:rPr>
        <w:t>2024年绿化、市政投诉达273项，较2023年增长66.46%，未达投诉控制目标，反映维修效果未达群众预期；维修后设施管护机制缺失，无专门制度、责任主体及巡查计划，设施易再次破损，削弱长期效益，群众满意度仅83.76%。</w:t>
      </w:r>
    </w:p>
    <w:p w14:paraId="609CC055">
      <w:pPr>
        <w:bidi w:val="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五是</w:t>
      </w:r>
      <w:r>
        <w:rPr>
          <w:rFonts w:hint="eastAsia"/>
          <w:b/>
          <w:bCs/>
        </w:rPr>
        <w:t>部分项目支出范畴不合规：</w:t>
      </w:r>
      <w:r>
        <w:rPr>
          <w:rFonts w:hint="eastAsia"/>
          <w:lang w:val="en-US" w:eastAsia="zh-CN"/>
        </w:rPr>
        <w:t>部分项目</w:t>
      </w:r>
      <w:r>
        <w:rPr>
          <w:rFonts w:hint="eastAsia"/>
        </w:rPr>
        <w:t>脱离小额维修“恢复原有设施功能”核心要求，含功能改造类（公厕接水、树木移植）及无修复目标类（桂花大道除标线未重划）</w:t>
      </w:r>
      <w:r>
        <w:rPr>
          <w:rFonts w:hint="eastAsia"/>
          <w:lang w:val="en-US" w:eastAsia="zh-CN"/>
        </w:rPr>
        <w:t>等</w:t>
      </w:r>
      <w:r>
        <w:rPr>
          <w:rFonts w:hint="eastAsia"/>
        </w:rPr>
        <w:t>。</w:t>
      </w:r>
    </w:p>
    <w:p w14:paraId="41A98F0A">
      <w:pPr>
        <w:bidi w:val="0"/>
      </w:pPr>
      <w:r>
        <w:rPr>
          <w:rFonts w:hint="eastAsia"/>
          <w:b/>
          <w:bCs/>
          <w:lang w:val="en-US" w:eastAsia="zh-CN"/>
        </w:rPr>
        <w:t>六是</w:t>
      </w:r>
      <w:r>
        <w:rPr>
          <w:rFonts w:hint="eastAsia"/>
          <w:b/>
          <w:bCs/>
        </w:rPr>
        <w:t>水费支出不合规：</w:t>
      </w:r>
      <w:r>
        <w:rPr>
          <w:rFonts w:hint="eastAsia"/>
        </w:rPr>
        <w:t>绿化、环卫水费属日常运营消耗成本，与小额维修“修复性支出”属性无关，却纳入备用金列支；环卫用水合同存在错标“商用”性质、超期10年或5年未续签等问题，违反供水管理办法；且市场化外包项目中，水费本应含在乙方报价内，却由甲方承担，违背权责对等原则。</w:t>
      </w:r>
    </w:p>
    <w:p w14:paraId="4B805ED7">
      <w:pPr>
        <w:wordWrap/>
        <w:autoSpaceDE/>
        <w:autoSpaceDN/>
        <w:spacing w:line="640" w:lineRule="exact"/>
        <w:ind w:firstLine="643"/>
        <w:rPr>
          <w:rFonts w:ascii="Times New Roman" w:hAnsi="Times New Roman" w:eastAsia="黑体" w:cs="黑体"/>
          <w:b/>
          <w:bCs/>
          <w:color w:val="auto"/>
          <w:lang w:val="zh-CN"/>
        </w:rPr>
      </w:pPr>
      <w:r>
        <w:rPr>
          <w:rFonts w:hint="eastAsia" w:ascii="Times New Roman" w:hAnsi="Times New Roman" w:eastAsia="黑体" w:cs="黑体"/>
          <w:b/>
          <w:bCs/>
          <w:color w:val="auto"/>
        </w:rPr>
        <w:t>五</w:t>
      </w:r>
      <w:r>
        <w:rPr>
          <w:rFonts w:hint="eastAsia" w:ascii="Times New Roman" w:hAnsi="Times New Roman" w:eastAsia="黑体" w:cs="黑体"/>
          <w:b/>
          <w:bCs/>
          <w:color w:val="auto"/>
          <w:lang w:val="zh-CN"/>
        </w:rPr>
        <w:t>、意见和建议</w:t>
      </w:r>
    </w:p>
    <w:p w14:paraId="54F85442">
      <w:pPr>
        <w:bidi w:val="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一是</w:t>
      </w:r>
      <w:r>
        <w:rPr>
          <w:rFonts w:hint="eastAsia"/>
          <w:b/>
          <w:bCs/>
        </w:rPr>
        <w:t>规范施工方选用流程：</w:t>
      </w:r>
      <w:r>
        <w:rPr>
          <w:rFonts w:hint="eastAsia"/>
        </w:rPr>
        <w:t>建立“框架内必选+例外审批”机制，非框架选用需经施工科室申请（附框架企业拒接证明）、总工室审核、局务会审议及财政备案；开展专项自查，对违规委托、手续缺失问题限期整改。</w:t>
      </w:r>
    </w:p>
    <w:p w14:paraId="67C19835">
      <w:pPr>
        <w:bidi w:val="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二是</w:t>
      </w:r>
      <w:r>
        <w:rPr>
          <w:rFonts w:hint="eastAsia"/>
          <w:b/>
          <w:bCs/>
        </w:rPr>
        <w:t>强化制度执行管控：</w:t>
      </w:r>
      <w:r>
        <w:rPr>
          <w:rFonts w:hint="eastAsia"/>
        </w:rPr>
        <w:t>制定合同标准范本，明确施工范围、工期等核心条款，签订前经审核；制定档案管理规范，明确归档范围、时限及分类标准，要求施工影像标注关键信息，实现“一项一档”，定期核查整改。</w:t>
      </w:r>
    </w:p>
    <w:p w14:paraId="7D9817D4">
      <w:pPr>
        <w:bidi w:val="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三是</w:t>
      </w:r>
      <w:r>
        <w:rPr>
          <w:rFonts w:hint="eastAsia"/>
          <w:b/>
          <w:bCs/>
        </w:rPr>
        <w:t>优化项目管理机制：</w:t>
      </w:r>
      <w:r>
        <w:rPr>
          <w:rFonts w:hint="eastAsia"/>
        </w:rPr>
        <w:t>加强安全培训，明确警示标志摆放、围挡设置等要求，巡查纠偏；建立验收</w:t>
      </w:r>
      <w:r>
        <w:rPr>
          <w:rFonts w:hint="eastAsia"/>
          <w:lang w:val="en-US" w:eastAsia="zh-CN"/>
        </w:rPr>
        <w:t>管理</w:t>
      </w:r>
      <w:r>
        <w:rPr>
          <w:rFonts w:hint="eastAsia"/>
        </w:rPr>
        <w:t>机制，养护期结束次日</w:t>
      </w:r>
      <w:r>
        <w:rPr>
          <w:rFonts w:hint="eastAsia"/>
          <w:lang w:val="en-US" w:eastAsia="zh-CN"/>
        </w:rPr>
        <w:t>及时</w:t>
      </w:r>
      <w:r>
        <w:rPr>
          <w:rFonts w:hint="eastAsia"/>
        </w:rPr>
        <w:t>验收；竣工验收后委托第三方审计，弥补内部专业短板。</w:t>
      </w:r>
    </w:p>
    <w:p w14:paraId="44B75F0A">
      <w:pPr>
        <w:bidi w:val="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四是</w:t>
      </w:r>
      <w:r>
        <w:rPr>
          <w:rFonts w:hint="eastAsia"/>
          <w:b/>
          <w:bCs/>
        </w:rPr>
        <w:t>提升项目效益：</w:t>
      </w:r>
      <w:r>
        <w:rPr>
          <w:rFonts w:hint="eastAsia"/>
        </w:rPr>
        <w:t>建立投诉台账，分析增长原因并整改，定期反馈处理进度；制定管护办法，明确市政、绿化等设施管护责任主体、内容及每周巡查要求，建立巡查台账；将管护成效纳入考核并</w:t>
      </w:r>
      <w:r>
        <w:rPr>
          <w:rFonts w:hint="eastAsia"/>
          <w:lang w:val="en-US" w:eastAsia="zh-CN"/>
        </w:rPr>
        <w:t>进行</w:t>
      </w:r>
      <w:r>
        <w:rPr>
          <w:rFonts w:hint="eastAsia"/>
        </w:rPr>
        <w:t>奖惩。</w:t>
      </w:r>
    </w:p>
    <w:p w14:paraId="1D3D21C2">
      <w:pPr>
        <w:bidi w:val="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五是</w:t>
      </w:r>
      <w:r>
        <w:rPr>
          <w:rFonts w:hint="eastAsia"/>
          <w:b/>
          <w:bCs/>
        </w:rPr>
        <w:t>明确支出范畴：</w:t>
      </w:r>
      <w:r>
        <w:rPr>
          <w:rFonts w:hint="eastAsia"/>
        </w:rPr>
        <w:t>财政部门</w:t>
      </w:r>
      <w:r>
        <w:rPr>
          <w:rFonts w:hint="eastAsia"/>
          <w:lang w:val="en-US" w:eastAsia="zh-CN"/>
        </w:rPr>
        <w:t>对</w:t>
      </w:r>
      <w:r>
        <w:rPr>
          <w:rFonts w:hint="eastAsia"/>
        </w:rPr>
        <w:t>不合规的项目</w:t>
      </w:r>
      <w:r>
        <w:rPr>
          <w:rFonts w:hint="eastAsia"/>
          <w:lang w:val="en-US" w:eastAsia="zh-CN"/>
        </w:rPr>
        <w:t>支出，移出</w:t>
      </w:r>
      <w:r>
        <w:rPr>
          <w:rFonts w:hint="eastAsia"/>
        </w:rPr>
        <w:t>备用金预算，核减已申报预算；要求城管局将其归入“新建工程”“养护经费”等对应科目，非</w:t>
      </w:r>
      <w:r>
        <w:rPr>
          <w:rFonts w:hint="eastAsia"/>
          <w:lang w:val="en-US" w:eastAsia="zh-CN"/>
        </w:rPr>
        <w:t>小额</w:t>
      </w:r>
      <w:r>
        <w:rPr>
          <w:rFonts w:hint="eastAsia"/>
        </w:rPr>
        <w:t>维修类项目</w:t>
      </w:r>
      <w:r>
        <w:rPr>
          <w:rFonts w:hint="eastAsia"/>
          <w:lang w:val="en-US" w:eastAsia="zh-CN"/>
        </w:rPr>
        <w:t>且</w:t>
      </w:r>
      <w:r>
        <w:rPr>
          <w:rFonts w:hint="eastAsia"/>
        </w:rPr>
        <w:t>无合规论证不予受理资金申请。</w:t>
      </w:r>
    </w:p>
    <w:p w14:paraId="7C72D53E">
      <w:pPr>
        <w:bidi w:val="0"/>
      </w:pPr>
      <w:r>
        <w:rPr>
          <w:rFonts w:hint="eastAsia"/>
          <w:b/>
          <w:bCs/>
          <w:lang w:val="en-US" w:eastAsia="zh-CN"/>
        </w:rPr>
        <w:t>六是</w:t>
      </w:r>
      <w:r>
        <w:rPr>
          <w:rFonts w:hint="eastAsia"/>
          <w:b/>
          <w:bCs/>
        </w:rPr>
        <w:t>规范水费列支：</w:t>
      </w:r>
      <w:r>
        <w:rPr>
          <w:rFonts w:hint="eastAsia"/>
        </w:rPr>
        <w:t>财政部门核减备用金中绿化、环卫水费预算，不得新增保障；要求城管局重新签订“行政事业用水”合同并规范抄表，后续从合规科目列支，不合规申请</w:t>
      </w:r>
      <w:r>
        <w:rPr>
          <w:rFonts w:hint="eastAsia"/>
          <w:lang w:val="en-US" w:eastAsia="zh-CN"/>
        </w:rPr>
        <w:t>财政</w:t>
      </w:r>
      <w:r>
        <w:rPr>
          <w:rFonts w:hint="eastAsia"/>
        </w:rPr>
        <w:t>不予承担。</w:t>
      </w:r>
    </w:p>
    <w:p w14:paraId="099F30E5">
      <w:pPr>
        <w:bidi w:val="0"/>
        <w:ind w:firstLine="0"/>
        <w:rPr>
          <w:rFonts w:hint="default"/>
          <w:lang w:val="en-US" w:eastAsia="zh-CN"/>
        </w:rPr>
      </w:pPr>
    </w:p>
    <w:bookmarkEnd w:id="0"/>
    <w:sectPr>
      <w:footerReference r:id="rId5" w:type="default"/>
      <w:pgSz w:w="11906" w:h="16838"/>
      <w:pgMar w:top="2098" w:right="1474" w:bottom="1984" w:left="1587" w:header="851" w:footer="992" w:gutter="0"/>
      <w:pgNumType w:fmt="numberInDash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D08142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2B5650">
                          <w:pPr>
                            <w:pStyle w:val="9"/>
                            <w:ind w:firstLine="0" w:firstLineChars="0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02B5650">
                    <w:pPr>
                      <w:pStyle w:val="9"/>
                      <w:ind w:firstLine="0" w:firstLineChars="0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A216F0"/>
    <w:multiLevelType w:val="multilevel"/>
    <w:tmpl w:val="1DA216F0"/>
    <w:lvl w:ilvl="0" w:tentative="0">
      <w:start w:val="1"/>
      <w:numFmt w:val="chineseCountingThousand"/>
      <w:pStyle w:val="4"/>
      <w:lvlText w:val="第%1章　"/>
      <w:lvlJc w:val="left"/>
      <w:pPr>
        <w:tabs>
          <w:tab w:val="left" w:pos="1440"/>
        </w:tabs>
        <w:ind w:left="1470" w:hanging="720"/>
      </w:pPr>
      <w:rPr>
        <w:rFonts w:hint="eastAsia" w:cs="Times New Roman"/>
        <w:sz w:val="32"/>
      </w:rPr>
    </w:lvl>
    <w:lvl w:ilvl="1" w:tentative="0">
      <w:start w:val="1"/>
      <w:numFmt w:val="lowerRoman"/>
      <w:lvlText w:val="(%2)"/>
      <w:lvlJc w:val="left"/>
      <w:pPr>
        <w:tabs>
          <w:tab w:val="left" w:pos="861"/>
        </w:tabs>
        <w:ind w:left="1611" w:hanging="720"/>
      </w:pPr>
      <w:rPr>
        <w:rFonts w:hint="eastAsia" w:cs="Times New Roman"/>
      </w:rPr>
    </w:lvl>
    <w:lvl w:ilvl="2" w:tentative="0">
      <w:start w:val="1"/>
      <w:numFmt w:val="lowerLetter"/>
      <w:lvlText w:val="(%3)"/>
      <w:lvlJc w:val="left"/>
      <w:pPr>
        <w:tabs>
          <w:tab w:val="left" w:pos="1335"/>
        </w:tabs>
        <w:ind w:left="2085" w:hanging="495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243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85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327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369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411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453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xOWExZjgzN2QwMmI1NGQxYjQzZDM0ZGNjMTQ1MGYifQ=="/>
  </w:docVars>
  <w:rsids>
    <w:rsidRoot w:val="00000000"/>
    <w:rsid w:val="0045328F"/>
    <w:rsid w:val="0119677B"/>
    <w:rsid w:val="03990047"/>
    <w:rsid w:val="06022AF8"/>
    <w:rsid w:val="06841331"/>
    <w:rsid w:val="07FC34CC"/>
    <w:rsid w:val="0B1D1449"/>
    <w:rsid w:val="0BC83F1D"/>
    <w:rsid w:val="0BC84002"/>
    <w:rsid w:val="0DD3425A"/>
    <w:rsid w:val="0E4A08BC"/>
    <w:rsid w:val="0ED818B2"/>
    <w:rsid w:val="0FFE0F7D"/>
    <w:rsid w:val="10080B22"/>
    <w:rsid w:val="11171FDD"/>
    <w:rsid w:val="118D6E4D"/>
    <w:rsid w:val="11B500A4"/>
    <w:rsid w:val="142E4599"/>
    <w:rsid w:val="163460AA"/>
    <w:rsid w:val="16796659"/>
    <w:rsid w:val="18A95ACA"/>
    <w:rsid w:val="18C745FF"/>
    <w:rsid w:val="1BB100D5"/>
    <w:rsid w:val="1BF75317"/>
    <w:rsid w:val="1C8D750E"/>
    <w:rsid w:val="20C57642"/>
    <w:rsid w:val="21A27164"/>
    <w:rsid w:val="22527D8E"/>
    <w:rsid w:val="23D20CE0"/>
    <w:rsid w:val="23E72D7E"/>
    <w:rsid w:val="27FF5E1C"/>
    <w:rsid w:val="292530B3"/>
    <w:rsid w:val="2AC61C8E"/>
    <w:rsid w:val="2BA514B1"/>
    <w:rsid w:val="2C8C29F9"/>
    <w:rsid w:val="2D89733C"/>
    <w:rsid w:val="2E4019F3"/>
    <w:rsid w:val="2E6035EA"/>
    <w:rsid w:val="2EBC6814"/>
    <w:rsid w:val="2F5F7784"/>
    <w:rsid w:val="2FB515E4"/>
    <w:rsid w:val="322813C9"/>
    <w:rsid w:val="32870EE7"/>
    <w:rsid w:val="33022B47"/>
    <w:rsid w:val="342C4CDD"/>
    <w:rsid w:val="3584346A"/>
    <w:rsid w:val="363907FC"/>
    <w:rsid w:val="37DA28DD"/>
    <w:rsid w:val="39D50B1A"/>
    <w:rsid w:val="3A320034"/>
    <w:rsid w:val="3BB024C0"/>
    <w:rsid w:val="3C645C82"/>
    <w:rsid w:val="3E7C063C"/>
    <w:rsid w:val="3F9B60B7"/>
    <w:rsid w:val="40A0560F"/>
    <w:rsid w:val="431E6CFC"/>
    <w:rsid w:val="43650541"/>
    <w:rsid w:val="43686A12"/>
    <w:rsid w:val="44974067"/>
    <w:rsid w:val="461A5272"/>
    <w:rsid w:val="46BF5767"/>
    <w:rsid w:val="476A58AD"/>
    <w:rsid w:val="48621D83"/>
    <w:rsid w:val="49086C31"/>
    <w:rsid w:val="4B2D0092"/>
    <w:rsid w:val="4C9B52CF"/>
    <w:rsid w:val="557441D7"/>
    <w:rsid w:val="55946048"/>
    <w:rsid w:val="56576C9F"/>
    <w:rsid w:val="5A61633E"/>
    <w:rsid w:val="5C7A79A5"/>
    <w:rsid w:val="5DB449D7"/>
    <w:rsid w:val="5F9525E6"/>
    <w:rsid w:val="60FF3A2A"/>
    <w:rsid w:val="61C65BD8"/>
    <w:rsid w:val="61F33C67"/>
    <w:rsid w:val="62E418BB"/>
    <w:rsid w:val="646A2293"/>
    <w:rsid w:val="64963088"/>
    <w:rsid w:val="64C97F9B"/>
    <w:rsid w:val="67E1286C"/>
    <w:rsid w:val="6A4A435C"/>
    <w:rsid w:val="6BF54B38"/>
    <w:rsid w:val="6E0B0643"/>
    <w:rsid w:val="6EB01248"/>
    <w:rsid w:val="6F246143"/>
    <w:rsid w:val="6F353258"/>
    <w:rsid w:val="6FC8621E"/>
    <w:rsid w:val="71D25B3F"/>
    <w:rsid w:val="72330169"/>
    <w:rsid w:val="74BE07E5"/>
    <w:rsid w:val="755C6A7B"/>
    <w:rsid w:val="767C7BC4"/>
    <w:rsid w:val="77246C9A"/>
    <w:rsid w:val="7771627B"/>
    <w:rsid w:val="778711E1"/>
    <w:rsid w:val="785C7CED"/>
    <w:rsid w:val="788847E7"/>
    <w:rsid w:val="789369D3"/>
    <w:rsid w:val="7B364826"/>
    <w:rsid w:val="7D0E6FB7"/>
    <w:rsid w:val="7F0E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560" w:lineRule="exact"/>
      <w:ind w:firstLine="880" w:firstLineChars="200"/>
      <w:jc w:val="both"/>
    </w:pPr>
    <w:rPr>
      <w:rFonts w:ascii="Times New Roman" w:hAnsi="Times New Roman" w:eastAsia="仿宋" w:cs="仿宋"/>
      <w:kern w:val="2"/>
      <w:sz w:val="32"/>
      <w:szCs w:val="32"/>
      <w:lang w:val="en-US" w:eastAsia="zh-CN" w:bidi="ar-SA"/>
    </w:rPr>
  </w:style>
  <w:style w:type="paragraph" w:styleId="7">
    <w:name w:val="heading 1"/>
    <w:basedOn w:val="1"/>
    <w:next w:val="1"/>
    <w:link w:val="15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qFormat/>
    <w:uiPriority w:val="0"/>
    <w:pPr>
      <w:ind w:firstLine="420" w:firstLineChars="100"/>
    </w:pPr>
    <w:rPr>
      <w:rFonts w:ascii="Times New Roman" w:hAnsi="Times New Roman" w:eastAsia="仿宋"/>
    </w:r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styleId="4">
    <w:name w:val="Body Text 2"/>
    <w:basedOn w:val="1"/>
    <w:next w:val="3"/>
    <w:qFormat/>
    <w:uiPriority w:val="99"/>
    <w:pPr>
      <w:numPr>
        <w:ilvl w:val="0"/>
        <w:numId w:val="1"/>
      </w:numPr>
      <w:spacing w:beforeLines="50" w:line="336" w:lineRule="auto"/>
      <w:ind w:firstLine="0"/>
    </w:pPr>
    <w:rPr>
      <w:rFonts w:eastAsia="黑体"/>
      <w:lang w:val="en-GB"/>
    </w:rPr>
  </w:style>
  <w:style w:type="paragraph" w:styleId="5">
    <w:name w:val="Body Text First Indent 2"/>
    <w:basedOn w:val="6"/>
    <w:next w:val="1"/>
    <w:qFormat/>
    <w:uiPriority w:val="99"/>
    <w:pPr>
      <w:spacing w:line="360" w:lineRule="auto"/>
      <w:ind w:firstLine="964"/>
    </w:pPr>
    <w:rPr>
      <w:rFonts w:ascii="Times New Roman" w:eastAsia="仿宋"/>
      <w:sz w:val="28"/>
      <w:szCs w:val="28"/>
    </w:rPr>
  </w:style>
  <w:style w:type="paragraph" w:styleId="6">
    <w:name w:val="Body Text Indent"/>
    <w:basedOn w:val="1"/>
    <w:qFormat/>
    <w:uiPriority w:val="99"/>
    <w:pPr>
      <w:ind w:firstLine="600"/>
    </w:pPr>
    <w:rPr>
      <w:rFonts w:ascii="仿宋_GB2312" w:eastAsia="仿宋_GB2312"/>
      <w:sz w:val="30"/>
      <w:szCs w:val="30"/>
    </w:rPr>
  </w:style>
  <w:style w:type="paragraph" w:styleId="8">
    <w:name w:val="annotation text"/>
    <w:basedOn w:val="1"/>
    <w:qFormat/>
    <w:uiPriority w:val="0"/>
    <w:pPr>
      <w:jc w:val="left"/>
    </w:p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3">
    <w:name w:val="Body Text 21"/>
    <w:basedOn w:val="1"/>
    <w:qFormat/>
    <w:uiPriority w:val="0"/>
    <w:pPr>
      <w:spacing w:line="480" w:lineRule="auto"/>
    </w:pPr>
  </w:style>
  <w:style w:type="paragraph" w:customStyle="1" w:styleId="14">
    <w:name w:val="封面大标题"/>
    <w:basedOn w:val="1"/>
    <w:qFormat/>
    <w:uiPriority w:val="0"/>
    <w:pPr>
      <w:spacing w:line="360" w:lineRule="auto"/>
      <w:ind w:firstLine="0" w:firstLineChars="0"/>
      <w:jc w:val="center"/>
    </w:pPr>
    <w:rPr>
      <w:rFonts w:ascii="仿宋_GB2312" w:hAnsi="仿宋_GB2312" w:eastAsia="黑体"/>
      <w:bCs/>
      <w:color w:val="auto"/>
      <w:sz w:val="52"/>
    </w:rPr>
  </w:style>
  <w:style w:type="character" w:customStyle="1" w:styleId="15">
    <w:name w:val="标题 1 Char"/>
    <w:link w:val="7"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1891</Words>
  <Characters>1977</Characters>
  <Lines>0</Lines>
  <Paragraphs>0</Paragraphs>
  <TotalTime>6</TotalTime>
  <ScaleCrop>false</ScaleCrop>
  <LinksUpToDate>false</LinksUpToDate>
  <CharactersWithSpaces>1977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2021-11-02T06:30:00Z</dcterms:created>
  <dc:creator>Administrator</dc:creator>
  <cp:lastModifiedBy>白夜行</cp:lastModifiedBy>
  <dcterms:modified xsi:type="dcterms:W3CDTF">2025-11-26T09:58:24Z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7478F1E00907471C8423A2CEF526D138</vt:lpwstr>
  </property>
</Properties>
</file>