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5ED0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val="en-US" w:eastAsia="zh-CN"/>
        </w:rPr>
        <w:t>决定修改的行政规范性文件</w:t>
      </w:r>
    </w:p>
    <w:p w14:paraId="2F13CA1F">
      <w:pPr>
        <w:keepNext w:val="0"/>
        <w:keepLines w:val="0"/>
        <w:pageBreakBefore w:val="0"/>
        <w:widowControl w:val="0"/>
        <w:kinsoku/>
        <w:wordWrap/>
        <w:overflowPunct/>
        <w:topLinePunct w:val="0"/>
        <w:autoSpaceDE/>
        <w:autoSpaceDN/>
        <w:bidi w:val="0"/>
        <w:adjustRightInd/>
        <w:snapToGrid/>
        <w:spacing w:before="0" w:after="0" w:line="540" w:lineRule="exact"/>
        <w:ind w:right="0"/>
        <w:jc w:val="both"/>
        <w:textAlignment w:val="auto"/>
        <w:outlineLvl w:val="9"/>
        <w:rPr>
          <w:rFonts w:hint="default" w:ascii="Times New Roman" w:hAnsi="Times New Roman" w:eastAsia="仿宋_GB2312" w:cs="Times New Roman"/>
          <w:b w:val="0"/>
          <w:bCs w:val="0"/>
          <w:sz w:val="32"/>
          <w:szCs w:val="28"/>
          <w:lang w:val="en-US" w:eastAsia="zh-CN"/>
        </w:rPr>
      </w:pPr>
    </w:p>
    <w:tbl>
      <w:tblPr>
        <w:tblStyle w:val="4"/>
        <w:tblW w:w="9469" w:type="dxa"/>
        <w:tblInd w:w="-2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3047"/>
        <w:gridCol w:w="3143"/>
        <w:gridCol w:w="2333"/>
      </w:tblGrid>
      <w:tr w14:paraId="47F1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5DAA009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序号</w:t>
            </w:r>
          </w:p>
        </w:tc>
        <w:tc>
          <w:tcPr>
            <w:tcW w:w="3047" w:type="dxa"/>
            <w:noWrap w:val="0"/>
            <w:vAlign w:val="center"/>
          </w:tcPr>
          <w:p w14:paraId="3E33FBA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文件名</w:t>
            </w:r>
          </w:p>
        </w:tc>
        <w:tc>
          <w:tcPr>
            <w:tcW w:w="3143" w:type="dxa"/>
            <w:noWrap w:val="0"/>
            <w:vAlign w:val="center"/>
          </w:tcPr>
          <w:p w14:paraId="0EA8198D">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文号</w:t>
            </w:r>
          </w:p>
        </w:tc>
        <w:tc>
          <w:tcPr>
            <w:tcW w:w="2333" w:type="dxa"/>
            <w:noWrap w:val="0"/>
            <w:vAlign w:val="center"/>
          </w:tcPr>
          <w:p w14:paraId="4D21876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黑体" w:hAnsi="黑体" w:eastAsia="黑体" w:cs="黑体"/>
                <w:b w:val="0"/>
                <w:bCs w:val="0"/>
                <w:sz w:val="32"/>
                <w:szCs w:val="32"/>
                <w:vertAlign w:val="baseline"/>
                <w:lang w:val="en-US" w:eastAsia="zh-CN"/>
              </w:rPr>
            </w:pPr>
            <w:r>
              <w:rPr>
                <w:rFonts w:hint="default" w:ascii="黑体" w:hAnsi="黑体" w:eastAsia="黑体" w:cs="黑体"/>
                <w:b w:val="0"/>
                <w:bCs w:val="0"/>
                <w:sz w:val="32"/>
                <w:szCs w:val="32"/>
                <w:vertAlign w:val="baseline"/>
                <w:lang w:val="en-US" w:eastAsia="zh-CN"/>
              </w:rPr>
              <w:t>修改内容</w:t>
            </w:r>
          </w:p>
        </w:tc>
      </w:tr>
      <w:tr w14:paraId="703FA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noWrap w:val="0"/>
            <w:vAlign w:val="center"/>
          </w:tcPr>
          <w:p w14:paraId="6EE3DAEC">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bCs/>
                <w:sz w:val="32"/>
                <w:szCs w:val="32"/>
                <w:vertAlign w:val="baseline"/>
                <w:lang w:val="en-US" w:eastAsia="zh-CN"/>
              </w:rPr>
              <w:t>1</w:t>
            </w:r>
          </w:p>
        </w:tc>
        <w:tc>
          <w:tcPr>
            <w:tcW w:w="3047" w:type="dxa"/>
            <w:noWrap w:val="0"/>
            <w:vAlign w:val="center"/>
          </w:tcPr>
          <w:p w14:paraId="118BDC7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val="0"/>
                <w:bCs w:val="0"/>
                <w:sz w:val="32"/>
                <w:szCs w:val="28"/>
                <w:lang w:val="en-US" w:eastAsia="zh-CN"/>
              </w:rPr>
              <w:t>洛阳市发展和改革委员会 洛阳市科技局</w:t>
            </w:r>
            <w:r>
              <w:rPr>
                <w:rFonts w:hint="default" w:ascii="Times New Roman" w:hAnsi="Times New Roman" w:cs="Times New Roman"/>
                <w:b w:val="0"/>
                <w:bCs w:val="0"/>
                <w:sz w:val="32"/>
                <w:szCs w:val="28"/>
                <w:lang w:val="en-US" w:eastAsia="zh-CN"/>
              </w:rPr>
              <w:t xml:space="preserve"> </w:t>
            </w:r>
            <w:r>
              <w:rPr>
                <w:rFonts w:hint="default" w:ascii="Times New Roman" w:hAnsi="Times New Roman" w:eastAsia="仿宋_GB2312" w:cs="Times New Roman"/>
                <w:b w:val="0"/>
                <w:bCs w:val="0"/>
                <w:sz w:val="32"/>
                <w:szCs w:val="28"/>
                <w:lang w:val="en-US" w:eastAsia="zh-CN"/>
              </w:rPr>
              <w:t>洛阳市财政局 国家税务总局洛阳市税务局 中华人民共和国洛阳海关关于印发洛阳市企业技术中心认定管理办法的通知</w:t>
            </w:r>
          </w:p>
        </w:tc>
        <w:tc>
          <w:tcPr>
            <w:tcW w:w="3143" w:type="dxa"/>
            <w:noWrap w:val="0"/>
            <w:vAlign w:val="center"/>
          </w:tcPr>
          <w:p w14:paraId="1830571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val="0"/>
                <w:bCs w:val="0"/>
                <w:sz w:val="32"/>
                <w:szCs w:val="28"/>
                <w:lang w:val="en-US" w:eastAsia="zh-CN"/>
              </w:rPr>
              <w:t>洛发改〔2021〕2号</w:t>
            </w:r>
          </w:p>
        </w:tc>
        <w:tc>
          <w:tcPr>
            <w:tcW w:w="2333" w:type="dxa"/>
            <w:noWrap w:val="0"/>
            <w:vAlign w:val="center"/>
          </w:tcPr>
          <w:p w14:paraId="7E3226C0">
            <w:pPr>
              <w:keepNext w:val="0"/>
              <w:keepLines w:val="0"/>
              <w:pageBreakBefore w:val="0"/>
              <w:widowControl w:val="0"/>
              <w:numPr>
                <w:ilvl w:val="0"/>
                <w:numId w:val="0"/>
              </w:numPr>
              <w:kinsoku/>
              <w:wordWrap/>
              <w:overflowPunct/>
              <w:topLinePunct w:val="0"/>
              <w:autoSpaceDE/>
              <w:autoSpaceDN/>
              <w:bidi w:val="0"/>
              <w:adjustRightInd/>
              <w:snapToGrid/>
              <w:spacing w:before="0" w:after="0" w:line="540" w:lineRule="exact"/>
              <w:ind w:right="0" w:rightChars="0"/>
              <w:jc w:val="both"/>
              <w:textAlignment w:val="auto"/>
              <w:outlineLvl w:val="9"/>
              <w:rPr>
                <w:rFonts w:hint="default" w:ascii="Times New Roman" w:hAnsi="Times New Roman" w:eastAsia="仿宋_GB2312" w:cs="Times New Roman"/>
                <w:b w:val="0"/>
                <w:bCs w:val="0"/>
                <w:sz w:val="32"/>
                <w:szCs w:val="28"/>
                <w:lang w:val="en-US" w:eastAsia="zh-CN"/>
              </w:rPr>
            </w:pPr>
            <w:r>
              <w:rPr>
                <w:rFonts w:hint="default" w:ascii="Times New Roman" w:hAnsi="Times New Roman" w:eastAsia="仿宋_GB2312" w:cs="Times New Roman"/>
                <w:b w:val="0"/>
                <w:bCs w:val="0"/>
                <w:sz w:val="32"/>
                <w:szCs w:val="28"/>
                <w:lang w:val="en-US" w:eastAsia="zh-CN"/>
              </w:rPr>
              <w:t>删除第六条（一）“在洛阳市境内依法注册”。</w:t>
            </w:r>
          </w:p>
          <w:p w14:paraId="02D6900B">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p>
        </w:tc>
      </w:tr>
      <w:tr w14:paraId="693C5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946" w:type="dxa"/>
            <w:noWrap w:val="0"/>
            <w:vAlign w:val="center"/>
          </w:tcPr>
          <w:p w14:paraId="759F122E">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bCs/>
                <w:sz w:val="32"/>
                <w:szCs w:val="32"/>
                <w:vertAlign w:val="baseline"/>
                <w:lang w:val="en-US" w:eastAsia="zh-CN"/>
              </w:rPr>
              <w:t>2</w:t>
            </w:r>
          </w:p>
        </w:tc>
        <w:tc>
          <w:tcPr>
            <w:tcW w:w="3047" w:type="dxa"/>
            <w:noWrap w:val="0"/>
            <w:vAlign w:val="center"/>
          </w:tcPr>
          <w:p w14:paraId="0D388CCF">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b w:val="0"/>
                <w:bCs w:val="0"/>
                <w:sz w:val="32"/>
                <w:szCs w:val="28"/>
                <w:lang w:val="en-US" w:eastAsia="zh-CN"/>
              </w:rPr>
            </w:pPr>
            <w:r>
              <w:rPr>
                <w:rFonts w:hint="default" w:ascii="Times New Roman" w:hAnsi="Times New Roman" w:eastAsia="仿宋_GB2312" w:cs="Times New Roman"/>
                <w:b w:val="0"/>
                <w:bCs w:val="0"/>
                <w:sz w:val="32"/>
                <w:szCs w:val="28"/>
                <w:lang w:val="en-US" w:eastAsia="zh-CN"/>
              </w:rPr>
              <w:t>洛阳市发展和改革委员会关于进一步完善机动车停放服务收费管理的通知</w:t>
            </w:r>
          </w:p>
        </w:tc>
        <w:tc>
          <w:tcPr>
            <w:tcW w:w="3143" w:type="dxa"/>
            <w:noWrap w:val="0"/>
            <w:vAlign w:val="center"/>
          </w:tcPr>
          <w:p w14:paraId="5ECD184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b w:val="0"/>
                <w:bCs w:val="0"/>
                <w:sz w:val="32"/>
                <w:szCs w:val="28"/>
                <w:lang w:val="en-US" w:eastAsia="zh-CN"/>
              </w:rPr>
            </w:pPr>
            <w:r>
              <w:rPr>
                <w:rFonts w:hint="default" w:ascii="Times New Roman" w:hAnsi="Times New Roman" w:eastAsia="仿宋_GB2312" w:cs="Times New Roman"/>
                <w:b w:val="0"/>
                <w:bCs w:val="0"/>
                <w:sz w:val="32"/>
                <w:szCs w:val="28"/>
                <w:lang w:val="en-US" w:eastAsia="zh-CN"/>
              </w:rPr>
              <w:t>洛发改〔2018〕2号</w:t>
            </w:r>
          </w:p>
        </w:tc>
        <w:tc>
          <w:tcPr>
            <w:tcW w:w="2333" w:type="dxa"/>
            <w:noWrap w:val="0"/>
            <w:vAlign w:val="center"/>
          </w:tcPr>
          <w:p w14:paraId="5A1DDC46">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b/>
                <w:bCs/>
                <w:sz w:val="32"/>
                <w:szCs w:val="32"/>
                <w:vertAlign w:val="baseline"/>
                <w:lang w:val="en-US" w:eastAsia="zh-CN"/>
              </w:rPr>
            </w:pPr>
            <w:r>
              <w:rPr>
                <w:rFonts w:hint="default" w:ascii="Times New Roman" w:hAnsi="Times New Roman" w:eastAsia="仿宋_GB2312" w:cs="Times New Roman"/>
                <w:b w:val="0"/>
                <w:bCs w:val="0"/>
                <w:sz w:val="32"/>
                <w:szCs w:val="28"/>
                <w:lang w:val="en-US" w:eastAsia="zh-CN"/>
              </w:rPr>
              <w:t>有效期延长至2028年6月30日。</w:t>
            </w:r>
            <w:r>
              <w:rPr>
                <w:rFonts w:hint="default" w:ascii="Times New Roman" w:hAnsi="Times New Roman" w:eastAsia="仿宋_GB2312" w:cs="Times New Roman"/>
                <w:b w:val="0"/>
                <w:bCs w:val="0"/>
                <w:sz w:val="32"/>
                <w:szCs w:val="28"/>
                <w:lang w:val="en-US" w:eastAsia="zh-CN"/>
              </w:rPr>
              <w:br w:type="page"/>
            </w:r>
          </w:p>
        </w:tc>
      </w:tr>
    </w:tbl>
    <w:p w14:paraId="18BB73F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CE02F9"/>
    <w:rsid w:val="08CE0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widowControl/>
      <w:adjustRightInd w:val="0"/>
      <w:snapToGrid w:val="0"/>
      <w:spacing w:after="200" w:afterLines="0" w:line="481" w:lineRule="atLeast"/>
      <w:ind w:firstLine="623"/>
      <w:jc w:val="left"/>
      <w:textAlignment w:val="baseline"/>
    </w:pPr>
    <w:rPr>
      <w:rFonts w:ascii="Times New Roman" w:hAnsi="Tahoma" w:eastAsia="仿宋_GB2312" w:cs="Times New Roman"/>
      <w:color w:val="000000"/>
      <w:kern w:val="0"/>
      <w:sz w:val="31"/>
      <w:szCs w:val="2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2025-10-28T07:04:00Z</dcterms:created>
  <dc:creator>明黑</dc:creator>
  <cp:lastModifiedBy>明黑</cp:lastModifiedBy>
  <dcterms:modified xsi:type="dcterms:W3CDTF">2025-10-28T07:10:53Z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33F8486447AE48F68706DE50C16B8745_11</vt:lpwstr>
  </property>
  <property fmtid="{D5CDD505-2E9C-101B-9397-08002B2CF9AE}" pid="4" name="KSOTemplateDocerSaveRecord">
    <vt:lpwstr>eyJoZGlkIjoiNDc0ODg5ZmY2MGM0MmRkNzhiNzA0ZDA2YzNjNDZhZDQiLCJ1c2VySWQiOiI1MzUxNTEwMjQifQ==</vt:lpwstr>
  </property>
</Properties>
</file>