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14:paraId="72F83FAF">
      <w:pPr>
        <w:keepNext w:val="0"/>
        <w:keepLines w:val="0"/>
        <w:pageBreakBefore w:val="0"/>
        <w:widowControl w:val="0"/>
        <w:kinsoku/>
        <w:wordWrap/>
        <w:overflowPunct/>
        <w:topLinePunct w:val="0"/>
        <w:autoSpaceDE/>
        <w:autoSpaceDN/>
        <w:bidi w:val="0"/>
        <w:adjustRightInd/>
        <w:snapToGrid/>
        <w:spacing w:line="604" w:lineRule="exact"/>
        <w:jc w:val="left"/>
        <w:textAlignment w:val="auto"/>
        <w:rPr>
          <w:rFonts w:hint="eastAsia" w:ascii="仿宋_GB2312" w:hAnsi="仿宋_GB2312" w:eastAsia="仿宋_GB2312" w:cs="仿宋_GB2312"/>
          <w:b w:val="0"/>
          <w:bCs/>
          <w:sz w:val="32"/>
          <w:szCs w:val="32"/>
          <w:lang w:val="en-US" w:eastAsia="zh-CN"/>
        </w:rPr>
      </w:pPr>
      <w:bookmarkStart w:id="0" w:name="_GoBack"/>
      <w:bookmarkEnd w:id="0"/>
      <w:r>
        <w:rPr>
          <w:rFonts w:hint="eastAsia" w:ascii="仿宋_GB2312" w:hAnsi="仿宋_GB2312" w:eastAsia="仿宋_GB2312" w:cs="仿宋_GB2312"/>
          <w:b w:val="0"/>
          <w:bCs/>
          <w:sz w:val="32"/>
          <w:szCs w:val="32"/>
          <w:lang w:val="en-US" w:eastAsia="zh-CN"/>
        </w:rPr>
        <w:t>附件</w:t>
      </w:r>
    </w:p>
    <w:p w14:paraId="40AF6EAE">
      <w:pPr>
        <w:pStyle w:val="2"/>
        <w:rPr>
          <w:rFonts w:hint="eastAsia" w:ascii="仿宋_GB2312" w:hAnsi="仿宋_GB2312" w:eastAsia="仿宋_GB2312" w:cs="仿宋_GB2312"/>
          <w:sz w:val="32"/>
          <w:szCs w:val="32"/>
          <w:lang w:val="en-US" w:eastAsia="zh-CN"/>
        </w:rPr>
      </w:pPr>
    </w:p>
    <w:p w14:paraId="7B27C27A">
      <w:pPr>
        <w:keepNext w:val="0"/>
        <w:keepLines w:val="0"/>
        <w:pageBreakBefore w:val="0"/>
        <w:widowControl w:val="0"/>
        <w:kinsoku/>
        <w:wordWrap/>
        <w:overflowPunct/>
        <w:topLinePunct w:val="0"/>
        <w:autoSpaceDE/>
        <w:autoSpaceDN/>
        <w:bidi w:val="0"/>
        <w:adjustRightInd/>
        <w:snapToGrid/>
        <w:spacing w:line="604" w:lineRule="exact"/>
        <w:jc w:val="center"/>
        <w:textAlignment w:val="auto"/>
        <w:rPr>
          <w:rFonts w:hint="eastAsia" w:ascii="仿宋_GB2312" w:hAnsi="仿宋_GB2312" w:eastAsia="仿宋_GB2312" w:cs="仿宋_GB2312"/>
          <w:sz w:val="21"/>
          <w:szCs w:val="21"/>
          <w:lang w:val="en-US" w:eastAsia="zh-CN"/>
        </w:rPr>
      </w:pPr>
      <w:r>
        <w:rPr>
          <w:rFonts w:hint="eastAsia" w:ascii="长城小标宋体" w:hAnsi="Calibri" w:eastAsia="长城小标宋体" w:cs="Times New Roman"/>
          <w:b w:val="0"/>
          <w:bCs/>
          <w:sz w:val="44"/>
          <w:szCs w:val="44"/>
          <w:lang w:val="en-US" w:eastAsia="zh-CN"/>
        </w:rPr>
        <w:t>洛阳市商业性个人住房贷款转“住房公积金贷款+商贷”组合贷款管理办法</w:t>
      </w:r>
    </w:p>
    <w:p w14:paraId="724D37E4">
      <w:pPr>
        <w:keepNext w:val="0"/>
        <w:keepLines w:val="0"/>
        <w:pageBreakBefore w:val="0"/>
        <w:widowControl w:val="0"/>
        <w:kinsoku/>
        <w:wordWrap/>
        <w:overflowPunct/>
        <w:topLinePunct w:val="0"/>
        <w:autoSpaceDE/>
        <w:autoSpaceDN/>
        <w:bidi w:val="0"/>
        <w:adjustRightInd/>
        <w:snapToGrid/>
        <w:spacing w:line="604" w:lineRule="exact"/>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（征求意见稿）</w:t>
      </w:r>
    </w:p>
    <w:p w14:paraId="2A0A83D5">
      <w:pPr>
        <w:pStyle w:val="2"/>
        <w:rPr>
          <w:rFonts w:hint="eastAsia"/>
          <w:sz w:val="21"/>
          <w:szCs w:val="13"/>
          <w:lang w:val="en-US" w:eastAsia="zh-CN"/>
        </w:rPr>
      </w:pPr>
    </w:p>
    <w:p w14:paraId="5AE76BF1">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Times New Roman" w:eastAsia="仿宋_GB2312" w:cs="仿宋_GB2312"/>
          <w:sz w:val="32"/>
          <w:szCs w:val="32"/>
          <w:lang w:val="en-US" w:eastAsia="zh-CN"/>
        </w:rPr>
        <w:t>为进一步发挥住房公积金保障职能作用，减轻缴存职工家庭购买自住住房贷款利息支出和生活压力，根据《住房公积金管理条例》和《洛阳市住房公积金个人住房贷款管理办法》等有关规定，制订本办法。</w:t>
      </w:r>
    </w:p>
    <w:p w14:paraId="2CCB76B1">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Times New Roman" w:eastAsia="仿宋_GB2312" w:cs="仿宋_GB2312"/>
          <w:sz w:val="32"/>
          <w:szCs w:val="32"/>
          <w:lang w:val="en-US" w:eastAsia="zh-CN"/>
        </w:rPr>
        <w:t>本办法适用于我市商业性个人住房贷款（以下简称商贷）转</w:t>
      </w:r>
      <w:r>
        <w:rPr>
          <w:rFonts w:hint="eastAsia" w:ascii="仿宋_GB2312" w:eastAsia="仿宋_GB2312" w:cs="仿宋_GB2312"/>
          <w:sz w:val="32"/>
          <w:szCs w:val="32"/>
          <w:lang w:val="en-US" w:eastAsia="zh-CN"/>
        </w:rPr>
        <w:t>“住房公积金贷款+商贷”组合</w:t>
      </w:r>
      <w:r>
        <w:rPr>
          <w:rFonts w:hint="eastAsia" w:ascii="仿宋_GB2312" w:hAnsi="Times New Roman" w:eastAsia="仿宋_GB2312" w:cs="仿宋_GB2312"/>
          <w:sz w:val="32"/>
          <w:szCs w:val="32"/>
          <w:lang w:val="en-US" w:eastAsia="zh-CN"/>
        </w:rPr>
        <w:t>贷款的管理。</w:t>
      </w:r>
    </w:p>
    <w:p w14:paraId="7471C5FC">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Times New Roman" w:eastAsia="仿宋_GB2312" w:cs="仿宋_GB2312"/>
          <w:sz w:val="32"/>
          <w:szCs w:val="32"/>
          <w:lang w:val="en-US" w:eastAsia="zh-CN"/>
        </w:rPr>
        <w:t>本办法所称的</w:t>
      </w:r>
      <w:r>
        <w:rPr>
          <w:rFonts w:hint="eastAsia" w:ascii="仿宋_GB2312" w:eastAsia="仿宋_GB2312" w:cs="仿宋_GB2312"/>
          <w:sz w:val="32"/>
          <w:szCs w:val="32"/>
          <w:lang w:val="en-US" w:eastAsia="zh-CN"/>
        </w:rPr>
        <w:t>商转公组合贷款</w:t>
      </w:r>
      <w:r>
        <w:rPr>
          <w:rFonts w:hint="eastAsia" w:ascii="仿宋_GB2312" w:hAnsi="Times New Roman" w:eastAsia="仿宋_GB2312" w:cs="仿宋_GB2312"/>
          <w:sz w:val="32"/>
          <w:szCs w:val="32"/>
          <w:lang w:val="en-US" w:eastAsia="zh-CN"/>
        </w:rPr>
        <w:t>是指符合公积金贷款条件的职工(</w:t>
      </w:r>
      <w:r>
        <w:rPr>
          <w:rFonts w:hint="eastAsia" w:ascii="仿宋_GB2312" w:hAnsi="Times New Roman" w:eastAsia="仿宋_GB2312" w:cs="仿宋_GB2312"/>
          <w:color w:val="auto"/>
          <w:sz w:val="32"/>
          <w:szCs w:val="32"/>
          <w:lang w:val="en-US" w:eastAsia="zh-CN"/>
        </w:rPr>
        <w:t>含异地缴存职工</w:t>
      </w:r>
      <w:r>
        <w:rPr>
          <w:rFonts w:hint="eastAsia" w:ascii="仿宋_GB2312" w:hAnsi="Times New Roman" w:eastAsia="仿宋_GB2312" w:cs="仿宋_GB2312"/>
          <w:sz w:val="32"/>
          <w:szCs w:val="32"/>
          <w:lang w:val="en-US" w:eastAsia="zh-CN"/>
        </w:rPr>
        <w:t>），向</w:t>
      </w:r>
      <w:r>
        <w:rPr>
          <w:rFonts w:hint="eastAsia" w:ascii="仿宋_GB2312" w:eastAsia="仿宋_GB2312" w:cs="仿宋_GB2312"/>
          <w:sz w:val="32"/>
          <w:szCs w:val="32"/>
          <w:lang w:val="en-US" w:eastAsia="zh-CN"/>
        </w:rPr>
        <w:t>原商贷银行</w:t>
      </w:r>
      <w:r>
        <w:rPr>
          <w:rFonts w:hint="eastAsia" w:ascii="仿宋_GB2312" w:hAnsi="Times New Roman" w:eastAsia="仿宋_GB2312" w:cs="仿宋_GB2312"/>
          <w:sz w:val="32"/>
          <w:szCs w:val="32"/>
          <w:lang w:val="en-US" w:eastAsia="zh-CN"/>
        </w:rPr>
        <w:t>申请将尚未结清且已办妥房屋所有权证的商贷转为</w:t>
      </w:r>
      <w:r>
        <w:rPr>
          <w:rFonts w:hint="eastAsia" w:ascii="仿宋_GB2312" w:eastAsia="仿宋_GB2312" w:cs="仿宋_GB2312"/>
          <w:sz w:val="32"/>
          <w:szCs w:val="32"/>
          <w:lang w:val="en-US" w:eastAsia="zh-CN"/>
        </w:rPr>
        <w:t>“住房公积金贷款+商</w:t>
      </w:r>
      <w:r>
        <w:rPr>
          <w:rFonts w:hint="eastAsia" w:ascii="仿宋_GB2312" w:hAnsi="Times New Roman" w:eastAsia="仿宋_GB2312" w:cs="仿宋_GB2312"/>
          <w:sz w:val="32"/>
          <w:szCs w:val="32"/>
          <w:lang w:val="en-US" w:eastAsia="zh-CN"/>
        </w:rPr>
        <w:t>贷</w:t>
      </w:r>
      <w:r>
        <w:rPr>
          <w:rFonts w:hint="eastAsia" w:ascii="仿宋_GB2312" w:eastAsia="仿宋_GB2312" w:cs="仿宋_GB2312"/>
          <w:sz w:val="32"/>
          <w:szCs w:val="32"/>
          <w:lang w:val="en-US" w:eastAsia="zh-CN"/>
        </w:rPr>
        <w:t>”</w:t>
      </w:r>
      <w:r>
        <w:rPr>
          <w:rFonts w:hint="eastAsia" w:ascii="仿宋_GB2312" w:hAnsi="Times New Roman" w:eastAsia="仿宋_GB2312" w:cs="仿宋_GB2312"/>
          <w:sz w:val="32"/>
          <w:szCs w:val="32"/>
          <w:lang w:val="en-US" w:eastAsia="zh-CN"/>
        </w:rPr>
        <w:t>（以下简称商转公</w:t>
      </w:r>
      <w:r>
        <w:rPr>
          <w:rFonts w:hint="eastAsia" w:ascii="仿宋_GB2312" w:eastAsia="仿宋_GB2312" w:cs="仿宋_GB2312"/>
          <w:sz w:val="32"/>
          <w:szCs w:val="32"/>
          <w:lang w:val="en-US" w:eastAsia="zh-CN"/>
        </w:rPr>
        <w:t>组合</w:t>
      </w:r>
      <w:r>
        <w:rPr>
          <w:rFonts w:hint="eastAsia" w:ascii="仿宋_GB2312" w:hAnsi="Times New Roman" w:eastAsia="仿宋_GB2312" w:cs="仿宋_GB2312"/>
          <w:sz w:val="32"/>
          <w:szCs w:val="32"/>
          <w:lang w:val="en-US" w:eastAsia="zh-CN"/>
        </w:rPr>
        <w:t>贷款）。</w:t>
      </w:r>
    </w:p>
    <w:p w14:paraId="1445A6A3">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Times New Roman" w:eastAsia="仿宋_GB2312" w:cs="仿宋_GB2312"/>
          <w:sz w:val="32"/>
          <w:szCs w:val="32"/>
          <w:lang w:val="en-US" w:eastAsia="zh-CN"/>
        </w:rPr>
        <w:t>本办法所称的商贷是指具有完全民事行为能力的自然人在我市行政区域内购买自住住房时，以其所购住房为抵押而向银行申请的商业性个人住房贷款（不包含住房公积金和商业组合贷款、住房公积金转商业贴息贷款）。</w:t>
      </w:r>
    </w:p>
    <w:p w14:paraId="26180A51">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Times New Roman" w:eastAsia="仿宋_GB2312" w:cs="仿宋_GB2312"/>
          <w:sz w:val="32"/>
          <w:szCs w:val="32"/>
          <w:lang w:val="en-US" w:eastAsia="zh-CN"/>
        </w:rPr>
        <w:t>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业务采取以下方式办理。</w:t>
      </w:r>
    </w:p>
    <w:p w14:paraId="548A1E7C">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符合条件的职工向</w:t>
      </w:r>
      <w:r>
        <w:rPr>
          <w:rFonts w:hint="eastAsia" w:ascii="仿宋_GB2312" w:eastAsia="仿宋_GB2312" w:cs="仿宋_GB2312"/>
          <w:sz w:val="32"/>
          <w:szCs w:val="32"/>
          <w:lang w:val="en-US" w:eastAsia="zh-CN"/>
        </w:rPr>
        <w:t>原商贷银行</w:t>
      </w:r>
      <w:r>
        <w:rPr>
          <w:rFonts w:hint="eastAsia" w:ascii="仿宋_GB2312" w:hAnsi="Times New Roman" w:eastAsia="仿宋_GB2312" w:cs="仿宋_GB2312"/>
          <w:sz w:val="32"/>
          <w:szCs w:val="32"/>
          <w:lang w:val="en-US" w:eastAsia="zh-CN"/>
        </w:rPr>
        <w:t>提出商转公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申请，经中心审批同意后</w:t>
      </w:r>
      <w:r>
        <w:rPr>
          <w:rFonts w:hint="eastAsia" w:ascii="仿宋_GB2312" w:hAnsi="Times New Roman" w:eastAsia="仿宋_GB2312" w:cs="仿宋_GB2312"/>
          <w:color w:val="000000" w:themeColor="text1"/>
          <w:sz w:val="32"/>
          <w:szCs w:val="32"/>
          <w:lang w:val="en-US"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办理抵押登记</w:t>
      </w:r>
      <w:r>
        <w:rPr>
          <w:rFonts w:hint="eastAsia" w:ascii="仿宋_GB2312" w:hAnsi="Times New Roman" w:eastAsia="仿宋_GB2312" w:cs="仿宋_GB2312"/>
          <w:color w:val="000000" w:themeColor="text1"/>
          <w:sz w:val="32"/>
          <w:szCs w:val="32"/>
          <w:lang w:val="en-US" w:eastAsia="zh-CN"/>
          <w14:textFill>
            <w14:solidFill>
              <w14:schemeClr w14:val="tx1"/>
            </w14:solidFill>
          </w14:textFill>
        </w:rPr>
        <w:t>手续，</w:t>
      </w:r>
      <w:r>
        <w:rPr>
          <w:rFonts w:hint="eastAsia" w:ascii="仿宋_GB2312" w:hAnsi="Times New Roman" w:eastAsia="仿宋_GB2312" w:cs="仿宋_GB2312"/>
          <w:sz w:val="32"/>
          <w:szCs w:val="32"/>
          <w:lang w:val="en-US" w:eastAsia="zh-CN"/>
        </w:rPr>
        <w:t>中心将贷款发放至</w:t>
      </w:r>
      <w:r>
        <w:rPr>
          <w:rFonts w:hint="eastAsia" w:ascii="仿宋_GB2312" w:eastAsia="仿宋_GB2312" w:cs="仿宋_GB2312"/>
          <w:sz w:val="32"/>
          <w:szCs w:val="32"/>
          <w:lang w:val="en-US" w:eastAsia="zh-CN"/>
        </w:rPr>
        <w:t>原商贷</w:t>
      </w:r>
      <w:r>
        <w:rPr>
          <w:rFonts w:hint="eastAsia" w:ascii="仿宋_GB2312" w:hAnsi="Times New Roman" w:eastAsia="仿宋_GB2312" w:cs="仿宋_GB2312"/>
          <w:sz w:val="32"/>
          <w:szCs w:val="32"/>
          <w:lang w:val="en-US" w:eastAsia="zh-CN"/>
        </w:rPr>
        <w:t>银行。此方式仅限于我市公积金贷款受托银行范围内且已与中心签订商转公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合作协议的银行开展。</w:t>
      </w:r>
    </w:p>
    <w:p w14:paraId="53819FA4">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Times New Roman" w:eastAsia="仿宋_GB2312" w:cs="仿宋_GB2312"/>
          <w:sz w:val="32"/>
          <w:szCs w:val="32"/>
          <w:lang w:val="en-US" w:eastAsia="zh-CN"/>
        </w:rPr>
        <w:t>当我市住房公积金个贷率连续三个月低于85%（含）时，开展商转公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业务，个贷率连续三个月高于95%（含）时，暂停商转公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业务。当上级公积金政策发生调整或我市房地产市场形势发生变化，中心可在市住房公积金管理委员会的决策指导和授权下，适时开展和暂停商转公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业务。当商转公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业务暂停时，已审批通过的贷款申请应当办理至贷款发放为止。</w:t>
      </w:r>
    </w:p>
    <w:p w14:paraId="2591E498">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Times New Roman" w:eastAsia="仿宋_GB2312" w:cs="仿宋_GB2312"/>
          <w:sz w:val="32"/>
          <w:szCs w:val="32"/>
          <w:lang w:val="en-US" w:eastAsia="zh-CN"/>
        </w:rPr>
        <w:t>申请商转公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应符合我市现行的公积金贷款有关规定，同时还须满足以下条件：</w:t>
      </w:r>
    </w:p>
    <w:p w14:paraId="7F9E0541">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（一）借款申请人须为商贷的借款人或配偶（配偶应为本套住房共有产权人）。</w:t>
      </w:r>
    </w:p>
    <w:p w14:paraId="64930FAD">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（二）借款申请人的商贷尚未结清。</w:t>
      </w:r>
    </w:p>
    <w:p w14:paraId="3FE367C8">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（三）所购住房已办妥《不动产权证书》或《房屋所有权证书》、《土地使用权证书》。</w:t>
      </w:r>
    </w:p>
    <w:p w14:paraId="3611C9B5">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（四）所购住房仅为原商贷银行设定抵押权登记且未设定其他抵押事项。</w:t>
      </w:r>
    </w:p>
    <w:p w14:paraId="3165603E">
      <w:pPr>
        <w:pStyle w:val="2"/>
        <w:jc w:val="both"/>
        <w:rPr>
          <w:rFonts w:hint="default"/>
          <w:color w:val="auto"/>
          <w:lang w:val="en-US" w:eastAsia="zh-CN"/>
        </w:rPr>
      </w:pPr>
      <w:r>
        <w:rPr>
          <w:rFonts w:hint="eastAsia" w:ascii="仿宋_GB2312" w:eastAsia="仿宋_GB2312" w:cs="仿宋_GB2312"/>
          <w:sz w:val="32"/>
          <w:szCs w:val="32"/>
          <w:lang w:val="en-US" w:eastAsia="zh-CN"/>
        </w:rPr>
        <w:t xml:space="preserve">    </w:t>
      </w:r>
      <w:r>
        <w:rPr>
          <w:rFonts w:hint="eastAsia" w:ascii="仿宋_GB2312" w:eastAsia="仿宋_GB2312" w:cs="仿宋_GB2312"/>
          <w:color w:val="auto"/>
          <w:sz w:val="32"/>
          <w:szCs w:val="32"/>
          <w:lang w:val="en-US" w:eastAsia="zh-CN"/>
        </w:rPr>
        <w:t>（五）</w:t>
      </w:r>
      <w:r>
        <w:rPr>
          <w:rFonts w:hint="eastAsia" w:ascii="仿宋_GB2312" w:hAnsi="Times New Roman" w:eastAsia="仿宋_GB2312" w:cs="仿宋_GB2312"/>
          <w:color w:val="auto"/>
          <w:kern w:val="2"/>
          <w:sz w:val="32"/>
          <w:szCs w:val="32"/>
          <w:lang w:val="en-US" w:eastAsia="zh-CN" w:bidi="ar-SA"/>
        </w:rPr>
        <w:t>原商业贷款已持续正常还款12个月及以上，当前处于正常还款状态，且</w:t>
      </w:r>
      <w:r>
        <w:rPr>
          <w:rFonts w:hint="eastAsia" w:ascii="仿宋_GB2312" w:eastAsia="仿宋_GB2312" w:cs="仿宋_GB2312"/>
          <w:color w:val="auto"/>
          <w:kern w:val="2"/>
          <w:sz w:val="32"/>
          <w:szCs w:val="32"/>
          <w:lang w:val="en-US" w:eastAsia="zh-CN" w:bidi="ar-SA"/>
        </w:rPr>
        <w:t>无</w:t>
      </w:r>
      <w:r>
        <w:rPr>
          <w:rFonts w:hint="eastAsia" w:ascii="仿宋_GB2312" w:hAnsi="Times New Roman" w:eastAsia="仿宋_GB2312" w:cs="仿宋_GB2312"/>
          <w:color w:val="auto"/>
          <w:kern w:val="2"/>
          <w:sz w:val="32"/>
          <w:szCs w:val="32"/>
          <w:lang w:val="en-US" w:eastAsia="zh-CN" w:bidi="ar-SA"/>
        </w:rPr>
        <w:t>历史逾期</w:t>
      </w:r>
      <w:r>
        <w:rPr>
          <w:rFonts w:hint="eastAsia" w:ascii="仿宋_GB2312" w:eastAsia="仿宋_GB2312" w:cs="仿宋_GB2312"/>
          <w:color w:val="auto"/>
          <w:kern w:val="2"/>
          <w:sz w:val="32"/>
          <w:szCs w:val="32"/>
          <w:lang w:val="en-US" w:eastAsia="zh-CN" w:bidi="ar-SA"/>
        </w:rPr>
        <w:t>记录。</w:t>
      </w:r>
    </w:p>
    <w:p w14:paraId="368DC99A">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Times New Roman" w:eastAsia="仿宋_GB2312" w:cs="仿宋_GB2312"/>
          <w:sz w:val="32"/>
          <w:szCs w:val="32"/>
          <w:lang w:val="en-US" w:eastAsia="zh-CN"/>
        </w:rPr>
        <w:t>商转公</w:t>
      </w:r>
      <w:r>
        <w:rPr>
          <w:rFonts w:hint="eastAsia" w:ascii="仿宋_GB2312" w:eastAsia="仿宋_GB2312" w:cs="仿宋_GB2312"/>
          <w:sz w:val="32"/>
          <w:szCs w:val="32"/>
          <w:lang w:val="en-US" w:eastAsia="zh-CN"/>
        </w:rPr>
        <w:t>组合</w:t>
      </w:r>
      <w:r>
        <w:rPr>
          <w:rFonts w:hint="eastAsia" w:ascii="仿宋_GB2312" w:hAnsi="Times New Roman" w:eastAsia="仿宋_GB2312" w:cs="仿宋_GB2312"/>
          <w:sz w:val="32"/>
          <w:szCs w:val="32"/>
          <w:lang w:val="en-US" w:eastAsia="zh-CN"/>
        </w:rPr>
        <w:t>贷款额度按我市现行公积金贷款政策执行且不得超出原商贷剩余本金（千元以上取整）。</w:t>
      </w:r>
    </w:p>
    <w:p w14:paraId="2EE7D15D">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Times New Roman" w:eastAsia="仿宋_GB2312" w:cs="仿宋_GB2312"/>
          <w:sz w:val="32"/>
          <w:szCs w:val="32"/>
          <w:lang w:val="en-US" w:eastAsia="zh-CN"/>
        </w:rPr>
        <w:t>商转公</w:t>
      </w:r>
      <w:r>
        <w:rPr>
          <w:rFonts w:hint="eastAsia" w:ascii="仿宋_GB2312" w:eastAsia="仿宋_GB2312" w:cs="仿宋_GB2312"/>
          <w:sz w:val="32"/>
          <w:szCs w:val="32"/>
          <w:lang w:val="en-US" w:eastAsia="zh-CN"/>
        </w:rPr>
        <w:t>组合</w:t>
      </w:r>
      <w:r>
        <w:rPr>
          <w:rFonts w:hint="eastAsia" w:ascii="仿宋_GB2312" w:hAnsi="Times New Roman" w:eastAsia="仿宋_GB2312" w:cs="仿宋_GB2312"/>
          <w:sz w:val="32"/>
          <w:szCs w:val="32"/>
          <w:lang w:val="en-US" w:eastAsia="zh-CN"/>
        </w:rPr>
        <w:t>贷款年限按我市现行公积金贷款政策执行且不得超出原商贷剩余年限（以年为单位计算）。</w:t>
      </w:r>
    </w:p>
    <w:p w14:paraId="5230556E">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Times New Roman" w:eastAsia="仿宋_GB2312" w:cs="仿宋_GB2312"/>
          <w:sz w:val="32"/>
          <w:szCs w:val="32"/>
          <w:lang w:val="en-US" w:eastAsia="zh-CN"/>
        </w:rPr>
        <w:t>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业务按下列程序办理：</w:t>
      </w:r>
    </w:p>
    <w:p w14:paraId="470BE939">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1.借款人申请。借款人（含配偶）提出商转公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申请，并如实提交如下资料：身份证、户口薄、婚姻证明、还款银行卡（I类储蓄卡）、个人信用报告（详细版）、《商业性个人住房借款抵押合同》、《不动产权证书》（《房屋所有权证书》和《土地使用权证书》）、契税完税凭证、近一年的还款明细。</w:t>
      </w:r>
    </w:p>
    <w:p w14:paraId="0067B8B3">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2.受理、</w:t>
      </w:r>
      <w:r>
        <w:rPr>
          <w:rFonts w:hint="eastAsia" w:ascii="仿宋_GB2312" w:eastAsia="仿宋_GB2312" w:cs="仿宋_GB2312"/>
          <w:sz w:val="32"/>
          <w:szCs w:val="32"/>
          <w:lang w:val="en-US" w:eastAsia="zh-CN"/>
        </w:rPr>
        <w:t>审查、</w:t>
      </w:r>
      <w:r>
        <w:rPr>
          <w:rFonts w:hint="eastAsia" w:ascii="仿宋_GB2312" w:hAnsi="Times New Roman" w:eastAsia="仿宋_GB2312" w:cs="仿宋_GB2312"/>
          <w:sz w:val="32"/>
          <w:szCs w:val="32"/>
          <w:lang w:val="en-US" w:eastAsia="zh-CN"/>
        </w:rPr>
        <w:t>签订借款抵押合同。</w:t>
      </w:r>
      <w:r>
        <w:rPr>
          <w:rFonts w:hint="eastAsia" w:ascii="仿宋_GB2312" w:eastAsia="仿宋_GB2312" w:cs="仿宋_GB2312"/>
          <w:sz w:val="32"/>
          <w:szCs w:val="32"/>
          <w:lang w:val="en-US" w:eastAsia="zh-CN"/>
        </w:rPr>
        <w:t>原商贷银行按照要求对贷款申请进行受理，</w:t>
      </w:r>
      <w:r>
        <w:rPr>
          <w:rFonts w:hint="eastAsia" w:ascii="仿宋_GB2312" w:hAnsi="Times New Roman" w:eastAsia="仿宋_GB2312" w:cs="仿宋_GB2312"/>
          <w:sz w:val="32"/>
          <w:szCs w:val="32"/>
          <w:lang w:val="en-US" w:eastAsia="zh-CN"/>
        </w:rPr>
        <w:t>中心进行审</w:t>
      </w:r>
      <w:r>
        <w:rPr>
          <w:rFonts w:hint="eastAsia" w:ascii="仿宋_GB2312" w:eastAsia="仿宋_GB2312" w:cs="仿宋_GB2312"/>
          <w:sz w:val="32"/>
          <w:szCs w:val="32"/>
          <w:lang w:val="en-US" w:eastAsia="zh-CN"/>
        </w:rPr>
        <w:t>查，审查通过的，签订借款抵押合同。审查不通过的，</w:t>
      </w:r>
      <w:r>
        <w:rPr>
          <w:rFonts w:hint="eastAsia" w:ascii="仿宋_GB2312" w:hAnsi="Times New Roman" w:eastAsia="仿宋_GB2312" w:cs="仿宋_GB2312"/>
          <w:sz w:val="32"/>
          <w:szCs w:val="32"/>
          <w:lang w:val="en-US" w:eastAsia="zh-CN"/>
        </w:rPr>
        <w:t>退回</w:t>
      </w:r>
      <w:r>
        <w:rPr>
          <w:rFonts w:hint="eastAsia" w:ascii="仿宋_GB2312" w:eastAsia="仿宋_GB2312" w:cs="仿宋_GB2312"/>
          <w:sz w:val="32"/>
          <w:szCs w:val="32"/>
          <w:lang w:val="en-US" w:eastAsia="zh-CN"/>
        </w:rPr>
        <w:t>受理</w:t>
      </w:r>
      <w:r>
        <w:rPr>
          <w:rFonts w:hint="eastAsia" w:ascii="仿宋_GB2312" w:hAnsi="Times New Roman" w:eastAsia="仿宋_GB2312" w:cs="仿宋_GB2312"/>
          <w:sz w:val="32"/>
          <w:szCs w:val="32"/>
          <w:lang w:val="en-US" w:eastAsia="zh-CN"/>
        </w:rPr>
        <w:t>并告知不通过的原因。</w:t>
      </w:r>
    </w:p>
    <w:p w14:paraId="3B9F054E">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default"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3.</w:t>
      </w:r>
      <w:r>
        <w:rPr>
          <w:rFonts w:hint="eastAsia" w:ascii="仿宋_GB2312" w:eastAsia="仿宋_GB2312" w:cs="仿宋_GB2312"/>
          <w:sz w:val="32"/>
          <w:szCs w:val="32"/>
          <w:lang w:val="en-US" w:eastAsia="zh-CN"/>
        </w:rPr>
        <w:t>审批、</w:t>
      </w:r>
      <w:r>
        <w:rPr>
          <w:rFonts w:hint="eastAsia" w:ascii="仿宋_GB2312" w:hAnsi="Times New Roman" w:eastAsia="仿宋_GB2312" w:cs="仿宋_GB2312"/>
          <w:color w:val="000000" w:themeColor="text1"/>
          <w:sz w:val="32"/>
          <w:szCs w:val="32"/>
          <w:lang w:val="en-US" w:eastAsia="zh-CN"/>
          <w14:textFill>
            <w14:solidFill>
              <w14:schemeClr w14:val="tx1"/>
            </w14:solidFill>
          </w14:textFill>
        </w:rPr>
        <w:t>办理</w:t>
      </w:r>
      <w:r>
        <w:rPr>
          <w:rFonts w:hint="eastAsia" w:ascii="仿宋_GB2312" w:eastAsia="仿宋_GB2312" w:cs="仿宋_GB2312"/>
          <w:color w:val="000000" w:themeColor="text1"/>
          <w:sz w:val="32"/>
          <w:szCs w:val="32"/>
          <w:lang w:val="en-US" w:eastAsia="zh-CN"/>
          <w14:textFill>
            <w14:solidFill>
              <w14:schemeClr w14:val="tx1"/>
            </w14:solidFill>
          </w14:textFill>
        </w:rPr>
        <w:t>抵押</w:t>
      </w:r>
      <w:r>
        <w:rPr>
          <w:rFonts w:hint="eastAsia" w:ascii="仿宋_GB2312" w:hAnsi="Times New Roman" w:eastAsia="仿宋_GB2312" w:cs="仿宋_GB2312"/>
          <w:color w:val="000000" w:themeColor="text1"/>
          <w:sz w:val="32"/>
          <w:szCs w:val="32"/>
          <w:lang w:val="en-US" w:eastAsia="zh-CN"/>
          <w14:textFill>
            <w14:solidFill>
              <w14:schemeClr w14:val="tx1"/>
            </w14:solidFill>
          </w14:textFill>
        </w:rPr>
        <w:t>登记手续</w:t>
      </w:r>
      <w:r>
        <w:rPr>
          <w:rFonts w:hint="eastAsia" w:asci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eastAsia="仿宋_GB2312" w:cs="仿宋_GB2312"/>
          <w:sz w:val="32"/>
          <w:szCs w:val="32"/>
          <w:lang w:val="en-US" w:eastAsia="zh-CN"/>
        </w:rPr>
        <w:t>中心进行审批，审批通过的，办</w:t>
      </w:r>
      <w:r>
        <w:rPr>
          <w:rFonts w:hint="eastAsia" w:ascii="仿宋_GB2312" w:eastAsia="仿宋_GB2312" w:cs="仿宋_GB2312"/>
          <w:color w:val="000000" w:themeColor="text1"/>
          <w:sz w:val="32"/>
          <w:szCs w:val="32"/>
          <w:lang w:val="en-US" w:eastAsia="zh-CN"/>
          <w14:textFill>
            <w14:solidFill>
              <w14:schemeClr w14:val="tx1"/>
            </w14:solidFill>
          </w14:textFill>
        </w:rPr>
        <w:t>理抵押登记手</w:t>
      </w:r>
      <w:r>
        <w:rPr>
          <w:rFonts w:hint="eastAsia" w:ascii="仿宋_GB2312" w:eastAsia="仿宋_GB2312" w:cs="仿宋_GB2312"/>
          <w:sz w:val="32"/>
          <w:szCs w:val="32"/>
          <w:lang w:val="en-US" w:eastAsia="zh-CN"/>
        </w:rPr>
        <w:t>续。审批不通过的，退回受理并告知不通过的原因。</w:t>
      </w:r>
    </w:p>
    <w:p w14:paraId="4192450D">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eastAsia="仿宋_GB2312" w:cs="仿宋_GB2312"/>
          <w:sz w:val="32"/>
          <w:szCs w:val="32"/>
          <w:lang w:val="en-US" w:eastAsia="zh-CN"/>
        </w:rPr>
        <w:t>4</w:t>
      </w:r>
      <w:r>
        <w:rPr>
          <w:rFonts w:hint="eastAsia" w:ascii="仿宋_GB2312" w:hAnsi="Times New Roman" w:eastAsia="仿宋_GB2312" w:cs="仿宋_GB2312"/>
          <w:sz w:val="32"/>
          <w:szCs w:val="32"/>
          <w:lang w:val="en-US" w:eastAsia="zh-CN"/>
        </w:rPr>
        <w:t>.发放贷款。符合贷款发放条件的，中心与借款申请人、银行提前约定放款日，约定日当天将贷款发放至银行账户。</w:t>
      </w:r>
    </w:p>
    <w:p w14:paraId="62FE03DA">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Times New Roman" w:eastAsia="仿宋_GB2312" w:cs="仿宋_GB2312"/>
          <w:sz w:val="32"/>
          <w:szCs w:val="32"/>
          <w:lang w:val="en-US" w:eastAsia="zh-CN"/>
        </w:rPr>
        <w:t>借款申请人在办理商转公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过程中，有下列影响抵押权实现行为之一的，中心有权不予继续受理商转公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业务、停止发放贷款或提前终止借款合同并要求借款人立即偿还全部贷款本息。</w:t>
      </w:r>
    </w:p>
    <w:p w14:paraId="31929B2B">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（一）对原抵押房屋设立居住权，设定其他抵押，原商贷银行不是唯一抵押权人的。</w:t>
      </w:r>
    </w:p>
    <w:p w14:paraId="16E3FD7E">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lang w:val="en-US" w:eastAsia="zh-CN"/>
        </w:rPr>
        <w:t>（二）原抵押房屋被依法查封、扣押、冻结的。</w:t>
      </w:r>
    </w:p>
    <w:p w14:paraId="634681B5">
      <w:pPr>
        <w:pStyle w:val="2"/>
        <w:jc w:val="both"/>
        <w:rPr>
          <w:rFonts w:hint="eastAsia" w:ascii="仿宋_GB2312" w:hAnsi="Times New Roman" w:eastAsia="仿宋_GB2312" w:cs="仿宋_GB2312"/>
          <w:sz w:val="32"/>
          <w:szCs w:val="32"/>
          <w:lang w:val="en-US" w:eastAsia="zh-CN"/>
        </w:rPr>
      </w:pPr>
      <w:r>
        <w:rPr>
          <w:rFonts w:hint="eastAsia" w:ascii="仿宋_GB2312" w:eastAsia="仿宋_GB2312" w:cs="仿宋_GB2312"/>
          <w:sz w:val="32"/>
          <w:szCs w:val="32"/>
          <w:lang w:val="en-US" w:eastAsia="zh-CN"/>
        </w:rPr>
        <w:t xml:space="preserve">    </w:t>
      </w:r>
      <w:r>
        <w:rPr>
          <w:rFonts w:hint="eastAsia" w:ascii="仿宋_GB2312" w:hAnsi="Times New Roman" w:eastAsia="仿宋_GB2312" w:cs="仿宋_GB2312"/>
          <w:sz w:val="32"/>
          <w:szCs w:val="32"/>
          <w:lang w:val="en-US" w:eastAsia="zh-CN"/>
        </w:rPr>
        <w:t>（</w:t>
      </w:r>
      <w:r>
        <w:rPr>
          <w:rFonts w:hint="eastAsia" w:ascii="仿宋_GB2312" w:hAnsi="Times New Roman" w:eastAsia="仿宋_GB2312" w:cs="仿宋_GB2312"/>
          <w:sz w:val="36"/>
          <w:szCs w:val="36"/>
          <w:lang w:val="en-US" w:eastAsia="zh-CN"/>
        </w:rPr>
        <w:t>三</w:t>
      </w:r>
      <w:r>
        <w:rPr>
          <w:rFonts w:hint="eastAsia" w:ascii="仿宋_GB2312" w:hAnsi="Times New Roman" w:eastAsia="仿宋_GB2312" w:cs="仿宋_GB2312"/>
          <w:sz w:val="32"/>
          <w:szCs w:val="32"/>
          <w:lang w:val="en-US" w:eastAsia="zh-CN"/>
        </w:rPr>
        <w:t>）其他影响中心抵押权实现的行为。</w:t>
      </w:r>
    </w:p>
    <w:p w14:paraId="7DE501E6">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Times New Roman" w:eastAsia="仿宋_GB2312" w:cs="仿宋_GB2312"/>
          <w:sz w:val="32"/>
          <w:szCs w:val="32"/>
          <w:lang w:val="en-US" w:eastAsia="zh-CN"/>
        </w:rPr>
        <w:t>商转公</w:t>
      </w:r>
      <w:r>
        <w:rPr>
          <w:rFonts w:hint="eastAsia" w:ascii="仿宋_GB2312" w:eastAsia="仿宋_GB2312" w:cs="仿宋_GB2312"/>
          <w:sz w:val="32"/>
          <w:szCs w:val="32"/>
          <w:lang w:val="en-US" w:eastAsia="zh-CN"/>
        </w:rPr>
        <w:t>组合贷款</w:t>
      </w:r>
      <w:r>
        <w:rPr>
          <w:rFonts w:hint="eastAsia" w:ascii="仿宋_GB2312" w:hAnsi="Times New Roman" w:eastAsia="仿宋_GB2312" w:cs="仿宋_GB2312"/>
          <w:sz w:val="32"/>
          <w:szCs w:val="32"/>
          <w:lang w:val="en-US" w:eastAsia="zh-CN"/>
        </w:rPr>
        <w:t>业务应当实行额度管理的原则予以开展。具体额度为：每年年初根据年度资金使用计划的</w:t>
      </w:r>
      <w:r>
        <w:rPr>
          <w:rFonts w:hint="eastAsia" w:ascii="仿宋_GB2312" w:hAnsi="Times New Roman" w:eastAsia="仿宋_GB2312" w:cs="仿宋_GB2312"/>
          <w:color w:val="auto"/>
          <w:sz w:val="32"/>
          <w:szCs w:val="32"/>
          <w:lang w:val="en-US" w:eastAsia="zh-CN"/>
        </w:rPr>
        <w:t>30%</w:t>
      </w:r>
      <w:r>
        <w:rPr>
          <w:rFonts w:hint="eastAsia" w:ascii="仿宋_GB2312" w:hAnsi="Times New Roman" w:eastAsia="仿宋_GB2312" w:cs="仿宋_GB2312"/>
          <w:sz w:val="32"/>
          <w:szCs w:val="32"/>
          <w:lang w:val="en-US" w:eastAsia="zh-CN"/>
        </w:rPr>
        <w:t>份额均分至每月，按月进行业务受理，当月额度使用完毕后，轮候至下月受理；当月额度节余资金，自动顺延至下月累计使用。当个贷率连续三个月低于85%（含）或资金充足时，中心可视情调整或取消额度管理。</w:t>
      </w:r>
    </w:p>
    <w:p w14:paraId="132EE47D">
      <w:pPr>
        <w:keepNext w:val="0"/>
        <w:keepLines w:val="0"/>
        <w:pageBreakBefore w:val="0"/>
        <w:widowControl w:val="0"/>
        <w:kinsoku w:val="0"/>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Times New Roman" w:eastAsia="仿宋_GB2312" w:cs="仿宋_GB2312"/>
          <w:sz w:val="32"/>
          <w:szCs w:val="32"/>
          <w:lang w:val="en-US" w:eastAsia="zh-CN"/>
        </w:rPr>
        <w:t xml:space="preserve">其他未尽事宜按照《洛阳市住房公积金个人住房贷款管理办法》及上级有关规定执行。 </w:t>
      </w:r>
    </w:p>
    <w:p w14:paraId="2CD23306">
      <w:pPr>
        <w:keepNext w:val="0"/>
        <w:keepLines w:val="0"/>
        <w:pageBreakBefore w:val="0"/>
        <w:widowControl w:val="0"/>
        <w:kinsoku/>
        <w:wordWrap/>
        <w:overflowPunct/>
        <w:topLinePunct w:val="0"/>
        <w:autoSpaceDE/>
        <w:autoSpaceDN/>
        <w:bidi w:val="0"/>
        <w:adjustRightInd/>
        <w:snapToGrid/>
        <w:spacing w:line="604" w:lineRule="exact"/>
        <w:ind w:firstLine="640" w:firstLineChars="200"/>
        <w:jc w:val="both"/>
        <w:textAlignment w:val="auto"/>
        <w:rPr>
          <w:rFonts w:hint="eastAsia" w:ascii="仿宋_GB2312" w:hAnsi="Times New Roman"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Times New Roman" w:eastAsia="仿宋_GB2312" w:cs="仿宋_GB2312"/>
          <w:sz w:val="32"/>
          <w:szCs w:val="32"/>
          <w:lang w:val="en-US" w:eastAsia="zh-CN"/>
        </w:rPr>
        <w:t>本办法自发布之日起实施。</w:t>
      </w:r>
    </w:p>
    <w:p w14:paraId="5966F7DC">
      <w:pPr>
        <w:pStyle w:val="9"/>
        <w:rPr>
          <w:rFonts w:hint="eastAsia" w:ascii="仿宋_GB2312" w:hAnsi="仿宋_GB2312" w:eastAsia="仿宋_GB2312" w:cs="仿宋_GB2312"/>
          <w:b w:val="0"/>
          <w:bCs w:val="0"/>
          <w:sz w:val="32"/>
          <w:szCs w:val="32"/>
          <w:lang w:val="en-US" w:eastAsia="zh-CN"/>
        </w:rPr>
      </w:pPr>
    </w:p>
    <w:p w14:paraId="4FEC695F">
      <w:pPr>
        <w:pStyle w:val="9"/>
        <w:rPr>
          <w:rFonts w:hint="eastAsia" w:ascii="仿宋_GB2312" w:hAnsi="仿宋_GB2312" w:eastAsia="仿宋_GB2312" w:cs="仿宋_GB2312"/>
          <w:b w:val="0"/>
          <w:bCs w:val="0"/>
          <w:sz w:val="32"/>
          <w:szCs w:val="32"/>
          <w:lang w:val="en-US" w:eastAsia="zh-CN"/>
        </w:rPr>
      </w:pPr>
    </w:p>
    <w:p w14:paraId="1BD9157A">
      <w:pPr>
        <w:pStyle w:val="2"/>
        <w:keepNext w:val="0"/>
        <w:keepLines w:val="0"/>
        <w:pageBreakBefore w:val="0"/>
        <w:widowControl w:val="0"/>
        <w:kinsoku/>
        <w:wordWrap/>
        <w:overflowPunct/>
        <w:topLinePunct w:val="0"/>
        <w:autoSpaceDE/>
        <w:autoSpaceDN/>
        <w:bidi w:val="0"/>
        <w:adjustRightInd/>
        <w:snapToGrid/>
        <w:spacing w:line="564" w:lineRule="exact"/>
        <w:jc w:val="both"/>
        <w:textAlignment w:val="auto"/>
        <w:rPr>
          <w:rFonts w:hint="eastAsia" w:ascii="仿宋_GB2312" w:eastAsia="仿宋_GB2312"/>
          <w:sz w:val="32"/>
          <w:szCs w:val="32"/>
          <w:lang w:val="en-US" w:eastAsia="zh-CN"/>
        </w:rPr>
      </w:pPr>
    </w:p>
    <w:p w14:paraId="43CF536B">
      <w:pPr>
        <w:pStyle w:val="2"/>
        <w:jc w:val="both"/>
        <w:rPr>
          <w:rFonts w:hint="eastAsia" w:ascii="仿宋_GB2312" w:eastAsia="仿宋_GB2312"/>
          <w:sz w:val="32"/>
          <w:szCs w:val="32"/>
          <w:lang w:val="en-US" w:eastAsia="zh-CN"/>
        </w:rPr>
      </w:pPr>
    </w:p>
    <w:sectPr>
      <w:footerReference r:id="rId3" w:type="default"/>
      <w:pgSz w:w="11906" w:h="16838"/>
      <w:pgMar w:top="1440" w:right="1576" w:bottom="1440"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长城小标宋体">
    <w:altName w:val="宋体"/>
    <w:panose1 w:val="02010609010101010101"/>
    <w:charset w:val="00"/>
    <w:family w:val="modern"/>
    <w:pitch w:val="default"/>
    <w:sig w:usb0="00000000" w:usb1="00000000" w:usb2="00000000" w:usb3="00000000" w:csb0="00040001" w:csb1="00000000"/>
  </w:font>
  <w:font w:name="方正小标宋_GBK">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F8862">
    <w:pPr>
      <w:pStyle w:val="6"/>
      <w:rPr>
        <w:sz w:val="28"/>
        <w:szCs w:val="44"/>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41050D">
                          <w:pPr>
                            <w:pStyle w:val="6"/>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r>
                            <w:rPr>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C41050D">
                    <w:pPr>
                      <w:pStyle w:val="6"/>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r>
                      <w:rPr>
                        <w:sz w:val="28"/>
                        <w:szCs w:val="44"/>
                      </w:rPr>
                      <w:t xml:space="preserve"> —</w:t>
                    </w:r>
                  </w:p>
                </w:txbxContent>
              </v:textbox>
            </v:shape>
          </w:pict>
        </mc:Fallback>
      </mc:AlternateContent>
    </w:r>
  </w:p>
  <w:p w14:paraId="5F7F838A">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4YTdlYTg4MTE3YWEyMDVjZTMzOWM3NGYyNGU3MDIifQ=="/>
  </w:docVars>
  <w:rsids>
    <w:rsidRoot w:val="F5FF305C"/>
    <w:rsid w:val="02D14884"/>
    <w:rsid w:val="084F6F27"/>
    <w:rsid w:val="0E4E5F0D"/>
    <w:rsid w:val="12285073"/>
    <w:rsid w:val="155D7127"/>
    <w:rsid w:val="16FBDFE0"/>
    <w:rsid w:val="1B870839"/>
    <w:rsid w:val="1C26513F"/>
    <w:rsid w:val="1FED7B2E"/>
    <w:rsid w:val="1FFF7777"/>
    <w:rsid w:val="20F85F56"/>
    <w:rsid w:val="22A11DAA"/>
    <w:rsid w:val="240C67E9"/>
    <w:rsid w:val="2A64465C"/>
    <w:rsid w:val="2B261911"/>
    <w:rsid w:val="2BDE9AF8"/>
    <w:rsid w:val="2BFF2AB9"/>
    <w:rsid w:val="307B35EA"/>
    <w:rsid w:val="31E3230A"/>
    <w:rsid w:val="33E04D53"/>
    <w:rsid w:val="33FF0E0E"/>
    <w:rsid w:val="34A730B3"/>
    <w:rsid w:val="3D9D2922"/>
    <w:rsid w:val="3FD009DD"/>
    <w:rsid w:val="3FFF5FD6"/>
    <w:rsid w:val="4BE03039"/>
    <w:rsid w:val="4E7E3887"/>
    <w:rsid w:val="50120F8D"/>
    <w:rsid w:val="51661E8A"/>
    <w:rsid w:val="5765752E"/>
    <w:rsid w:val="5F0C6BFA"/>
    <w:rsid w:val="5F69AA19"/>
    <w:rsid w:val="63004A6D"/>
    <w:rsid w:val="687F5954"/>
    <w:rsid w:val="691F3AD1"/>
    <w:rsid w:val="6A491431"/>
    <w:rsid w:val="74376C0A"/>
    <w:rsid w:val="74553995"/>
    <w:rsid w:val="7643629E"/>
    <w:rsid w:val="77573FA1"/>
    <w:rsid w:val="777FFD2B"/>
    <w:rsid w:val="77F1B5CB"/>
    <w:rsid w:val="7BEA71AF"/>
    <w:rsid w:val="7FEF04A2"/>
    <w:rsid w:val="9BCB557F"/>
    <w:rsid w:val="B5B8F1F1"/>
    <w:rsid w:val="BFD72E8C"/>
    <w:rsid w:val="DAFE78C8"/>
    <w:rsid w:val="DD7E17E0"/>
    <w:rsid w:val="ED0F5C08"/>
    <w:rsid w:val="ED632C16"/>
    <w:rsid w:val="EF3312FC"/>
    <w:rsid w:val="EF49B271"/>
    <w:rsid w:val="F5FF305C"/>
    <w:rsid w:val="F5FF933E"/>
    <w:rsid w:val="F72EEFFD"/>
    <w:rsid w:val="F77E97A0"/>
    <w:rsid w:val="F7FF94CE"/>
    <w:rsid w:val="FBCF1302"/>
    <w:rsid w:val="FCFCB5FD"/>
    <w:rsid w:val="FD7DF5E8"/>
    <w:rsid w:val="FED446B1"/>
    <w:rsid w:val="FF253679"/>
    <w:rsid w:val="FF6726D4"/>
    <w:rsid w:val="FF8BF21D"/>
    <w:rsid w:val="FFBBA51F"/>
    <w:rsid w:val="FFBEF6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sz w:val="44"/>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Subtitle"/>
    <w:basedOn w:val="1"/>
    <w:next w:val="1"/>
    <w:qFormat/>
    <w:uiPriority w:val="0"/>
    <w:pPr>
      <w:widowControl w:val="0"/>
      <w:adjustRightInd/>
      <w:snapToGrid/>
      <w:spacing w:before="240" w:after="60" w:line="312" w:lineRule="auto"/>
      <w:jc w:val="center"/>
      <w:outlineLvl w:val="1"/>
    </w:pPr>
    <w:rPr>
      <w:rFonts w:ascii="Cambria" w:hAnsi="Cambria" w:eastAsia="宋体" w:cs="Times New Roman"/>
      <w:b/>
      <w:bCs/>
      <w:kern w:val="28"/>
      <w:sz w:val="32"/>
      <w:szCs w:val="32"/>
    </w:rPr>
  </w:style>
  <w:style w:type="paragraph" w:styleId="9">
    <w:name w:val="Body Text 2"/>
    <w:basedOn w:val="1"/>
    <w:qFormat/>
    <w:uiPriority w:val="0"/>
    <w:pPr>
      <w:spacing w:after="120" w:afterLines="0" w:line="480" w:lineRule="auto"/>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22"/>
    <w:rPr>
      <w:b/>
      <w:bCs/>
    </w:rPr>
  </w:style>
  <w:style w:type="character" w:styleId="14">
    <w:name w:val="Emphasis"/>
    <w:basedOn w:val="12"/>
    <w:qFormat/>
    <w:uiPriority w:val="0"/>
  </w:style>
  <w:style w:type="character" w:styleId="15">
    <w:name w:val="Hyperlink"/>
    <w:basedOn w:val="12"/>
    <w:qFormat/>
    <w:uiPriority w:val="0"/>
    <w:rPr>
      <w:color w:val="000000"/>
      <w:u w:val="none"/>
    </w:rPr>
  </w:style>
  <w:style w:type="paragraph" w:customStyle="1" w:styleId="16">
    <w:name w:val="Default"/>
    <w:next w:val="8"/>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1682</Words>
  <Characters>1695</Characters>
  <Lines>0</Lines>
  <Paragraphs>0</Paragraphs>
  <TotalTime>11</TotalTime>
  <ScaleCrop>false</ScaleCrop>
  <LinksUpToDate>false</LinksUpToDate>
  <CharactersWithSpaces>1718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2022-11-24T15:41:00Z</dcterms:created>
  <dc:creator>orient</dc:creator>
  <cp:lastModifiedBy>沐煦</cp:lastModifiedBy>
  <cp:lastPrinted>2024-11-08T11:35:00Z</cp:lastPrinted>
  <dcterms:modified xsi:type="dcterms:W3CDTF">2025-09-23T13:29:34Z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C263F9E830BD4ED6A82E1D824ECDDAB3_13</vt:lpwstr>
  </property>
  <property fmtid="{D5CDD505-2E9C-101B-9397-08002B2CF9AE}" pid="4" name="KSOTemplateDocerSaveRecord">
    <vt:lpwstr>eyJoZGlkIjoiMzQ5Mzg5OGM5ODIzODM3NDVhMWM0Njc1MTEzMzVhYmYifQ==</vt:lpwstr>
  </property>
</Properties>
</file>