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F317E">
      <w:pPr>
        <w:adjustRightInd/>
        <w:snapToGrid/>
        <w:spacing w:after="0"/>
        <w:ind w:firstLine="0" w:firstLineChars="0"/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附件1</w:t>
      </w:r>
    </w:p>
    <w:p w14:paraId="6DC6AC4C">
      <w:pPr>
        <w:adjustRightInd/>
        <w:snapToGrid/>
        <w:spacing w:after="0"/>
        <w:ind w:firstLine="0" w:firstLineChars="0"/>
        <w:jc w:val="both"/>
        <w:rPr>
          <w:rFonts w:hint="default" w:eastAsia="方正小标宋简体" w:cs="Times New Roman"/>
          <w:bCs/>
          <w:sz w:val="44"/>
          <w:szCs w:val="44"/>
          <w:lang w:val="en-US" w:eastAsia="zh-CN"/>
        </w:rPr>
      </w:pPr>
    </w:p>
    <w:p w14:paraId="1AB6AF00">
      <w:pPr>
        <w:adjustRightInd/>
        <w:snapToGrid/>
        <w:spacing w:after="0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洛阳市中小</w:t>
      </w:r>
      <w:bookmarkStart w:id="7" w:name="_GoBack"/>
      <w:bookmarkEnd w:id="7"/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企业数字化转型城市试点</w:t>
      </w:r>
    </w:p>
    <w:p w14:paraId="5063E589">
      <w:pPr>
        <w:adjustRightInd/>
        <w:snapToGrid/>
        <w:spacing w:after="0"/>
        <w:ind w:firstLine="0" w:firstLineChars="0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工作方案</w:t>
      </w:r>
      <w:r>
        <w:rPr>
          <w:rFonts w:hint="eastAsia" w:eastAsia="方正小标宋简体" w:cs="Times New Roman"/>
          <w:bCs/>
          <w:sz w:val="44"/>
          <w:szCs w:val="44"/>
          <w:lang w:eastAsia="zh-CN"/>
        </w:rPr>
        <w:t>（</w:t>
      </w:r>
      <w:r>
        <w:rPr>
          <w:rFonts w:hint="eastAsia" w:eastAsia="方正小标宋简体" w:cs="Times New Roman"/>
          <w:bCs/>
          <w:sz w:val="44"/>
          <w:szCs w:val="44"/>
          <w:lang w:val="en-US" w:eastAsia="zh-CN"/>
        </w:rPr>
        <w:t>征求意见稿</w:t>
      </w:r>
      <w:r>
        <w:rPr>
          <w:rFonts w:hint="eastAsia" w:eastAsia="方正小标宋简体" w:cs="Times New Roman"/>
          <w:bCs/>
          <w:sz w:val="44"/>
          <w:szCs w:val="44"/>
          <w:lang w:eastAsia="zh-CN"/>
        </w:rPr>
        <w:t>）</w:t>
      </w:r>
    </w:p>
    <w:p w14:paraId="6AF53F80">
      <w:pPr>
        <w:pStyle w:val="28"/>
        <w:spacing w:line="560" w:lineRule="exact"/>
        <w:rPr>
          <w:rFonts w:hint="default" w:ascii="Times New Roman" w:hAnsi="Times New Roman" w:cs="Times New Roman"/>
        </w:rPr>
      </w:pPr>
    </w:p>
    <w:p w14:paraId="0C9935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为深入贯彻落实党中央、国务院关于支持中小企业创新发展、加快中小企业数字化转型系列决策部署，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加快推进洛阳市中小企业数字化转型城市试点工作，特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制定本方案。</w:t>
      </w:r>
    </w:p>
    <w:p w14:paraId="66B5128D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 w:bidi="ar"/>
        </w:rPr>
        <w:t>一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 w:bidi="ar"/>
        </w:rPr>
        <w:t>总体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目标</w:t>
      </w:r>
    </w:p>
    <w:p w14:paraId="1FF5800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两年试点期内，聚焦我市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轴承及通用零部件、铜铝及先进合金材料、电气及光电设备、化工材料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产品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等4个试点行业，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以提质、增效、降本、减存、绿色、安全为目标，推进中小企业数字化转型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升级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支撑带动全市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制造业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高质量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发展。</w:t>
      </w:r>
    </w:p>
    <w:p w14:paraId="3E62099F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中小企业数字化水平显著提高。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推动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 w:bidi="ar"/>
        </w:rPr>
        <w:t>4个试点行业460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家中小企业开展数字化改造，</w:t>
      </w:r>
      <w:r>
        <w:rPr>
          <w:rFonts w:hint="eastAsia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试点行业中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省级及以上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专精特新中小企业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实现改造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全覆盖</w:t>
      </w:r>
      <w:r>
        <w:rPr>
          <w:rFonts w:hint="eastAsia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规上工业企业“应改尽改”、规下工业企业“愿改尽改”。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改造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试点企业数字化水平</w:t>
      </w:r>
      <w:r>
        <w:rPr>
          <w:rFonts w:hint="eastAsia" w:cs="Times New Roman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达到二级及以上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，数字化水平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四级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的企业不少于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7B587DB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数字化服务供给能力稳步提升。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 w:bidi="ar"/>
        </w:rPr>
        <w:t>以中小企业数字化转型需求为导向，强化专业供给，遴选、培育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"/>
        </w:rPr>
        <w:t>40家以上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 w:bidi="ar"/>
        </w:rPr>
        <w:t>既懂行业又懂数字化的集成服务商和专业服务商，针对性开发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"/>
        </w:rPr>
        <w:t>60个以上行业属性强、赋能效果优的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“小快轻准”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产品和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解决方案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，全市数字化转型服务水平及能力不断增强。</w:t>
      </w:r>
    </w:p>
    <w:p w14:paraId="7B8D3CAF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数字化转型</w:t>
      </w:r>
      <w:r>
        <w:rPr>
          <w:rFonts w:hint="eastAsia" w:eastAsia="楷体_GB2312" w:cs="Times New Roman"/>
          <w:b/>
          <w:bCs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样板</w:t>
      </w: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spacing w:val="0"/>
          <w:sz w:val="32"/>
          <w:szCs w:val="32"/>
          <w:shd w:val="clear"/>
          <w:lang w:eastAsia="zh-CN" w:bidi="ar"/>
        </w:rPr>
        <w:t>效应更加突出。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-SA"/>
        </w:rPr>
        <w:t>强化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示范带动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-SA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打造智能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工厂、智能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车间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30个，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eastAsia="zh-CN" w:bidi="ar-SA"/>
        </w:rPr>
        <w:t>分行业遴选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25家数字化转型成效显著的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样板企业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作为中小企业“看样学样”的典范。充分发挥链主（龙头）企业的带动作用和产业集群的集聚效应，推动大中小企业融通发展，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探索形成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4个“链式”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2个</w:t>
      </w:r>
      <w:r>
        <w:rPr>
          <w:rFonts w:hint="eastAsia" w:cs="Times New Roman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集群</w:t>
      </w:r>
      <w:r>
        <w:rPr>
          <w:rFonts w:hint="eastAsia" w:cs="Times New Roman"/>
          <w:sz w:val="32"/>
          <w:szCs w:val="32"/>
          <w:lang w:val="en-US" w:eastAsia="zh-CN" w:bidi="ar"/>
        </w:rPr>
        <w:t>式”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转型典型案例，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辐射带动行业企业转型升级。</w:t>
      </w:r>
    </w:p>
    <w:p w14:paraId="7632FC76">
      <w:pPr>
        <w:snapToGrid/>
        <w:spacing w:after="0" w:line="600" w:lineRule="exact"/>
        <w:ind w:firstLine="0" w:firstLineChars="0"/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eastAsia="zh-CN"/>
        </w:rPr>
        <w:t>试点工作总体目标表</w:t>
      </w:r>
    </w:p>
    <w:tbl>
      <w:tblPr>
        <w:tblStyle w:val="21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7" w:type="dxa"/>
          <w:bottom w:w="0" w:type="dxa"/>
          <w:right w:w="17" w:type="dxa"/>
        </w:tblCellMar>
      </w:tblPr>
      <w:tblGrid>
        <w:gridCol w:w="1070"/>
        <w:gridCol w:w="1352"/>
        <w:gridCol w:w="4513"/>
        <w:gridCol w:w="733"/>
        <w:gridCol w:w="667"/>
      </w:tblGrid>
      <w:tr w14:paraId="6A6BB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9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主要目标数据</w:t>
            </w:r>
          </w:p>
        </w:tc>
      </w:tr>
      <w:tr w14:paraId="387E8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0B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1B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  <w:lang w:eastAsia="zh-CN"/>
              </w:rPr>
              <w:t>事项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BB61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 w:val="0"/>
                <w:sz w:val="28"/>
                <w:szCs w:val="28"/>
              </w:rPr>
              <w:t>合计</w:t>
            </w:r>
          </w:p>
        </w:tc>
      </w:tr>
      <w:tr w14:paraId="0671A8EC"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7ECB6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1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9F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拟改造</w:t>
            </w:r>
          </w:p>
          <w:p w14:paraId="47C10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企业</w:t>
            </w:r>
          </w:p>
        </w:tc>
        <w:tc>
          <w:tcPr>
            <w:tcW w:w="270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F96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拟改造规上工业中小企业数量（家）</w:t>
            </w:r>
          </w:p>
        </w:tc>
        <w:tc>
          <w:tcPr>
            <w:tcW w:w="44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E8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445</w:t>
            </w:r>
          </w:p>
        </w:tc>
        <w:tc>
          <w:tcPr>
            <w:tcW w:w="398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C0CD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460</w:t>
            </w:r>
          </w:p>
        </w:tc>
      </w:tr>
      <w:tr w14:paraId="3D576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0F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FF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BC3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拟改造规下工业中小企业数量（家）</w:t>
            </w:r>
          </w:p>
        </w:tc>
        <w:tc>
          <w:tcPr>
            <w:tcW w:w="44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1B5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8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0DE9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58F11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B5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17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拟改造企业中专精特新“小巨人”企业数量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2117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14:paraId="7154F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EF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6F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拟改造企业中专精特新中小企业数量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3E79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14:paraId="36AFB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12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5E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拟上云用云中小企业数量（家）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026C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460</w:t>
            </w:r>
          </w:p>
        </w:tc>
      </w:tr>
      <w:tr w14:paraId="51AA1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0F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46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拟打造“小快轻准”解决方案数量（个）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15DB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14:paraId="60CB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42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8D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拟建设数字化车间、智能车间数量（个）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DBFB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14:paraId="3BD6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B9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E1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拟打造数字化水平四级试点企业数量（家）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B0FC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14:paraId="15671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67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5F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拟遴选服务商数量（家）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5034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14:paraId="1454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309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其他目标数据</w:t>
            </w:r>
          </w:p>
        </w:tc>
      </w:tr>
      <w:tr w14:paraId="24DE8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D8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50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拟打造数字化改造样板企业数量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93D0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14:paraId="0FC36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BF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6C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拟培育省级及以上专精特新中小企业数量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9E99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14:paraId="21C81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1C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A4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拟培育中小企业“链式”数字化转型典型案例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模式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5C80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</w:t>
            </w:r>
          </w:p>
        </w:tc>
      </w:tr>
      <w:tr w14:paraId="1A08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A8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24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打造集群式数字化转型典型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案例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模式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5549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1667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exac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96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64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打造数字化转型金融创新产品数量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2E91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3037EDF0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、重点任务</w:t>
      </w:r>
    </w:p>
    <w:p w14:paraId="3F6E479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（一）扎实做好试点准备工作</w:t>
      </w:r>
    </w:p>
    <w:p w14:paraId="6A34FC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发布数字化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服务商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名录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坚持公开、公平、公正原则，通过自主申报、专家评审、社会公示等程序，面向全国遴选一批产品储备丰富、服务能力完善、集成能力强的数字化服务商，</w:t>
      </w:r>
      <w:r>
        <w:rPr>
          <w:rFonts w:hint="eastAsia" w:cs="Times New Roman"/>
          <w:sz w:val="32"/>
          <w:szCs w:val="32"/>
          <w:lang w:eastAsia="zh-CN" w:bidi="ar"/>
        </w:rPr>
        <w:t>形成数字化服务商名录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。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制定出台服务商管理办法，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根据企业评价反馈和转型服务成效，对数字化服务商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进行动态管理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。</w:t>
      </w:r>
    </w:p>
    <w:p w14:paraId="5036EB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2.建设公共服务平台。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建设洛阳市中小企业数字化转型公共服务平台，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提供企业申报、项目管理、项目实施跟踪、供需对接、政策解读等服务，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与国家级平台对接打通，实现试点工作全流程信息化管理。</w:t>
      </w:r>
    </w:p>
    <w:p w14:paraId="2A3D2873">
      <w:pPr>
        <w:snapToGrid/>
        <w:spacing w:after="0" w:line="600" w:lineRule="exact"/>
        <w:ind w:firstLine="620" w:firstLineChars="20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组建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数字化转型专家库。</w:t>
      </w:r>
      <w:r>
        <w:rPr>
          <w:rFonts w:hint="default" w:ascii="Times New Roman" w:hAnsi="Times New Roman" w:cs="Times New Roman"/>
          <w:sz w:val="32"/>
          <w:szCs w:val="32"/>
        </w:rPr>
        <w:t>面向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高校院所</w:t>
      </w:r>
      <w:r>
        <w:rPr>
          <w:rFonts w:hint="default" w:ascii="Times New Roman" w:hAnsi="Times New Roman" w:cs="Times New Roman"/>
          <w:sz w:val="32"/>
          <w:szCs w:val="32"/>
        </w:rPr>
        <w:t>、智库组织、行业协会和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eastAsia="zh-CN" w:bidi="ar-SA"/>
        </w:rPr>
        <w:t>链主（龙头）企业、</w:t>
      </w:r>
      <w:r>
        <w:rPr>
          <w:rFonts w:hint="default" w:ascii="Times New Roman" w:hAnsi="Times New Roman" w:cs="Times New Roman"/>
          <w:sz w:val="32"/>
          <w:szCs w:val="32"/>
        </w:rPr>
        <w:t>优质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中小</w:t>
      </w:r>
      <w:r>
        <w:rPr>
          <w:rFonts w:hint="default" w:ascii="Times New Roman" w:hAnsi="Times New Roman" w:cs="Times New Roman"/>
          <w:sz w:val="32"/>
          <w:szCs w:val="32"/>
        </w:rPr>
        <w:t>企业等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cs="Times New Roman"/>
          <w:sz w:val="32"/>
          <w:szCs w:val="32"/>
        </w:rPr>
        <w:t>，广泛征集智能制造、工业互联网、工业软件、工业大数据、网络安全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、人工智能、云计算</w:t>
      </w:r>
      <w:r>
        <w:rPr>
          <w:rFonts w:hint="default" w:ascii="Times New Roman" w:hAnsi="Times New Roman" w:cs="Times New Roman"/>
          <w:sz w:val="32"/>
          <w:szCs w:val="32"/>
        </w:rPr>
        <w:t>等领域的专家学者，组建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数字化转型专家库，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为试点工作的方案咨询、行业分析、标准制定、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样板遴选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、项目评审等关键环节提供智力支撑。</w:t>
      </w:r>
    </w:p>
    <w:p w14:paraId="63B245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（二）加快完成数字化改造任务</w:t>
      </w:r>
    </w:p>
    <w:p w14:paraId="20419A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4.明确试点改造企业名单。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以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lang w:val="en-US" w:eastAsia="zh-CN"/>
        </w:rPr>
        <w:t>4个试点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行业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lang w:eastAsia="zh-CN"/>
        </w:rPr>
        <w:t>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省级及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lang w:eastAsia="zh-CN"/>
        </w:rPr>
        <w:t>以上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专精特新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lang w:eastAsia="zh-CN"/>
        </w:rPr>
        <w:t>中小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企业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规上工业中小企业为主要对象，全面摸排企业的数字化转型现状及改造意愿，按照“一把手改造意愿强、生产经营管理稳定、具备数字化改造基础、样本易学易复制”等原则，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分批次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推动</w:t>
      </w:r>
      <w:r>
        <w:rPr>
          <w:rFonts w:hint="default" w:ascii="Times New Roman" w:hAnsi="Times New Roman" w:cs="Times New Roman"/>
          <w:sz w:val="32"/>
          <w:szCs w:val="32"/>
        </w:rPr>
        <w:t>460家试点企业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参与数字化改造，建立“一企一档”，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并依据实际情况动态调整试点企业名单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。</w:t>
      </w:r>
    </w:p>
    <w:p w14:paraId="149D57E4">
      <w:pPr>
        <w:snapToGrid/>
        <w:spacing w:after="0" w:line="600" w:lineRule="exact"/>
        <w:ind w:firstLine="620" w:firstLineChars="2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建立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“小快轻准”产品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资源池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eastAsia" w:cs="Times New Roman"/>
          <w:sz w:val="32"/>
          <w:szCs w:val="32"/>
          <w:lang w:eastAsia="zh-CN"/>
        </w:rPr>
        <w:t>鼓励</w:t>
      </w:r>
      <w:r>
        <w:rPr>
          <w:rFonts w:hint="default" w:ascii="Times New Roman" w:hAnsi="Times New Roman" w:cs="Times New Roman"/>
          <w:sz w:val="32"/>
          <w:szCs w:val="32"/>
        </w:rPr>
        <w:t>数字化服务商围绕产品生命周期数字化、生产</w:t>
      </w:r>
      <w:r>
        <w:rPr>
          <w:rFonts w:hint="eastAsia" w:cs="Times New Roman"/>
          <w:sz w:val="32"/>
          <w:szCs w:val="32"/>
          <w:lang w:eastAsia="zh-CN"/>
        </w:rPr>
        <w:t>执行</w:t>
      </w:r>
      <w:r>
        <w:rPr>
          <w:rFonts w:hint="default" w:ascii="Times New Roman" w:hAnsi="Times New Roman" w:cs="Times New Roman"/>
          <w:sz w:val="32"/>
          <w:szCs w:val="32"/>
        </w:rPr>
        <w:t>数字化、供应链数字化和</w:t>
      </w:r>
      <w:r>
        <w:rPr>
          <w:rFonts w:hint="eastAsia" w:cs="Times New Roman"/>
          <w:sz w:val="32"/>
          <w:szCs w:val="32"/>
          <w:lang w:eastAsia="zh-CN"/>
        </w:rPr>
        <w:t>管理决策</w:t>
      </w:r>
      <w:r>
        <w:rPr>
          <w:rFonts w:hint="default" w:ascii="Times New Roman" w:hAnsi="Times New Roman" w:cs="Times New Roman"/>
          <w:sz w:val="32"/>
          <w:szCs w:val="32"/>
        </w:rPr>
        <w:t>数字化等核心场景，开发一批低成本、轻量化、效果好、通用性强的“小快轻准”</w:t>
      </w:r>
      <w:r>
        <w:rPr>
          <w:rFonts w:hint="eastAsia" w:cs="Times New Roman"/>
          <w:sz w:val="32"/>
          <w:szCs w:val="32"/>
          <w:lang w:eastAsia="zh-CN"/>
        </w:rPr>
        <w:t>数字化</w:t>
      </w:r>
      <w:r>
        <w:rPr>
          <w:rFonts w:hint="default" w:ascii="Times New Roman" w:hAnsi="Times New Roman" w:cs="Times New Roman"/>
          <w:sz w:val="32"/>
          <w:szCs w:val="32"/>
        </w:rPr>
        <w:t>产品和解决方案</w:t>
      </w:r>
      <w:r>
        <w:rPr>
          <w:rFonts w:hint="eastAsia" w:cs="Times New Roman"/>
          <w:sz w:val="32"/>
          <w:szCs w:val="32"/>
          <w:lang w:eastAsia="zh-CN"/>
        </w:rPr>
        <w:t>，构建标准化“小快轻准”产品和解决方案资源池，并结合细分行业问题、需求和场景清单，分行业创建供需适配库</w:t>
      </w:r>
      <w:r>
        <w:rPr>
          <w:rFonts w:hint="default" w:ascii="Times New Roman" w:hAnsi="Times New Roman" w:cs="Times New Roman"/>
          <w:sz w:val="32"/>
          <w:szCs w:val="32"/>
        </w:rPr>
        <w:t>。</w:t>
      </w:r>
    </w:p>
    <w:p w14:paraId="34EAF7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6.“一企一策”推动数字化改造。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摸清企业需求，</w:t>
      </w:r>
      <w:r>
        <w:rPr>
          <w:rFonts w:hint="default" w:ascii="Times New Roman" w:hAnsi="Times New Roman" w:cs="Times New Roman"/>
          <w:sz w:val="32"/>
          <w:szCs w:val="32"/>
        </w:rPr>
        <w:t>组织数字化服务商深入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试点企业诊断</w:t>
      </w:r>
      <w:r>
        <w:rPr>
          <w:rFonts w:hint="default" w:ascii="Times New Roman" w:hAnsi="Times New Roman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理清</w:t>
      </w:r>
      <w:r>
        <w:rPr>
          <w:rFonts w:hint="default" w:ascii="Times New Roman" w:hAnsi="Times New Roman" w:cs="Times New Roman"/>
          <w:sz w:val="32"/>
          <w:szCs w:val="32"/>
        </w:rPr>
        <w:t>企业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数字化改造</w:t>
      </w:r>
      <w:r>
        <w:rPr>
          <w:rFonts w:hint="default" w:ascii="Times New Roman" w:hAnsi="Times New Roman" w:cs="Times New Roman"/>
          <w:sz w:val="32"/>
          <w:szCs w:val="32"/>
        </w:rPr>
        <w:t>痛点难点，形成诊断报告。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在此基础上，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明确改造目标、实施路径，选用适配的“小快轻准”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数字化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产品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，共同商定改造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方案，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一企一策”提供转型服务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加强动态跟踪管理，</w:t>
      </w:r>
      <w:r>
        <w:rPr>
          <w:rFonts w:hint="default" w:ascii="Times New Roman" w:hAnsi="Times New Roman" w:cs="Times New Roman"/>
          <w:sz w:val="32"/>
          <w:szCs w:val="32"/>
        </w:rPr>
        <w:t>依托中小企业数字化转型公共服务平台，建立“一企一档”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改造</w:t>
      </w:r>
      <w:r>
        <w:rPr>
          <w:rFonts w:hint="default" w:ascii="Times New Roman" w:hAnsi="Times New Roman" w:cs="Times New Roman"/>
          <w:sz w:val="32"/>
          <w:szCs w:val="32"/>
        </w:rPr>
        <w:t>档案，市县两级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协同跟进</w:t>
      </w:r>
      <w:r>
        <w:rPr>
          <w:rFonts w:hint="default" w:ascii="Times New Roman" w:hAnsi="Times New Roman" w:cs="Times New Roman"/>
          <w:sz w:val="32"/>
          <w:szCs w:val="32"/>
        </w:rPr>
        <w:t>企业数字化改造项目进度，督促企业加快项目完成。</w:t>
      </w:r>
    </w:p>
    <w:p w14:paraId="4F12C7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7.加大前沿技术推广应用。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加大人工智能、大数据、云计算等前沿技术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在中小企业视觉质检、参数优化、能耗管理、智能分拣等数字化改造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典型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场景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的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推广应用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cs="Times New Roman"/>
          <w:sz w:val="32"/>
          <w:szCs w:val="32"/>
        </w:rPr>
        <w:t>引导试点企业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将研发设计、经营管理、生产制造等核心业务系统向云端迁移，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使用云化的人财物产供销管理等软件，降低数字化运营成本，</w:t>
      </w:r>
      <w:r>
        <w:rPr>
          <w:rFonts w:hint="default" w:ascii="Times New Roman" w:hAnsi="Times New Roman" w:cs="Times New Roman"/>
          <w:sz w:val="32"/>
          <w:szCs w:val="32"/>
        </w:rPr>
        <w:t>实现试点企业上云用云全覆盖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。</w:t>
      </w:r>
    </w:p>
    <w:p w14:paraId="44AC89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（三）凝练数字化转型经验模式</w:t>
      </w:r>
    </w:p>
    <w:p w14:paraId="0BA76C0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8.打造细分行业转型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样板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cs="Times New Roman"/>
          <w:sz w:val="32"/>
          <w:szCs w:val="32"/>
        </w:rPr>
        <w:t>按照改造成效突出、投入产出比高、实施速度快、可复制性强等原则，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分行业遴选一批数字化转型</w:t>
      </w:r>
      <w:r>
        <w:rPr>
          <w:rFonts w:hint="eastAsia" w:cs="Times New Roman"/>
          <w:sz w:val="32"/>
          <w:szCs w:val="32"/>
          <w:lang w:val="en-US" w:eastAsia="zh-CN"/>
        </w:rPr>
        <w:t>样板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企业，</w:t>
      </w:r>
      <w:r>
        <w:rPr>
          <w:rFonts w:hint="eastAsia" w:cs="Times New Roman"/>
          <w:sz w:val="32"/>
          <w:szCs w:val="32"/>
          <w:lang w:val="en-US" w:eastAsia="zh-CN"/>
        </w:rPr>
        <w:t>打造一批智能车间（工厂），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通过组织现场观摩、开展对标提升、编印标杆案例集等方式，推广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样板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企业转型经验，引导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同行业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中小企业“看样学样”，放大试点效应，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实现</w:t>
      </w:r>
      <w:r>
        <w:rPr>
          <w:rFonts w:hint="default" w:ascii="Times New Roman" w:hAnsi="Times New Roman" w:cs="Times New Roman"/>
          <w:sz w:val="32"/>
          <w:szCs w:val="32"/>
        </w:rPr>
        <w:t>“试成一批、带动一片”。</w:t>
      </w:r>
    </w:p>
    <w:p w14:paraId="270EA5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9.探索“</w:t>
      </w:r>
      <w:bookmarkStart w:id="0" w:name="_Hlk205113931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链式”“集群式”转型新模式</w:t>
      </w:r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cs="Times New Roman"/>
          <w:sz w:val="32"/>
          <w:szCs w:val="32"/>
        </w:rPr>
        <w:t>支持细分行业龙头</w:t>
      </w:r>
      <w:r>
        <w:rPr>
          <w:rFonts w:hint="eastAsia" w:cs="Times New Roman"/>
          <w:sz w:val="32"/>
          <w:szCs w:val="32"/>
          <w:lang w:eastAsia="zh-CN"/>
        </w:rPr>
        <w:t>（链主）</w:t>
      </w:r>
      <w:r>
        <w:rPr>
          <w:rFonts w:hint="default" w:ascii="Times New Roman" w:hAnsi="Times New Roman" w:cs="Times New Roman"/>
          <w:sz w:val="32"/>
          <w:szCs w:val="32"/>
        </w:rPr>
        <w:t>企业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加快工业互联网平台建设，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共享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解决方案和工具包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，引导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带动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上下游中小企业融群入链、主动改造</w:t>
      </w:r>
      <w:r>
        <w:rPr>
          <w:rFonts w:hint="default" w:ascii="Times New Roman" w:hAnsi="Times New Roman" w:cs="Times New Roman"/>
          <w:sz w:val="32"/>
          <w:szCs w:val="32"/>
        </w:rPr>
        <w:t>。以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先进制造业集群、</w:t>
      </w:r>
      <w:r>
        <w:rPr>
          <w:rFonts w:hint="default" w:ascii="Times New Roman" w:hAnsi="Times New Roman" w:cs="Times New Roman"/>
          <w:sz w:val="32"/>
          <w:szCs w:val="32"/>
        </w:rPr>
        <w:t>中小企业特色产业集群等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cs="Times New Roman"/>
          <w:sz w:val="32"/>
          <w:szCs w:val="32"/>
        </w:rPr>
        <w:t>载体，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加快园区新型基础设施规模化应用，探索推广集采集销、共享工厂等协同转型新模式，带动中小企业数字化水平整体提升。</w:t>
      </w:r>
    </w:p>
    <w:p w14:paraId="17058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10.遴选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高水平“小快轻准”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产品。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以试点期间企业改造情况为主要依据，重点面向生产制造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环节领域，遴选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一批应用效果优的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高水平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“小快轻准”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数字化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产品，加强宣传推广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。</w:t>
      </w:r>
    </w:p>
    <w:p w14:paraId="401674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（四）构建全新赋能数转生态</w:t>
      </w:r>
    </w:p>
    <w:p w14:paraId="1E6E03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11.建强数字化转型人才队伍。</w:t>
      </w:r>
      <w:r>
        <w:rPr>
          <w:rFonts w:hint="default" w:ascii="Times New Roman" w:hAnsi="Times New Roman" w:cs="Times New Roman"/>
          <w:sz w:val="32"/>
          <w:szCs w:val="32"/>
        </w:rPr>
        <w:t>分类制定培训方案，提高培训的针对性和实效性。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推动企业主要负责人树牢数字化思维理念，强化企业数字化改造“一把手”工程意识；加强对管理人员的数字化培训，</w:t>
      </w:r>
      <w:r>
        <w:rPr>
          <w:rFonts w:hint="default" w:ascii="Times New Roman" w:hAnsi="Times New Roman" w:cs="Times New Roman"/>
          <w:sz w:val="32"/>
          <w:szCs w:val="32"/>
        </w:rPr>
        <w:t>为每家试点企业培养一名数字化转型专员，负责协调和推动本企业数字化转型</w:t>
      </w:r>
      <w:r>
        <w:rPr>
          <w:rFonts w:hint="default" w:ascii="Times New Roman" w:hAnsi="Times New Roman" w:cs="Times New Roman"/>
          <w:kern w:val="2"/>
          <w:sz w:val="32"/>
          <w:szCs w:val="32"/>
          <w:lang w:bidi="ar-SA"/>
        </w:rPr>
        <w:t>组织</w:t>
      </w:r>
      <w:r>
        <w:rPr>
          <w:rFonts w:hint="default" w:ascii="Times New Roman" w:hAnsi="Times New Roman" w:cs="Times New Roman"/>
          <w:sz w:val="32"/>
          <w:szCs w:val="32"/>
        </w:rPr>
        <w:t>策划工作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；分级分类组织开展技术骨干培训，为企业一线操作工人提供现场跟班实训，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保障一线人员“愿用、会用、用得好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。</w:t>
      </w:r>
    </w:p>
    <w:p w14:paraId="03852D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12.拓宽数字化转型融资渠道。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鼓励金融机构结合试点企业需求，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bidi="ar"/>
        </w:rPr>
        <w:t>创新信用评估与风险控制机制，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eastAsia="zh-CN" w:bidi="ar"/>
        </w:rPr>
        <w:t>为试点企业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bidi="ar"/>
        </w:rPr>
        <w:t>量身定制特色金融产品与服务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eastAsia="zh-CN" w:bidi="ar"/>
        </w:rPr>
        <w:t>，切实降低中小企业数字化转型成本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bidi="ar"/>
        </w:rPr>
        <w:t>。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eastAsia="zh-CN" w:bidi="ar"/>
        </w:rPr>
        <w:t>组织开展融资对接会、银企洽谈会等，推动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金融机构积极开展对接服务，主动将金融政策、金融产品、金融服务送达企业。</w:t>
      </w:r>
    </w:p>
    <w:p w14:paraId="4D8A76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（五）强化流程监管验收</w:t>
      </w:r>
    </w:p>
    <w:p w14:paraId="6E37F5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13.做好全流程综合服务。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委托第三方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机构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提供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试点工作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咨询、数字化改造和项目评测验收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、专项审计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等各阶段的全流程综合服务，对试点企业、服务商进行监督管理、指导和评价，保障数字化改造项目按要求高质量推进。</w:t>
      </w:r>
    </w:p>
    <w:p w14:paraId="7075A3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14.做好试点企业评测验收工作。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遵循“成熟一批，</w:t>
      </w:r>
      <w:r>
        <w:rPr>
          <w:rFonts w:hint="default" w:ascii="Times New Roman" w:hAnsi="Times New Roman" w:cs="Times New Roman"/>
          <w:sz w:val="32"/>
          <w:szCs w:val="32"/>
          <w:lang w:val="en-US" w:eastAsia="zh-CN" w:bidi="ar"/>
        </w:rPr>
        <w:t>评测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验收一批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”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原则，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企业数字化改造完成后，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组织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第三方机构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bidi="ar"/>
        </w:rPr>
        <w:t>按照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工信部发布的最新版《中小企业数字化水平评测指标》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进行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项目验收，评定企业改造后的数字化水平等级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，并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组织开展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专项审计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cs="Times New Roman"/>
          <w:sz w:val="32"/>
          <w:szCs w:val="32"/>
          <w:lang w:val="en-US" w:eastAsia="zh-CN" w:bidi="ar"/>
        </w:rPr>
        <w:t>评测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验收与审计结果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作为试点企业奖补资金兑现、数字化服务商绩效评价的主要依据。</w:t>
      </w:r>
    </w:p>
    <w:p w14:paraId="7EEF2A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15.加强资金使用监管。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中央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财政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资金和地方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财政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资金统筹使用，共同支持中小企业数字化转型试点工作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对弄虚作假行为，收回已拨付资金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按照规定进行处理。加强对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政策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资金的绩效管理，确立绩效目标、实施绩效跟踪和绩效评价。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建立财政资金直达快享机制，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对资金分配、拨付等各环节进行全过程监督，确保财政资金落地落实。</w:t>
      </w:r>
    </w:p>
    <w:p w14:paraId="5D9DCB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（六）加大资金保障力度</w:t>
      </w:r>
    </w:p>
    <w:p w14:paraId="3AAE9A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16.支持试点企业数字化改造。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对</w:t>
      </w:r>
      <w:r>
        <w:rPr>
          <w:rStyle w:val="26"/>
          <w:rFonts w:hint="default" w:ascii="Times New Roman" w:hAnsi="Times New Roman" w:eastAsia="仿宋_GB2312" w:cs="Times New Roman"/>
        </w:rPr>
        <w:t>试点企业</w:t>
      </w:r>
      <w:r>
        <w:rPr>
          <w:rStyle w:val="26"/>
          <w:rFonts w:hint="default" w:ascii="Times New Roman" w:hAnsi="Times New Roman" w:eastAsia="仿宋_GB2312" w:cs="Times New Roman"/>
          <w:lang w:val="en-US" w:eastAsia="zh-CN"/>
        </w:rPr>
        <w:t>发生的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spacing w:val="0"/>
          <w:kern w:val="2"/>
          <w:sz w:val="32"/>
          <w:szCs w:val="32"/>
        </w:rPr>
        <w:t>与数字化改造相关的软件、云服务支出，网关、路由等必要的数据采集传输设备支出</w:t>
      </w:r>
      <w:r>
        <w:rPr>
          <w:rFonts w:hint="default" w:ascii="Times New Roman" w:hAnsi="Times New Roman" w:cs="Times New Roman"/>
          <w:i w:val="0"/>
          <w:iCs w:val="0"/>
          <w:caps w:val="0"/>
          <w:snapToGrid/>
          <w:spacing w:val="0"/>
          <w:kern w:val="2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spacing w:val="0"/>
          <w:kern w:val="2"/>
          <w:sz w:val="32"/>
          <w:szCs w:val="32"/>
          <w:lang w:val="en-US" w:eastAsia="zh-CN"/>
        </w:rPr>
        <w:t>给予最高不超过50%的补贴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</w:rPr>
        <w:t>。根据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</w:rPr>
        <w:t>改造完成后的数字化水平等级</w:t>
      </w:r>
      <w:r>
        <w:rPr>
          <w:rFonts w:hint="eastAsia" w:cs="Times New Roman"/>
          <w:snapToGrid/>
          <w:kern w:val="2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给予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</w:rPr>
        <w:t>二级、三级、四级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企业最高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</w:rPr>
        <w:t>不超过30万元、50万元和70万元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的后补助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</w:rPr>
        <w:t>。</w:t>
      </w:r>
    </w:p>
    <w:p w14:paraId="03D629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napToGrid/>
          <w:kern w:val="2"/>
          <w:sz w:val="32"/>
          <w:szCs w:val="32"/>
          <w:lang w:val="en-US" w:eastAsia="zh-CN" w:bidi="ar"/>
        </w:rPr>
      </w:pPr>
      <w:r>
        <w:rPr>
          <w:rFonts w:hint="eastAsia" w:cs="Times New Roman"/>
          <w:b/>
          <w:bCs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.支持中小企业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数字化转型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公共服务平台建设。</w:t>
      </w:r>
      <w:r>
        <w:rPr>
          <w:rFonts w:hint="default" w:ascii="Times New Roman" w:hAnsi="Times New Roman" w:cs="Times New Roman"/>
          <w:i w:val="0"/>
          <w:iCs w:val="0"/>
          <w:caps w:val="0"/>
          <w:snapToGrid/>
          <w:spacing w:val="0"/>
          <w:kern w:val="2"/>
          <w:sz w:val="32"/>
          <w:szCs w:val="32"/>
          <w:lang w:val="en-US" w:eastAsia="zh-CN" w:bidi="ar"/>
          <w14:ligatures w14:val="standardContextual"/>
        </w:rPr>
        <w:t>委托第三方机构建设</w:t>
      </w:r>
      <w:r>
        <w:rPr>
          <w:rFonts w:hint="default" w:ascii="Times New Roman" w:hAnsi="Times New Roman" w:cs="Times New Roman"/>
          <w:snapToGrid/>
          <w:kern w:val="2"/>
          <w:sz w:val="32"/>
          <w:szCs w:val="32"/>
          <w:lang w:eastAsia="zh-CN" w:bidi="ar"/>
        </w:rPr>
        <w:t>中小企业数字化转型公共服务平台，为试点企业提供线上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bidi="ar"/>
        </w:rPr>
        <w:t>申报、供需对接、过程监管、改造验收</w:t>
      </w:r>
      <w:r>
        <w:rPr>
          <w:rFonts w:hint="eastAsia" w:cs="Times New Roman"/>
          <w:snapToGrid/>
          <w:kern w:val="2"/>
          <w:sz w:val="32"/>
          <w:szCs w:val="32"/>
          <w:lang w:eastAsia="zh-CN" w:bidi="ar"/>
        </w:rPr>
        <w:t>、资金申报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bidi="ar"/>
        </w:rPr>
        <w:t>等</w:t>
      </w:r>
      <w:r>
        <w:rPr>
          <w:rFonts w:hint="default" w:ascii="Times New Roman" w:hAnsi="Times New Roman" w:cs="Times New Roman"/>
          <w:snapToGrid/>
          <w:kern w:val="2"/>
          <w:sz w:val="32"/>
          <w:szCs w:val="32"/>
          <w:lang w:eastAsia="zh-CN" w:bidi="ar"/>
        </w:rPr>
        <w:t>全流程服务，</w:t>
      </w:r>
      <w:r>
        <w:rPr>
          <w:rFonts w:hint="eastAsia" w:cs="Times New Roman"/>
          <w:snapToGrid/>
          <w:kern w:val="2"/>
          <w:sz w:val="32"/>
          <w:szCs w:val="32"/>
          <w:lang w:eastAsia="zh-CN" w:bidi="ar"/>
        </w:rPr>
        <w:t>具体采购金额以财政审核为准。</w:t>
      </w:r>
    </w:p>
    <w:p w14:paraId="69B584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Style w:val="23"/>
          <w:rFonts w:hint="default" w:ascii="Times New Roman" w:hAnsi="Times New Roman" w:cs="Times New Roman"/>
          <w:snapToGrid/>
          <w:kern w:val="2"/>
          <w:sz w:val="32"/>
          <w:szCs w:val="32"/>
          <w:lang w:val="en-US" w:eastAsia="zh-CN" w:bidi="ar"/>
        </w:rPr>
      </w:pPr>
      <w:r>
        <w:rPr>
          <w:rFonts w:hint="eastAsia" w:cs="Times New Roman"/>
          <w:b/>
          <w:bCs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.支持全流程综合服务。</w:t>
      </w:r>
      <w:r>
        <w:rPr>
          <w:rStyle w:val="23"/>
          <w:rFonts w:hint="default" w:ascii="Times New Roman" w:hAnsi="Times New Roman" w:cstheme="minorBidi"/>
          <w:snapToGrid/>
          <w:kern w:val="2"/>
          <w:sz w:val="32"/>
          <w:szCs w:val="32"/>
          <w:lang w:val="en-US" w:eastAsia="zh-CN" w:bidi="ar"/>
        </w:rPr>
        <w:t>委托</w:t>
      </w:r>
      <w:r>
        <w:rPr>
          <w:rStyle w:val="23"/>
          <w:rFonts w:hint="default" w:ascii="Times New Roman" w:hAnsi="Times New Roman" w:cs="Times New Roman"/>
          <w:snapToGrid/>
          <w:kern w:val="2"/>
          <w:sz w:val="32"/>
          <w:szCs w:val="32"/>
          <w:lang w:val="en-US" w:eastAsia="zh-CN" w:bidi="ar"/>
        </w:rPr>
        <w:t>第三方机构对试点建设工作提供</w:t>
      </w:r>
      <w:r>
        <w:rPr>
          <w:rStyle w:val="23"/>
          <w:rFonts w:hint="eastAsia" w:cs="Times New Roman"/>
          <w:snapToGrid/>
          <w:kern w:val="2"/>
          <w:sz w:val="32"/>
          <w:szCs w:val="32"/>
          <w:lang w:val="en-US" w:eastAsia="zh-CN" w:bidi="ar"/>
        </w:rPr>
        <w:t>智库支撑，负责试点企业和服务商的管理、指导和评价，项目组织管理以及各类制度文件编制、各类标准及指南研制等全流程</w:t>
      </w:r>
      <w:r>
        <w:rPr>
          <w:rStyle w:val="23"/>
          <w:rFonts w:hint="default" w:ascii="Times New Roman" w:hAnsi="Times New Roman" w:cs="Times New Roman"/>
          <w:snapToGrid/>
          <w:kern w:val="2"/>
          <w:sz w:val="32"/>
          <w:szCs w:val="32"/>
          <w:lang w:val="en-US" w:eastAsia="zh-CN" w:bidi="ar"/>
        </w:rPr>
        <w:t>咨询和监管服务</w:t>
      </w:r>
      <w:r>
        <w:rPr>
          <w:rStyle w:val="23"/>
          <w:rFonts w:hint="eastAsia" w:cs="Times New Roman"/>
          <w:snapToGrid/>
          <w:kern w:val="2"/>
          <w:sz w:val="32"/>
          <w:szCs w:val="32"/>
          <w:lang w:val="en-US" w:eastAsia="zh-CN" w:bidi="ar"/>
        </w:rPr>
        <w:t>等；</w:t>
      </w:r>
      <w:r>
        <w:rPr>
          <w:rFonts w:hint="default" w:ascii="Times New Roman" w:hAnsi="Times New Roman" w:cs="Times New Roman"/>
          <w:snapToGrid/>
          <w:kern w:val="2"/>
          <w:sz w:val="32"/>
          <w:szCs w:val="32"/>
          <w:lang w:eastAsia="zh-CN" w:bidi="ar"/>
        </w:rPr>
        <w:t>在企业数字化改造完成后，</w:t>
      </w:r>
      <w:r>
        <w:rPr>
          <w:rFonts w:hint="default" w:ascii="Times New Roman" w:hAnsi="Times New Roman" w:cs="Times New Roman"/>
          <w:snapToGrid/>
          <w:kern w:val="2"/>
          <w:sz w:val="32"/>
          <w:szCs w:val="32"/>
          <w:lang w:bidi="ar"/>
        </w:rPr>
        <w:t>委托第三方机构开展数字化水平等级评测和改造验收工作</w:t>
      </w:r>
      <w:r>
        <w:rPr>
          <w:rFonts w:hint="eastAsia" w:cs="Times New Roman"/>
          <w:snapToGrid/>
          <w:kern w:val="2"/>
          <w:sz w:val="32"/>
          <w:szCs w:val="32"/>
          <w:lang w:eastAsia="zh-CN" w:bidi="ar"/>
        </w:rPr>
        <w:t>，并委托具有资质的</w:t>
      </w:r>
      <w:r>
        <w:rPr>
          <w:rFonts w:hint="default" w:ascii="Times New Roman" w:hAnsi="Times New Roman" w:cs="Times New Roman"/>
          <w:snapToGrid/>
          <w:kern w:val="2"/>
          <w:sz w:val="32"/>
          <w:szCs w:val="32"/>
          <w:lang w:eastAsia="zh-CN" w:bidi="ar"/>
        </w:rPr>
        <w:t>会计师事务所</w:t>
      </w:r>
      <w:r>
        <w:rPr>
          <w:rStyle w:val="23"/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 w:bidi="ar"/>
        </w:rPr>
        <w:t>对企业数字化改造情况进行专项审计</w:t>
      </w:r>
      <w:r>
        <w:rPr>
          <w:rStyle w:val="23"/>
          <w:rFonts w:hint="eastAsia" w:cs="Times New Roman"/>
          <w:snapToGrid/>
          <w:kern w:val="2"/>
          <w:sz w:val="32"/>
          <w:szCs w:val="32"/>
          <w:lang w:eastAsia="zh-CN" w:bidi="ar"/>
        </w:rPr>
        <w:t>。各类服务采购金额以财政审核为准</w:t>
      </w:r>
      <w:r>
        <w:rPr>
          <w:rStyle w:val="23"/>
          <w:rFonts w:hint="default" w:ascii="Times New Roman" w:hAnsi="Times New Roman" w:cs="Times New Roman"/>
          <w:snapToGrid/>
          <w:kern w:val="2"/>
          <w:sz w:val="32"/>
          <w:szCs w:val="32"/>
          <w:lang w:val="en-US" w:eastAsia="zh-CN" w:bidi="ar"/>
        </w:rPr>
        <w:t>。</w:t>
      </w:r>
    </w:p>
    <w:p w14:paraId="537316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Style w:val="26"/>
          <w:rFonts w:hint="default" w:ascii="Times New Roman" w:hAnsi="Times New Roman" w:eastAsia="仿宋_GB2312" w:cs="Times New Roman"/>
          <w:lang w:bidi="ar"/>
        </w:rPr>
      </w:pPr>
      <w:r>
        <w:rPr>
          <w:rFonts w:hint="eastAsia" w:cs="Times New Roman"/>
          <w:b/>
          <w:bCs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.支持数字化人才培训和各类产业活动。</w:t>
      </w:r>
      <w:r>
        <w:rPr>
          <w:rStyle w:val="26"/>
          <w:rFonts w:hint="default" w:ascii="Times New Roman" w:hAnsi="Times New Roman" w:eastAsia="仿宋_GB2312" w:cs="Times New Roman"/>
          <w:lang w:eastAsia="zh-CN" w:bidi="ar"/>
        </w:rPr>
        <w:t>分类开展数字化培训不少于</w:t>
      </w:r>
      <w:r>
        <w:rPr>
          <w:rStyle w:val="26"/>
          <w:rFonts w:hint="default" w:ascii="Times New Roman" w:hAnsi="Times New Roman" w:eastAsia="仿宋_GB2312" w:cs="Times New Roman"/>
          <w:lang w:val="en-US" w:eastAsia="zh-CN" w:bidi="ar"/>
        </w:rPr>
        <w:t>5场</w:t>
      </w:r>
      <w:r>
        <w:rPr>
          <w:rStyle w:val="26"/>
          <w:rFonts w:hint="default" w:ascii="Times New Roman" w:hAnsi="Times New Roman" w:eastAsia="仿宋_GB2312" w:cs="Times New Roman"/>
          <w:lang w:eastAsia="zh-CN" w:bidi="ar"/>
        </w:rPr>
        <w:t>，组织</w:t>
      </w:r>
      <w:r>
        <w:rPr>
          <w:rStyle w:val="26"/>
          <w:rFonts w:hint="default" w:eastAsia="仿宋_GB2312" w:cs="Times New Roman"/>
          <w:lang w:eastAsia="zh-CN" w:bidi="ar"/>
        </w:rPr>
        <w:t>开展</w:t>
      </w:r>
      <w:r>
        <w:rPr>
          <w:rStyle w:val="26"/>
          <w:rFonts w:hint="default" w:ascii="Times New Roman" w:hAnsi="Times New Roman" w:eastAsia="仿宋_GB2312" w:cs="Times New Roman"/>
          <w:lang w:eastAsia="zh-CN" w:bidi="ar"/>
        </w:rPr>
        <w:t>政策宣贯、产销对接、外出考察、观摩交流等各类产业活动，总费用不超过</w:t>
      </w:r>
      <w:r>
        <w:rPr>
          <w:rStyle w:val="26"/>
          <w:rFonts w:hint="eastAsia" w:cs="Times New Roman"/>
          <w:lang w:val="en-US" w:eastAsia="zh-CN" w:bidi="ar"/>
        </w:rPr>
        <w:t>150</w:t>
      </w:r>
      <w:r>
        <w:rPr>
          <w:rStyle w:val="26"/>
          <w:rFonts w:hint="default" w:ascii="Times New Roman" w:hAnsi="Times New Roman" w:eastAsia="仿宋_GB2312" w:cs="Times New Roman"/>
          <w:lang w:val="en-US" w:eastAsia="zh-CN" w:bidi="ar"/>
        </w:rPr>
        <w:t>万元。</w:t>
      </w:r>
    </w:p>
    <w:p w14:paraId="4C181941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三、实施计划</w:t>
      </w:r>
    </w:p>
    <w:p w14:paraId="39CBA1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（一）筹备阶段（2025年</w:t>
      </w:r>
      <w:r>
        <w:rPr>
          <w:rFonts w:hint="eastAsia" w:eastAsia="楷体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月底前）</w:t>
      </w:r>
    </w:p>
    <w:p w14:paraId="26EC01A9">
      <w:pPr>
        <w:snapToGrid/>
        <w:spacing w:after="0" w:line="600" w:lineRule="exact"/>
        <w:ind w:firstLine="620" w:firstLineChars="2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组建工作专班，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</w:rPr>
        <w:t>编制工作方案</w:t>
      </w:r>
      <w:r>
        <w:rPr>
          <w:rFonts w:hint="default" w:ascii="Times New Roman" w:hAnsi="Times New Roman" w:cs="Times New Roman"/>
          <w:bCs w:val="0"/>
          <w:sz w:val="32"/>
          <w:szCs w:val="32"/>
          <w:lang w:eastAsia="zh-CN"/>
        </w:rPr>
        <w:t>、资金管理办法，明确任务目标、工作举措等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</w:rPr>
        <w:t>；</w:t>
      </w:r>
      <w:r>
        <w:rPr>
          <w:rFonts w:hint="default" w:ascii="Times New Roman" w:hAnsi="Times New Roman" w:cs="Times New Roman"/>
          <w:bCs w:val="0"/>
          <w:sz w:val="32"/>
          <w:szCs w:val="32"/>
          <w:lang w:eastAsia="zh-CN"/>
        </w:rPr>
        <w:t>组建数字化转型专家库，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</w:rPr>
        <w:t>遴选数字化服务商，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val="en-US" w:eastAsia="zh-CN"/>
        </w:rPr>
        <w:t>确定第一批试点企业名单；</w:t>
      </w:r>
      <w:r>
        <w:rPr>
          <w:rFonts w:hint="default" w:ascii="Times New Roman" w:hAnsi="Times New Roman" w:cs="Times New Roman"/>
          <w:bCs w:val="0"/>
          <w:sz w:val="32"/>
          <w:szCs w:val="32"/>
          <w:lang w:val="en-US" w:eastAsia="zh-CN"/>
        </w:rPr>
        <w:t>召开试点工作启动会、专题培训会等，加强政策宣贯。</w:t>
      </w:r>
    </w:p>
    <w:p w14:paraId="47974D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（二）实施阶段（202</w:t>
      </w:r>
      <w:r>
        <w:rPr>
          <w:rFonts w:hint="eastAsia" w:eastAsia="楷体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年</w:t>
      </w:r>
      <w:r>
        <w:rPr>
          <w:rFonts w:hint="eastAsia" w:eastAsia="楷体_GB2312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月—202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年</w:t>
      </w:r>
      <w:r>
        <w:rPr>
          <w:rFonts w:hint="eastAsia" w:eastAsia="楷体_GB2312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月）</w:t>
      </w:r>
    </w:p>
    <w:p w14:paraId="55D8660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</w:pP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202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1月—202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月。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推动服务商深入第一批试点企业开展咨询诊断，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摸清企业需求，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形成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诊断报告、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改造方案，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全面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启动实施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改造工作；明确第二批试点企业名单。</w:t>
      </w:r>
    </w:p>
    <w:p w14:paraId="5EBFF2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textAlignment w:val="auto"/>
        <w:rPr>
          <w:rFonts w:hint="default" w:ascii="Times New Roman" w:hAnsi="Times New Roman" w:cs="Times New Roman"/>
          <w:sz w:val="32"/>
          <w:szCs w:val="32"/>
          <w:shd w:val="clear"/>
        </w:rPr>
      </w:pP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202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年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月—202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月。组织开展第一批试点企业改造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评测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验收工作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开展奖补资金兑现工作；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组织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服务商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与第二批试点企业对接，推动第二批试点企业实施数字化改造；</w:t>
      </w:r>
      <w:r>
        <w:rPr>
          <w:rFonts w:hint="default" w:ascii="Times New Roman" w:hAnsi="Times New Roman" w:cs="Times New Roman"/>
          <w:sz w:val="32"/>
          <w:szCs w:val="32"/>
        </w:rPr>
        <w:t>对实施期第一年试点工作进行总结，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开展绩效自评，并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接受工信部、省工信厅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中期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绩效评估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；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明确第三批试点企业名单</w:t>
      </w:r>
      <w:r>
        <w:rPr>
          <w:rFonts w:hint="default" w:ascii="Times New Roman" w:hAnsi="Times New Roman" w:cs="Times New Roman"/>
          <w:sz w:val="32"/>
          <w:szCs w:val="32"/>
          <w:shd w:val="clear"/>
        </w:rPr>
        <w:t>。</w:t>
      </w:r>
    </w:p>
    <w:p w14:paraId="295B7082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strike/>
          <w:spacing w:val="0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20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26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11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月—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2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027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月。组织开展第二批试点企业改造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评测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验收工作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开展奖补资金兑现工作；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组织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服务商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与第三批试点企业对接，推动第三批试点企业实施数字化改造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。</w:t>
      </w:r>
    </w:p>
    <w:p w14:paraId="2388891F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4.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2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027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月—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2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027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月。组织开展第三批试点企业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评测验收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工作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开展奖补资金兑现工作；遴选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转型样板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企业、“链式”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“集群式”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转型案例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、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高水平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“小快轻准”</w:t>
      </w:r>
      <w:r>
        <w:rPr>
          <w:rFonts w:hint="eastAsia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数字化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产品等，总结提炼中小企业数字化转型经验。</w:t>
      </w:r>
    </w:p>
    <w:p w14:paraId="0D583B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（三）总结阶段（2027年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月—2027年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月）</w:t>
      </w:r>
    </w:p>
    <w:p w14:paraId="2F6E1F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对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城市</w:t>
      </w:r>
      <w:r>
        <w:rPr>
          <w:rFonts w:hint="default" w:ascii="Times New Roman" w:hAnsi="Times New Roman" w:cs="Times New Roman"/>
          <w:sz w:val="32"/>
          <w:szCs w:val="32"/>
        </w:rPr>
        <w:t>试点工作进行总结，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按要求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开展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绩效自评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-SA"/>
          <w14:ligatures w14:val="standardContextual"/>
        </w:rPr>
        <w:t>；接受省级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中小企业主管部门的复核，进一步查漏补缺、完善提升；</w:t>
      </w:r>
      <w:r>
        <w:rPr>
          <w:rFonts w:hint="default" w:ascii="Times New Roman" w:hAnsi="Times New Roman" w:cs="Times New Roman"/>
          <w:sz w:val="32"/>
          <w:szCs w:val="32"/>
        </w:rPr>
        <w:t>做好财政部、工业和信息化部终期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验收</w:t>
      </w:r>
      <w:r>
        <w:rPr>
          <w:rFonts w:hint="default" w:ascii="Times New Roman" w:hAnsi="Times New Roman" w:cs="Times New Roman"/>
          <w:sz w:val="32"/>
          <w:szCs w:val="32"/>
        </w:rPr>
        <w:t>工作。</w:t>
      </w:r>
    </w:p>
    <w:p w14:paraId="6718316B">
      <w:pPr>
        <w:snapToGrid/>
        <w:spacing w:after="0" w:line="600" w:lineRule="exact"/>
        <w:ind w:firstLine="620" w:firstLineChars="200"/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四、保障措施</w:t>
      </w:r>
      <w:bookmarkStart w:id="1" w:name="_Toc197465198"/>
      <w:bookmarkStart w:id="2" w:name="_Toc1478003132"/>
      <w:bookmarkStart w:id="3" w:name="_Toc1620130505"/>
      <w:bookmarkStart w:id="4" w:name="_Toc10589"/>
      <w:bookmarkStart w:id="5" w:name="_Toc198307656"/>
      <w:bookmarkStart w:id="6" w:name="_Toc198395785"/>
    </w:p>
    <w:p w14:paraId="1A80CE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（一）加强组织</w:t>
      </w:r>
      <w:bookmarkEnd w:id="1"/>
      <w:bookmarkEnd w:id="2"/>
      <w:bookmarkEnd w:id="3"/>
      <w:bookmarkEnd w:id="4"/>
      <w:bookmarkEnd w:id="5"/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领导</w:t>
      </w:r>
      <w:bookmarkEnd w:id="6"/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 w:bidi="ar"/>
        </w:rPr>
        <w:t>强化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 w:bidi="ar"/>
        </w:rPr>
        <w:t>市县联动，成立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 w:bidi="ar"/>
        </w:rPr>
        <w:t>由市长任</w:t>
      </w:r>
      <w:r>
        <w:rPr>
          <w:rFonts w:hint="eastAsia" w:cs="Times New Roman"/>
          <w:b w:val="0"/>
          <w:bCs w:val="0"/>
          <w:sz w:val="32"/>
          <w:szCs w:val="32"/>
          <w:lang w:eastAsia="zh-CN" w:bidi="ar"/>
        </w:rPr>
        <w:t>组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 w:bidi="ar"/>
        </w:rPr>
        <w:t>长的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中小企业数字化转型城市试点工作专班，</w:t>
      </w:r>
      <w:r>
        <w:rPr>
          <w:rFonts w:hint="default" w:ascii="Times New Roman" w:hAnsi="Times New Roman" w:cs="Times New Roman"/>
          <w:sz w:val="32"/>
          <w:szCs w:val="32"/>
          <w:lang w:bidi="ar"/>
        </w:rPr>
        <w:t>高位统筹试点工作规划、政策协同与资源配置。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各县区根据全市总体部署，结合行业分布及企业转型需求，细化工作计划，明确重点任务、工作措施，建立试点企业名单，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加强政策宣贯力度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推动企业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加快改造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进度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。</w:t>
      </w:r>
    </w:p>
    <w:p w14:paraId="67992E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（二）完善工作机制。</w:t>
      </w:r>
      <w:r>
        <w:rPr>
          <w:rFonts w:hint="default" w:ascii="Times New Roman" w:hAnsi="Times New Roman" w:cs="Times New Roman"/>
          <w:bCs w:val="0"/>
          <w:kern w:val="2"/>
          <w:sz w:val="32"/>
          <w:szCs w:val="32"/>
          <w:lang w:eastAsia="zh-CN" w:bidi="ar"/>
        </w:rPr>
        <w:t>定期召开工作会议，深入了解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各县区、数字化服务商改造进度和目标任务完成情况，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对试点工作推进过程中存在的困难和问题进行分析评估，并予以协调解决，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督促各单位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严格落实责任，确保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"/>
          <w14:ligatures w14:val="standardContextual"/>
        </w:rPr>
        <w:t>按照时间节点高标准完成目标任务。</w:t>
      </w:r>
    </w:p>
    <w:p w14:paraId="6EC8DE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营造良好氛围。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广泛开展各类宣传活动，</w:t>
      </w:r>
      <w:r>
        <w:rPr>
          <w:rFonts w:hint="default" w:ascii="Times New Roman" w:hAnsi="Times New Roman" w:cs="Times New Roman"/>
          <w:sz w:val="32"/>
          <w:szCs w:val="32"/>
        </w:rPr>
        <w:t>详细解读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试点工作的任务目标、工作举措、</w:t>
      </w:r>
      <w:r>
        <w:rPr>
          <w:rFonts w:hint="default" w:ascii="Times New Roman" w:hAnsi="Times New Roman" w:cs="Times New Roman"/>
          <w:sz w:val="32"/>
          <w:szCs w:val="32"/>
        </w:rPr>
        <w:t>扶持政策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cs="Times New Roman"/>
          <w:sz w:val="32"/>
          <w:szCs w:val="32"/>
        </w:rPr>
        <w:t>，调动企业参与试点工作的积极性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加大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  <w14:ligatures w14:val="standardContextual"/>
        </w:rPr>
        <w:t>标杆企业、典型案例等宣传力度，引导中小企业对照标杆完善提升；组织开展形式丰富的培训会、对接会、观摩会、交流会等，促进数字化服务商与试点企业交流合作。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lang w:val="en-US" w:eastAsia="zh-CN" w:bidi="ar"/>
          <w14:ligatures w14:val="standardContextual"/>
        </w:rPr>
        <w:t>加强数据安全监管，服务商在为企业进行数字化改造时签订保密协议，确保企业数据安全。压实企业安全防护主体责任，督促指导企业加强数据安全管理。</w:t>
      </w:r>
    </w:p>
    <w:p w14:paraId="5FA315F0">
      <w:pPr>
        <w:spacing w:line="240" w:lineRule="auto"/>
        <w:ind w:firstLine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本政策措施有效期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2年，自试点工作结束自动失效。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1418" w:gutter="0"/>
      <w:pgNumType w:fmt="decimal"/>
      <w:cols w:space="425" w:num="1"/>
      <w:docGrid w:type="linesAndChars" w:linePitch="577" w:charSpace="-21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26AA021-EB9B-455F-A35B-45D92409D5B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C7395113-05B9-4A16-B6A2-C87C14CEBB0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BB29072-89FA-4B8B-A29C-649D77CCAF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070DC8BA-1006-46B8-8124-2B30C90CCF5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C0167657-886B-4380-AF2C-E4120DCED64F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46FF7B9F-3BA1-43B1-9911-363A1FF41A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4176F3C6-B886-4CDA-A707-0DC019F1636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86701593-FB23-465C-B91B-F565FE423A2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128304AD-438D-4337-A5B8-69354182671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F1EBC">
    <w:pPr>
      <w:pStyle w:val="1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4A366F">
                          <w:pPr>
                            <w:pStyle w:val="14"/>
                            <w:rPr>
                              <w:rFonts w:ascii="宋体" w:hAnsi="宋体" w:eastAsia="宋体"/>
                              <w:sz w:val="1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4A366F">
                    <w:pPr>
                      <w:pStyle w:val="14"/>
                      <w:rPr>
                        <w:rFonts w:ascii="宋体" w:hAnsi="宋体" w:eastAsia="宋体"/>
                        <w:sz w:val="18"/>
                      </w:rPr>
                    </w:pPr>
                    <w:r>
                      <w:rPr>
                        <w:rFonts w:ascii="宋体" w:hAnsi="宋体" w:eastAsia="宋体"/>
                        <w:sz w:val="1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1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1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702AD">
    <w:pPr>
      <w:pStyle w:val="1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3E25B">
    <w:pPr>
      <w:pStyle w:val="1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0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01EAF">
    <w:pPr>
      <w:pStyle w:val="1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3A07F">
    <w:pPr>
      <w:pStyle w:val="1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45D45">
    <w:pPr>
      <w:pStyle w:val="1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isplayBackgroundShape w:val="1"/>
  <w:embedTrueTypeFonts/>
  <w:bordersDoNotSurroundHeader w:val="0"/>
  <w:bordersDoNotSurroundFooter w:val="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 w:val="1"/>
  <w:documentProtection w:enforcement="0"/>
  <w:defaultTabStop w:val="420"/>
  <w:drawingGridHorizontalSpacing w:val="100"/>
  <w:drawingGridVerticalSpacing w:val="577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489"/>
    <w:rsid w:val="00040899"/>
    <w:rsid w:val="000B7C3C"/>
    <w:rsid w:val="000F6B96"/>
    <w:rsid w:val="001067CD"/>
    <w:rsid w:val="0012410F"/>
    <w:rsid w:val="00167986"/>
    <w:rsid w:val="001B1631"/>
    <w:rsid w:val="002208EC"/>
    <w:rsid w:val="00242CBA"/>
    <w:rsid w:val="002679D6"/>
    <w:rsid w:val="00267B4B"/>
    <w:rsid w:val="002A7C81"/>
    <w:rsid w:val="00322F7A"/>
    <w:rsid w:val="00325947"/>
    <w:rsid w:val="00336E73"/>
    <w:rsid w:val="003375BE"/>
    <w:rsid w:val="00357655"/>
    <w:rsid w:val="00360A68"/>
    <w:rsid w:val="004014CC"/>
    <w:rsid w:val="00410B5D"/>
    <w:rsid w:val="0047134B"/>
    <w:rsid w:val="004824B6"/>
    <w:rsid w:val="00493A07"/>
    <w:rsid w:val="00544E9D"/>
    <w:rsid w:val="005929F5"/>
    <w:rsid w:val="00666686"/>
    <w:rsid w:val="006720C5"/>
    <w:rsid w:val="006B49EF"/>
    <w:rsid w:val="006E2826"/>
    <w:rsid w:val="007268A8"/>
    <w:rsid w:val="00751457"/>
    <w:rsid w:val="007A3B2A"/>
    <w:rsid w:val="007A6E09"/>
    <w:rsid w:val="00807E85"/>
    <w:rsid w:val="00821A81"/>
    <w:rsid w:val="00845399"/>
    <w:rsid w:val="00851BAD"/>
    <w:rsid w:val="008A6CCB"/>
    <w:rsid w:val="008E10DF"/>
    <w:rsid w:val="008F610C"/>
    <w:rsid w:val="009A69D1"/>
    <w:rsid w:val="009B309A"/>
    <w:rsid w:val="009D4B8E"/>
    <w:rsid w:val="00A04B00"/>
    <w:rsid w:val="00A24B95"/>
    <w:rsid w:val="00A342E8"/>
    <w:rsid w:val="00A36DDB"/>
    <w:rsid w:val="00A67362"/>
    <w:rsid w:val="00A735C3"/>
    <w:rsid w:val="00AD0572"/>
    <w:rsid w:val="00AF57C9"/>
    <w:rsid w:val="00B32A72"/>
    <w:rsid w:val="00B40BE8"/>
    <w:rsid w:val="00B41A10"/>
    <w:rsid w:val="00B420C5"/>
    <w:rsid w:val="00B81321"/>
    <w:rsid w:val="00C159F7"/>
    <w:rsid w:val="00C363A4"/>
    <w:rsid w:val="00C6214F"/>
    <w:rsid w:val="00C86465"/>
    <w:rsid w:val="00CD3C40"/>
    <w:rsid w:val="00D47D0D"/>
    <w:rsid w:val="00D74491"/>
    <w:rsid w:val="00D85C2D"/>
    <w:rsid w:val="00DF1F53"/>
    <w:rsid w:val="00DF6192"/>
    <w:rsid w:val="00E0437B"/>
    <w:rsid w:val="00E37040"/>
    <w:rsid w:val="00E473DD"/>
    <w:rsid w:val="00E56EF1"/>
    <w:rsid w:val="00E57489"/>
    <w:rsid w:val="00E63E26"/>
    <w:rsid w:val="00E72EC5"/>
    <w:rsid w:val="00E85CAF"/>
    <w:rsid w:val="00EB39CA"/>
    <w:rsid w:val="00ED72E1"/>
    <w:rsid w:val="00EE1D1A"/>
    <w:rsid w:val="00EE2376"/>
    <w:rsid w:val="00EE24F6"/>
    <w:rsid w:val="00FA15F1"/>
    <w:rsid w:val="00FA34AA"/>
    <w:rsid w:val="00FB3ED8"/>
    <w:rsid w:val="00FD2AD0"/>
    <w:rsid w:val="0F3C876D"/>
    <w:rsid w:val="0F5F345A"/>
    <w:rsid w:val="10915B06"/>
    <w:rsid w:val="13FFD7A3"/>
    <w:rsid w:val="1FB3005B"/>
    <w:rsid w:val="1FFF76AC"/>
    <w:rsid w:val="233D7657"/>
    <w:rsid w:val="27E7A9DC"/>
    <w:rsid w:val="295FF50A"/>
    <w:rsid w:val="2D96D108"/>
    <w:rsid w:val="2DF80AD7"/>
    <w:rsid w:val="2FFA3365"/>
    <w:rsid w:val="39FDDC46"/>
    <w:rsid w:val="3BB6B4ED"/>
    <w:rsid w:val="3BFBD188"/>
    <w:rsid w:val="3FAD999C"/>
    <w:rsid w:val="3FF8398D"/>
    <w:rsid w:val="40183150"/>
    <w:rsid w:val="437DAA5B"/>
    <w:rsid w:val="49FD92E3"/>
    <w:rsid w:val="4B5825A4"/>
    <w:rsid w:val="50110472"/>
    <w:rsid w:val="53FE1909"/>
    <w:rsid w:val="5BCB3556"/>
    <w:rsid w:val="5CF78368"/>
    <w:rsid w:val="5ECA90C1"/>
    <w:rsid w:val="5EEBDB92"/>
    <w:rsid w:val="5EFFF5F5"/>
    <w:rsid w:val="5F473AA7"/>
    <w:rsid w:val="5F7734B7"/>
    <w:rsid w:val="5F7CDB6C"/>
    <w:rsid w:val="5FBF4630"/>
    <w:rsid w:val="63AFF306"/>
    <w:rsid w:val="677CED3C"/>
    <w:rsid w:val="6AA7024D"/>
    <w:rsid w:val="6AE7BF91"/>
    <w:rsid w:val="6BFC8290"/>
    <w:rsid w:val="72D97B9F"/>
    <w:rsid w:val="7357A3BB"/>
    <w:rsid w:val="73C6435C"/>
    <w:rsid w:val="76DFDBA8"/>
    <w:rsid w:val="76F5DD25"/>
    <w:rsid w:val="77EFE7B5"/>
    <w:rsid w:val="77FDA72A"/>
    <w:rsid w:val="7ABC8BCA"/>
    <w:rsid w:val="7B9E3874"/>
    <w:rsid w:val="7BFFB060"/>
    <w:rsid w:val="7BFFC2B7"/>
    <w:rsid w:val="7CB7E12E"/>
    <w:rsid w:val="7CF71751"/>
    <w:rsid w:val="7CFFA8AF"/>
    <w:rsid w:val="7D376700"/>
    <w:rsid w:val="7DAE310A"/>
    <w:rsid w:val="7DBEAC3D"/>
    <w:rsid w:val="7DEF9DB9"/>
    <w:rsid w:val="7DF76D94"/>
    <w:rsid w:val="7E5F3A6F"/>
    <w:rsid w:val="7EDB5240"/>
    <w:rsid w:val="7EFFE160"/>
    <w:rsid w:val="7F0CA3A2"/>
    <w:rsid w:val="7F39E6A4"/>
    <w:rsid w:val="7F7C1B5B"/>
    <w:rsid w:val="7FBD1DFE"/>
    <w:rsid w:val="7FBDFE4C"/>
    <w:rsid w:val="7FC91A9F"/>
    <w:rsid w:val="7FD53137"/>
    <w:rsid w:val="7FDBE641"/>
    <w:rsid w:val="7FE5098D"/>
    <w:rsid w:val="7FE7EBF5"/>
    <w:rsid w:val="7FEE9A7B"/>
    <w:rsid w:val="7FF75B78"/>
    <w:rsid w:val="7FFF0A36"/>
    <w:rsid w:val="8FEF8580"/>
    <w:rsid w:val="8FFF78F3"/>
    <w:rsid w:val="9AFF2817"/>
    <w:rsid w:val="9BFE8FCE"/>
    <w:rsid w:val="9FBF36F7"/>
    <w:rsid w:val="A37F13CE"/>
    <w:rsid w:val="A52DA2A4"/>
    <w:rsid w:val="A54D2A3D"/>
    <w:rsid w:val="AA7FAC27"/>
    <w:rsid w:val="AB3E879E"/>
    <w:rsid w:val="AFAF9F15"/>
    <w:rsid w:val="AFC74EA5"/>
    <w:rsid w:val="AFFFEC18"/>
    <w:rsid w:val="BBF98597"/>
    <w:rsid w:val="BDF578BD"/>
    <w:rsid w:val="BF6FF5F9"/>
    <w:rsid w:val="BFB3E9F3"/>
    <w:rsid w:val="CAAFB90F"/>
    <w:rsid w:val="CFDF808A"/>
    <w:rsid w:val="D39D04E0"/>
    <w:rsid w:val="D6F73633"/>
    <w:rsid w:val="D77C93EF"/>
    <w:rsid w:val="DBBFC671"/>
    <w:rsid w:val="DF6E911A"/>
    <w:rsid w:val="DFEFB663"/>
    <w:rsid w:val="E5FF0332"/>
    <w:rsid w:val="E7F9F1B2"/>
    <w:rsid w:val="EDC54D53"/>
    <w:rsid w:val="EE7B7A59"/>
    <w:rsid w:val="EEE7BF10"/>
    <w:rsid w:val="EF7DD5E8"/>
    <w:rsid w:val="EFDBAAAF"/>
    <w:rsid w:val="F23F25AA"/>
    <w:rsid w:val="F3FB0EF9"/>
    <w:rsid w:val="F47F9553"/>
    <w:rsid w:val="F5DA111C"/>
    <w:rsid w:val="F5DB9135"/>
    <w:rsid w:val="F6FDC490"/>
    <w:rsid w:val="F7BD2628"/>
    <w:rsid w:val="FAFBB8E0"/>
    <w:rsid w:val="FAFFC104"/>
    <w:rsid w:val="FBF770AB"/>
    <w:rsid w:val="FD3F2E67"/>
    <w:rsid w:val="FDAB2E53"/>
    <w:rsid w:val="FDB74B34"/>
    <w:rsid w:val="FDDD1DFE"/>
    <w:rsid w:val="FDDF10B6"/>
    <w:rsid w:val="FDF618CC"/>
    <w:rsid w:val="FE115FB4"/>
    <w:rsid w:val="FE5FD46F"/>
    <w:rsid w:val="FEFE062D"/>
    <w:rsid w:val="FEFF1B20"/>
    <w:rsid w:val="FF3F1F97"/>
    <w:rsid w:val="FF3F8167"/>
    <w:rsid w:val="FF4F3A06"/>
    <w:rsid w:val="FF7FD326"/>
    <w:rsid w:val="FFBD29BA"/>
    <w:rsid w:val="FFDC4211"/>
    <w:rsid w:val="FFEDA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after="160"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1"/>
      <w:szCs w:val="21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5"/>
    <w:qFormat/>
    <w:uiPriority w:val="1"/>
    <w:pPr>
      <w:spacing w:before="100" w:beforeLines="100" w:after="50" w:afterLines="50"/>
      <w:outlineLvl w:val="0"/>
    </w:pPr>
    <w:rPr>
      <w:rFonts w:ascii="黑体" w:hAnsi="黑体" w:eastAsia="黑体" w:cs="黑体"/>
      <w:sz w:val="32"/>
      <w:szCs w:val="32"/>
      <w14:ligatures w14:val="none"/>
    </w:rPr>
  </w:style>
  <w:style w:type="paragraph" w:styleId="3">
    <w:name w:val="heading 2"/>
    <w:basedOn w:val="1"/>
    <w:next w:val="1"/>
    <w:link w:val="26"/>
    <w:qFormat/>
    <w:uiPriority w:val="1"/>
    <w:pPr>
      <w:outlineLvl w:val="1"/>
    </w:pPr>
    <w:rPr>
      <w:rFonts w:eastAsia="楷体_GB2312" w:cs="华文仿宋"/>
      <w:bCs/>
      <w:sz w:val="32"/>
      <w:szCs w:val="32"/>
    </w:rPr>
  </w:style>
  <w:style w:type="paragraph" w:styleId="4">
    <w:name w:val="heading 3"/>
    <w:basedOn w:val="1"/>
    <w:next w:val="1"/>
    <w:link w:val="30"/>
    <w:qFormat/>
    <w:uiPriority w:val="1"/>
    <w:pPr>
      <w:keepNext/>
      <w:keepLines/>
      <w:outlineLvl w:val="2"/>
    </w:pPr>
    <w:rPr>
      <w:rFonts w:cstheme="majorBidi"/>
      <w:b/>
      <w:sz w:val="32"/>
      <w:szCs w:val="32"/>
    </w:rPr>
  </w:style>
  <w:style w:type="paragraph" w:styleId="5">
    <w:name w:val="heading 4"/>
    <w:basedOn w:val="1"/>
    <w:next w:val="1"/>
    <w:link w:val="3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</w:rPr>
  </w:style>
  <w:style w:type="paragraph" w:styleId="6">
    <w:name w:val="heading 5"/>
    <w:basedOn w:val="1"/>
    <w:next w:val="1"/>
    <w:link w:val="3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3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99"/>
    <w:pPr>
      <w:ind w:firstLine="420" w:firstLineChars="200"/>
    </w:pPr>
    <w:rPr>
      <w:rFonts w:eastAsia="仿宋"/>
    </w:rPr>
  </w:style>
  <w:style w:type="paragraph" w:styleId="12">
    <w:name w:val="Body Text"/>
    <w:basedOn w:val="1"/>
    <w:link w:val="27"/>
    <w:semiHidden/>
    <w:unhideWhenUsed/>
    <w:qFormat/>
    <w:uiPriority w:val="99"/>
    <w:pPr>
      <w:spacing w:after="120"/>
    </w:pPr>
  </w:style>
  <w:style w:type="paragraph" w:styleId="13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仿宋_GB2312" w:cs="仿宋_GB2312"/>
      <w:kern w:val="2"/>
      <w:sz w:val="32"/>
      <w:szCs w:val="24"/>
      <w:lang w:val="en-US" w:eastAsia="zh-CN" w:bidi="ar-SA"/>
    </w:rPr>
  </w:style>
  <w:style w:type="paragraph" w:styleId="14">
    <w:name w:val="footer"/>
    <w:basedOn w:val="1"/>
    <w:link w:val="58"/>
    <w:unhideWhenUsed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15">
    <w:name w:val="header"/>
    <w:basedOn w:val="1"/>
    <w:link w:val="57"/>
    <w:unhideWhenUsed/>
    <w:qFormat/>
    <w:uiPriority w:val="99"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toc 2"/>
    <w:next w:val="1"/>
    <w:qFormat/>
    <w:uiPriority w:val="0"/>
    <w:pPr>
      <w:widowControl w:val="0"/>
      <w:spacing w:after="160" w:line="278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next w:val="1"/>
    <w:link w:val="24"/>
    <w:qFormat/>
    <w:uiPriority w:val="10"/>
    <w:pPr>
      <w:ind w:firstLine="0" w:firstLineChars="0"/>
      <w:jc w:val="center"/>
    </w:pPr>
    <w:rPr>
      <w:rFonts w:eastAsia="方正小标宋简体" w:cs="方正小标宋简体"/>
      <w:bCs/>
      <w:sz w:val="44"/>
      <w:szCs w:val="44"/>
      <w14:ligatures w14:val="none"/>
    </w:rPr>
  </w:style>
  <w:style w:type="paragraph" w:styleId="20">
    <w:name w:val="Body Text First Indent 2"/>
    <w:next w:val="1"/>
    <w:unhideWhenUsed/>
    <w:qFormat/>
    <w:uiPriority w:val="99"/>
    <w:pPr>
      <w:widowControl w:val="0"/>
      <w:spacing w:after="120"/>
      <w:ind w:firstLine="420"/>
      <w:jc w:val="both"/>
    </w:pPr>
    <w:rPr>
      <w:rFonts w:ascii="Calibri" w:hAnsi="Calibri" w:eastAsia="仿宋_GB2312" w:cs="仿宋_GB2312"/>
      <w:kern w:val="2"/>
      <w:sz w:val="30"/>
      <w:szCs w:val="24"/>
      <w:lang w:val="en-US" w:eastAsia="zh-CN" w:bidi="ar-SA"/>
    </w:rPr>
  </w:style>
  <w:style w:type="table" w:styleId="22">
    <w:name w:val="Table Grid"/>
    <w:basedOn w:val="2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4">
    <w:name w:val="标题 字符"/>
    <w:basedOn w:val="23"/>
    <w:link w:val="19"/>
    <w:qFormat/>
    <w:uiPriority w:val="10"/>
    <w:rPr>
      <w:rFonts w:ascii="Times New Roman" w:hAnsi="Times New Roman" w:eastAsia="方正小标宋简体" w:cs="方正小标宋简体"/>
      <w:bCs/>
      <w:sz w:val="44"/>
      <w:szCs w:val="44"/>
      <w14:ligatures w14:val="none"/>
    </w:rPr>
  </w:style>
  <w:style w:type="character" w:customStyle="1" w:styleId="25">
    <w:name w:val="标题 1 字符"/>
    <w:basedOn w:val="23"/>
    <w:link w:val="2"/>
    <w:qFormat/>
    <w:uiPriority w:val="1"/>
    <w:rPr>
      <w:rFonts w:ascii="黑体" w:hAnsi="黑体" w:eastAsia="黑体" w:cs="黑体"/>
      <w:sz w:val="32"/>
      <w:szCs w:val="32"/>
      <w14:ligatures w14:val="none"/>
    </w:rPr>
  </w:style>
  <w:style w:type="character" w:customStyle="1" w:styleId="26">
    <w:name w:val="标题 2 字符"/>
    <w:basedOn w:val="23"/>
    <w:link w:val="3"/>
    <w:qFormat/>
    <w:uiPriority w:val="1"/>
    <w:rPr>
      <w:rFonts w:ascii="Times New Roman" w:hAnsi="Times New Roman" w:eastAsia="楷体_GB2312" w:cs="华文仿宋"/>
      <w:bCs/>
      <w:sz w:val="32"/>
      <w:szCs w:val="32"/>
    </w:rPr>
  </w:style>
  <w:style w:type="character" w:customStyle="1" w:styleId="27">
    <w:name w:val="正文文本 字符"/>
    <w:basedOn w:val="23"/>
    <w:link w:val="12"/>
    <w:semiHidden/>
    <w:qFormat/>
    <w:uiPriority w:val="99"/>
    <w:rPr>
      <w:rFonts w:ascii="Times New Roman" w:hAnsi="Times New Roman" w:eastAsia="仿宋_GB2312"/>
    </w:rPr>
  </w:style>
  <w:style w:type="paragraph" w:customStyle="1" w:styleId="28">
    <w:name w:val="1.正文"/>
    <w:link w:val="29"/>
    <w:qFormat/>
    <w:uiPriority w:val="0"/>
    <w:pPr>
      <w:ind w:firstLine="619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29">
    <w:name w:val="1.正文 字符"/>
    <w:basedOn w:val="23"/>
    <w:link w:val="28"/>
    <w:qFormat/>
    <w:uiPriority w:val="0"/>
    <w:rPr>
      <w:rFonts w:ascii="Times New Roman" w:hAnsi="Times New Roman" w:eastAsia="仿宋_GB2312" w:cs="Times New Roman"/>
      <w:sz w:val="32"/>
      <w:szCs w:val="32"/>
    </w:rPr>
  </w:style>
  <w:style w:type="character" w:customStyle="1" w:styleId="30">
    <w:name w:val="标题 3 字符"/>
    <w:basedOn w:val="23"/>
    <w:link w:val="4"/>
    <w:qFormat/>
    <w:uiPriority w:val="1"/>
    <w:rPr>
      <w:rFonts w:ascii="Times New Roman" w:hAnsi="Times New Roman" w:eastAsia="仿宋_GB2312" w:cstheme="majorBidi"/>
      <w:b/>
      <w:sz w:val="32"/>
      <w:szCs w:val="32"/>
    </w:rPr>
  </w:style>
  <w:style w:type="character" w:customStyle="1" w:styleId="31">
    <w:name w:val="标题 4 字符"/>
    <w:basedOn w:val="23"/>
    <w:link w:val="5"/>
    <w:semiHidden/>
    <w:qFormat/>
    <w:uiPriority w:val="9"/>
    <w:rPr>
      <w:rFonts w:cstheme="majorBidi"/>
      <w:color w:val="104862" w:themeColor="accent1" w:themeShade="BF"/>
    </w:rPr>
  </w:style>
  <w:style w:type="character" w:customStyle="1" w:styleId="32">
    <w:name w:val="标题 5 字符"/>
    <w:basedOn w:val="23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33">
    <w:name w:val="标题 6 字符"/>
    <w:basedOn w:val="23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34">
    <w:name w:val="标题 7 字符"/>
    <w:basedOn w:val="23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5">
    <w:name w:val="标题 8 字符"/>
    <w:basedOn w:val="23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6">
    <w:name w:val="标题 9 字符"/>
    <w:basedOn w:val="23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7">
    <w:name w:val="副标题 字符"/>
    <w:basedOn w:val="23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8">
    <w:name w:val="List Paragraph"/>
    <w:basedOn w:val="1"/>
    <w:qFormat/>
    <w:uiPriority w:val="34"/>
    <w:pPr>
      <w:ind w:left="720"/>
      <w:contextualSpacing/>
    </w:pPr>
  </w:style>
  <w:style w:type="paragraph" w:styleId="39">
    <w:name w:val="Quote"/>
    <w:basedOn w:val="1"/>
    <w:next w:val="1"/>
    <w:link w:val="4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">
    <w:name w:val="引用 字符"/>
    <w:basedOn w:val="23"/>
    <w:link w:val="39"/>
    <w:qFormat/>
    <w:uiPriority w:val="29"/>
    <w:rPr>
      <w:rFonts w:ascii="Times New Roman" w:hAnsi="Times New Roman" w:eastAsia="仿宋_GB2312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1">
    <w:name w:val="Intense Quote"/>
    <w:basedOn w:val="1"/>
    <w:next w:val="1"/>
    <w:link w:val="4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2">
    <w:name w:val="明显引用 字符"/>
    <w:basedOn w:val="23"/>
    <w:link w:val="41"/>
    <w:qFormat/>
    <w:uiPriority w:val="30"/>
    <w:rPr>
      <w:rFonts w:ascii="Times New Roman" w:hAnsi="Times New Roman" w:eastAsia="仿宋_GB2312"/>
      <w:i/>
      <w:iCs/>
      <w:color w:val="104862" w:themeColor="accent1" w:themeShade="BF"/>
    </w:rPr>
  </w:style>
  <w:style w:type="character" w:customStyle="1" w:styleId="43">
    <w:name w:val="明显强调1"/>
    <w:basedOn w:val="23"/>
    <w:qFormat/>
    <w:uiPriority w:val="21"/>
    <w:rPr>
      <w:i/>
      <w:iCs/>
      <w:color w:val="104862" w:themeColor="accent1" w:themeShade="BF"/>
    </w:rPr>
  </w:style>
  <w:style w:type="character" w:customStyle="1" w:styleId="44">
    <w:name w:val="明显参考1"/>
    <w:basedOn w:val="23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45">
    <w:name w:val="4.二级标题"/>
    <w:basedOn w:val="1"/>
    <w:next w:val="28"/>
    <w:link w:val="46"/>
    <w:qFormat/>
    <w:uiPriority w:val="0"/>
    <w:pPr>
      <w:spacing w:line="600" w:lineRule="exact"/>
      <w:ind w:firstLine="640"/>
      <w:outlineLvl w:val="1"/>
    </w:pPr>
    <w:rPr>
      <w:rFonts w:eastAsia="楷体_GB2312" w:cs="Times New Roman"/>
      <w:sz w:val="32"/>
      <w:szCs w:val="32"/>
    </w:rPr>
  </w:style>
  <w:style w:type="character" w:customStyle="1" w:styleId="46">
    <w:name w:val="4.二级标题 字符"/>
    <w:basedOn w:val="23"/>
    <w:link w:val="45"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47">
    <w:name w:val="6.图片"/>
    <w:basedOn w:val="28"/>
    <w:link w:val="48"/>
    <w:qFormat/>
    <w:uiPriority w:val="0"/>
    <w:pPr>
      <w:ind w:firstLine="0"/>
      <w:jc w:val="center"/>
    </w:pPr>
  </w:style>
  <w:style w:type="character" w:customStyle="1" w:styleId="48">
    <w:name w:val="6.图片 字符"/>
    <w:basedOn w:val="29"/>
    <w:link w:val="47"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49">
    <w:name w:val="7.填表"/>
    <w:basedOn w:val="1"/>
    <w:link w:val="50"/>
    <w:qFormat/>
    <w:uiPriority w:val="0"/>
    <w:pPr>
      <w:spacing w:line="240" w:lineRule="auto"/>
      <w:ind w:firstLine="0" w:firstLineChars="0"/>
      <w:jc w:val="center"/>
    </w:pPr>
    <w:rPr>
      <w:rFonts w:eastAsia="宋体" w:cs="Times New Roman"/>
      <w:sz w:val="24"/>
      <w:szCs w:val="24"/>
    </w:rPr>
  </w:style>
  <w:style w:type="character" w:customStyle="1" w:styleId="50">
    <w:name w:val="7.填表 字符"/>
    <w:basedOn w:val="23"/>
    <w:link w:val="49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51">
    <w:name w:val="2.四级标题"/>
    <w:basedOn w:val="1"/>
    <w:next w:val="28"/>
    <w:link w:val="52"/>
    <w:qFormat/>
    <w:uiPriority w:val="0"/>
    <w:pPr>
      <w:spacing w:line="240" w:lineRule="auto"/>
      <w:outlineLvl w:val="3"/>
    </w:pPr>
    <w:rPr>
      <w:rFonts w:cs="Times New Roman"/>
      <w:color w:val="000000"/>
      <w:kern w:val="0"/>
      <w:sz w:val="32"/>
      <w:szCs w:val="32"/>
      <w14:ligatures w14:val="none"/>
    </w:rPr>
  </w:style>
  <w:style w:type="character" w:customStyle="1" w:styleId="52">
    <w:name w:val="2.四级标题 字符"/>
    <w:basedOn w:val="23"/>
    <w:link w:val="51"/>
    <w:qFormat/>
    <w:uiPriority w:val="0"/>
    <w:rPr>
      <w:rFonts w:ascii="Times New Roman" w:hAnsi="Times New Roman" w:eastAsia="仿宋_GB2312" w:cs="Times New Roman"/>
      <w:color w:val="000000"/>
      <w:kern w:val="0"/>
      <w:sz w:val="32"/>
      <w:szCs w:val="32"/>
      <w14:ligatures w14:val="none"/>
    </w:rPr>
  </w:style>
  <w:style w:type="paragraph" w:customStyle="1" w:styleId="53">
    <w:name w:val="3.三级标题"/>
    <w:basedOn w:val="28"/>
    <w:next w:val="28"/>
    <w:link w:val="54"/>
    <w:qFormat/>
    <w:uiPriority w:val="0"/>
    <w:pPr>
      <w:spacing w:line="600" w:lineRule="exact"/>
      <w:ind w:firstLine="643"/>
      <w:outlineLvl w:val="2"/>
    </w:pPr>
    <w:rPr>
      <w:b/>
      <w:bCs/>
    </w:rPr>
  </w:style>
  <w:style w:type="character" w:customStyle="1" w:styleId="54">
    <w:name w:val="3.三级标题 字符"/>
    <w:basedOn w:val="29"/>
    <w:link w:val="53"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55">
    <w:name w:val="5.一级标题"/>
    <w:basedOn w:val="1"/>
    <w:link w:val="56"/>
    <w:qFormat/>
    <w:uiPriority w:val="0"/>
    <w:pPr>
      <w:spacing w:line="600" w:lineRule="exact"/>
      <w:outlineLvl w:val="0"/>
    </w:pPr>
    <w:rPr>
      <w:rFonts w:eastAsia="黑体" w:cs="Times New Roman"/>
      <w:sz w:val="32"/>
      <w:szCs w:val="32"/>
    </w:rPr>
  </w:style>
  <w:style w:type="character" w:customStyle="1" w:styleId="56">
    <w:name w:val="5.一级标题 字符"/>
    <w:basedOn w:val="29"/>
    <w:link w:val="55"/>
    <w:qFormat/>
    <w:uiPriority w:val="0"/>
    <w:rPr>
      <w:rFonts w:ascii="Times New Roman" w:hAnsi="Times New Roman" w:eastAsia="黑体" w:cs="Times New Roman"/>
      <w:sz w:val="32"/>
      <w:szCs w:val="32"/>
    </w:rPr>
  </w:style>
  <w:style w:type="character" w:customStyle="1" w:styleId="57">
    <w:name w:val="页眉 字符"/>
    <w:basedOn w:val="23"/>
    <w:link w:val="1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58">
    <w:name w:val="页脚 字符"/>
    <w:basedOn w:val="23"/>
    <w:link w:val="14"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4622</Words>
  <Characters>4749</Characters>
  <Lines>54</Lines>
  <Paragraphs>15</Paragraphs>
  <TotalTime>4</TotalTime>
  <ScaleCrop>false</ScaleCrop>
  <LinksUpToDate>false</LinksUpToDate>
  <CharactersWithSpaces>4749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2025-08-06T00:56:00Z</dcterms:created>
  <dc:creator>鸿源 杨</dc:creator>
  <cp:lastModifiedBy>赵长青</cp:lastModifiedBy>
  <cp:lastPrinted>2025-08-18T17:10:00Z</cp:lastPrinted>
  <dcterms:modified xsi:type="dcterms:W3CDTF">2025-08-18T10:38:44Z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eyJoZGlkIjoiZWFjNjA5ZGRhNDA5YjBiMGI1ZDg1MjVjNDM1MDM5YzYiLCJ1c2VySWQiOiI0MjUyNzQzODMifQ==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CE497B235DBC4A67A9CE7A57B8A3A522_13</vt:lpwstr>
  </property>
</Properties>
</file>