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spacing w:line="600" w:lineRule="exact"/>
        <w:rPr>
          <w:rFonts w:hint="eastAsia" w:ascii="方正书宋简体" w:hAnsi="方正书宋简体" w:eastAsia="仿宋_GB2312"/>
          <w:color w:val="000000"/>
          <w:sz w:val="31"/>
          <w:szCs w:val="31"/>
        </w:rPr>
      </w:pPr>
    </w:p>
    <w:p>
      <w:pPr>
        <w:widowControl w:val="0"/>
        <w:adjustRightInd w:val="0"/>
        <w:snapToGrid w:val="0"/>
        <w:spacing w:line="600" w:lineRule="exact"/>
        <w:rPr>
          <w:rFonts w:hint="eastAsia" w:ascii="方正书宋简体" w:hAnsi="方正书宋简体" w:eastAsia="仿宋_GB2312"/>
          <w:color w:val="000000"/>
          <w:sz w:val="31"/>
          <w:szCs w:val="31"/>
        </w:rPr>
      </w:pPr>
    </w:p>
    <w:p>
      <w:pPr>
        <w:keepNext w:val="0"/>
        <w:keepLines w:val="0"/>
        <w:pageBreakBefore w:val="0"/>
        <w:widowControl w:val="0"/>
        <w:shd w:val="clear" w:color="auto" w:fill="auto"/>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Cs/>
          <w:color w:val="000000"/>
          <w:kern w:val="0"/>
          <w:sz w:val="44"/>
          <w:szCs w:val="44"/>
        </w:rPr>
      </w:pPr>
      <w:r>
        <w:rPr>
          <w:rFonts w:hint="default" w:ascii="Times New Roman" w:hAnsi="Times New Roman" w:eastAsia="方正小标宋_GBK" w:cs="Times New Roman"/>
          <w:bCs/>
          <w:color w:val="000000"/>
          <w:kern w:val="0"/>
          <w:sz w:val="44"/>
          <w:szCs w:val="44"/>
        </w:rPr>
        <w:t>新安县人民政府</w:t>
      </w:r>
    </w:p>
    <w:p>
      <w:pPr>
        <w:keepNext w:val="0"/>
        <w:keepLines w:val="0"/>
        <w:pageBreakBefore w:val="0"/>
        <w:widowControl w:val="0"/>
        <w:shd w:val="clear" w:color="auto" w:fill="auto"/>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Cs/>
          <w:color w:val="000000"/>
          <w:kern w:val="0"/>
          <w:sz w:val="44"/>
          <w:szCs w:val="44"/>
        </w:rPr>
      </w:pPr>
      <w:r>
        <w:rPr>
          <w:rFonts w:hint="default" w:ascii="Times New Roman" w:hAnsi="Times New Roman" w:eastAsia="方正小标宋_GBK" w:cs="Times New Roman"/>
          <w:bCs/>
          <w:color w:val="000000"/>
          <w:kern w:val="0"/>
          <w:sz w:val="44"/>
          <w:szCs w:val="44"/>
        </w:rPr>
        <w:t>关于废止和宣布失效部分行政规范性文件的</w:t>
      </w:r>
    </w:p>
    <w:p>
      <w:pPr>
        <w:keepNext w:val="0"/>
        <w:keepLines w:val="0"/>
        <w:pageBreakBefore w:val="0"/>
        <w:widowControl w:val="0"/>
        <w:shd w:val="clear" w:color="auto" w:fill="auto"/>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Cs/>
          <w:color w:val="000000"/>
          <w:kern w:val="0"/>
          <w:sz w:val="44"/>
          <w:szCs w:val="44"/>
          <w:lang w:eastAsia="zh-CN"/>
        </w:rPr>
      </w:pPr>
      <w:r>
        <w:rPr>
          <w:rFonts w:hint="default" w:ascii="Times New Roman" w:hAnsi="Times New Roman" w:eastAsia="方正小标宋_GBK" w:cs="Times New Roman"/>
          <w:bCs/>
          <w:color w:val="000000"/>
          <w:kern w:val="0"/>
          <w:sz w:val="44"/>
          <w:szCs w:val="44"/>
          <w:lang w:eastAsia="zh-CN"/>
        </w:rPr>
        <w:t>通</w:t>
      </w:r>
      <w:r>
        <w:rPr>
          <w:rFonts w:hint="default" w:ascii="Times New Roman" w:hAnsi="Times New Roman" w:eastAsia="方正小标宋_GBK" w:cs="Times New Roman"/>
          <w:bCs/>
          <w:color w:val="000000"/>
          <w:kern w:val="0"/>
          <w:sz w:val="44"/>
          <w:szCs w:val="44"/>
        </w:rPr>
        <w:t xml:space="preserve">    </w:t>
      </w:r>
      <w:r>
        <w:rPr>
          <w:rFonts w:hint="default" w:ascii="Times New Roman" w:hAnsi="Times New Roman" w:eastAsia="方正小标宋_GBK" w:cs="Times New Roman"/>
          <w:bCs/>
          <w:color w:val="000000"/>
          <w:kern w:val="0"/>
          <w:sz w:val="44"/>
          <w:szCs w:val="44"/>
          <w:lang w:eastAsia="zh-CN"/>
        </w:rPr>
        <w:t>知</w:t>
      </w:r>
    </w:p>
    <w:p>
      <w:pPr>
        <w:pStyle w:val="8"/>
        <w:widowControl/>
        <w:shd w:val="clear" w:color="auto" w:fill="FFFFFF"/>
        <w:spacing w:before="0" w:beforeAutospacing="0" w:after="0" w:afterAutospacing="0" w:line="12" w:lineRule="atLeast"/>
        <w:jc w:val="center"/>
        <w:rPr>
          <w:rFonts w:hint="eastAsia" w:ascii="仿宋_GB2312" w:hAnsi="仿宋_GB2312" w:eastAsia="仿宋_GB2312" w:cs="仿宋_GB2312"/>
          <w:color w:val="000000"/>
          <w:sz w:val="21"/>
          <w:szCs w:val="21"/>
          <w:lang w:eastAsia="zh-CN"/>
        </w:rPr>
      </w:pPr>
      <w:r>
        <w:rPr>
          <w:rFonts w:hint="default" w:ascii="Times New Roman" w:hAnsi="Times New Roman" w:eastAsia="仿宋_GB2312" w:cs="Times New Roman"/>
          <w:color w:val="000000"/>
          <w:sz w:val="32"/>
          <w:szCs w:val="32"/>
        </w:rPr>
        <w:t>新政〔202</w:t>
      </w:r>
      <w:r>
        <w:rPr>
          <w:rFonts w:hint="default" w:ascii="Times New Roman" w:hAnsi="Times New Roman"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rPr>
        <w:t>〕</w:t>
      </w:r>
      <w:r>
        <w:rPr>
          <w:rFonts w:hint="eastAsia" w:eastAsia="仿宋_GB2312" w:cs="Times New Roman"/>
          <w:color w:val="000000"/>
          <w:sz w:val="32"/>
          <w:szCs w:val="32"/>
          <w:lang w:val="en-US" w:eastAsia="zh-CN"/>
        </w:rPr>
        <w:t>1</w:t>
      </w:r>
      <w:r>
        <w:rPr>
          <w:rFonts w:hint="default" w:ascii="Times New Roman" w:hAnsi="Times New Roman" w:eastAsia="仿宋_GB2312" w:cs="Times New Roman"/>
          <w:color w:val="000000"/>
          <w:sz w:val="32"/>
          <w:szCs w:val="32"/>
        </w:rPr>
        <w:t>号</w:t>
      </w:r>
    </w:p>
    <w:p>
      <w:pPr>
        <w:keepNext w:val="0"/>
        <w:keepLines w:val="0"/>
        <w:pageBreakBefore w:val="0"/>
        <w:widowControl w:val="0"/>
        <w:kinsoku/>
        <w:wordWrap/>
        <w:overflowPunct/>
        <w:topLinePunct w:val="0"/>
        <w:autoSpaceDE/>
        <w:autoSpaceDN/>
        <w:bidi w:val="0"/>
        <w:spacing w:line="600" w:lineRule="exact"/>
        <w:textAlignment w:val="auto"/>
        <w:rPr>
          <w:sz w:val="32"/>
          <w:szCs w:val="32"/>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both"/>
        <w:textAlignment w:val="auto"/>
        <w:rPr>
          <w:rFonts w:hint="default" w:ascii="Times New Roman" w:hAnsi="Times New Roman" w:eastAsia="仿宋_GB2312" w:cs="Times New Roman"/>
          <w:i w:val="0"/>
          <w:iCs w:val="0"/>
          <w:caps w:val="0"/>
          <w:color w:val="000000"/>
          <w:spacing w:val="-6"/>
          <w:kern w:val="0"/>
          <w:sz w:val="32"/>
          <w:szCs w:val="32"/>
          <w:shd w:val="clear" w:color="auto" w:fill="FFFFFF"/>
          <w:lang w:val="en-US" w:eastAsia="zh-CN" w:bidi="ar"/>
        </w:rPr>
      </w:pPr>
      <w:r>
        <w:rPr>
          <w:rFonts w:hint="default" w:ascii="Times New Roman" w:hAnsi="Times New Roman" w:eastAsia="仿宋_GB2312" w:cs="Times New Roman"/>
          <w:i w:val="0"/>
          <w:iCs w:val="0"/>
          <w:caps w:val="0"/>
          <w:color w:val="000000"/>
          <w:spacing w:val="-6"/>
          <w:kern w:val="0"/>
          <w:sz w:val="32"/>
          <w:szCs w:val="32"/>
          <w:shd w:val="clear" w:color="auto" w:fill="FFFFFF"/>
          <w:lang w:val="en-US" w:eastAsia="zh-CN" w:bidi="ar"/>
        </w:rPr>
        <w:t>新安经济技术开发区管委会，县人民政府各有关部门、各有关单位：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iCs w:val="0"/>
          <w:caps w:val="0"/>
          <w:color w:val="000000"/>
          <w:spacing w:val="0"/>
          <w:kern w:val="0"/>
          <w:sz w:val="32"/>
          <w:szCs w:val="32"/>
          <w:shd w:val="clear" w:color="auto" w:fill="FFFFFF"/>
          <w:lang w:val="en-US" w:eastAsia="zh-CN" w:bidi="ar"/>
        </w:rPr>
        <w:t>根据《河南省行政规范性文件管理办法》和《洛阳市行政规范性文件管理办法》规定</w:t>
      </w:r>
      <w:r>
        <w:rPr>
          <w:rFonts w:hint="default" w:ascii="Times New Roman" w:hAnsi="Times New Roman" w:eastAsia="仿宋_GB2312" w:cs="Times New Roman"/>
          <w:sz w:val="32"/>
          <w:szCs w:val="32"/>
        </w:rPr>
        <w:t>，</w:t>
      </w:r>
      <w:r>
        <w:rPr>
          <w:rFonts w:hint="default" w:ascii="Times New Roman" w:hAnsi="Times New Roman" w:eastAsia="仿宋_GB2312" w:cs="Times New Roman"/>
          <w:i w:val="0"/>
          <w:iCs w:val="0"/>
          <w:caps w:val="0"/>
          <w:color w:val="000000"/>
          <w:spacing w:val="0"/>
          <w:kern w:val="0"/>
          <w:sz w:val="32"/>
          <w:szCs w:val="32"/>
          <w:shd w:val="clear" w:color="auto" w:fill="FFFFFF"/>
          <w:lang w:val="en-US" w:eastAsia="zh-CN" w:bidi="ar"/>
        </w:rPr>
        <w:t>结合洛阳市人民政府《关于废止和宣布失效部分行政规范性文件的通知》（洛政</w:t>
      </w:r>
      <w:r>
        <w:rPr>
          <w:rFonts w:hint="default" w:ascii="Times New Roman" w:hAnsi="Times New Roman" w:eastAsia="仿宋_GB2312" w:cs="Times New Roman"/>
          <w:sz w:val="32"/>
          <w:szCs w:val="32"/>
          <w:lang w:val="en-US" w:eastAsia="zh-CN"/>
        </w:rPr>
        <w:t>〔2024〕25号</w:t>
      </w:r>
      <w:r>
        <w:rPr>
          <w:rFonts w:hint="default" w:ascii="Times New Roman" w:hAnsi="Times New Roman" w:eastAsia="仿宋_GB2312" w:cs="Times New Roman"/>
          <w:i w:val="0"/>
          <w:iCs w:val="0"/>
          <w:caps w:val="0"/>
          <w:color w:val="000000"/>
          <w:spacing w:val="0"/>
          <w:kern w:val="0"/>
          <w:sz w:val="32"/>
          <w:szCs w:val="32"/>
          <w:shd w:val="clear" w:color="auto" w:fill="FFFFFF"/>
          <w:lang w:val="en-US" w:eastAsia="zh-CN" w:bidi="ar"/>
        </w:rPr>
        <w:t>），</w:t>
      </w:r>
      <w:r>
        <w:rPr>
          <w:rFonts w:hint="default" w:ascii="Times New Roman" w:hAnsi="Times New Roman" w:eastAsia="仿宋_GB2312" w:cs="Times New Roman"/>
          <w:sz w:val="32"/>
          <w:szCs w:val="32"/>
          <w:lang w:eastAsia="zh-CN"/>
        </w:rPr>
        <w:t>县</w:t>
      </w:r>
      <w:r>
        <w:rPr>
          <w:rFonts w:hint="default" w:ascii="Times New Roman" w:hAnsi="Times New Roman" w:eastAsia="仿宋_GB2312" w:cs="Times New Roman"/>
          <w:sz w:val="32"/>
          <w:szCs w:val="32"/>
        </w:rPr>
        <w:t>政府对本</w:t>
      </w:r>
      <w:r>
        <w:rPr>
          <w:rFonts w:hint="default" w:ascii="Times New Roman" w:hAnsi="Times New Roman" w:eastAsia="仿宋_GB2312" w:cs="Times New Roman"/>
          <w:sz w:val="32"/>
          <w:szCs w:val="32"/>
          <w:lang w:eastAsia="zh-CN"/>
        </w:rPr>
        <w:t>县</w:t>
      </w:r>
      <w:r>
        <w:rPr>
          <w:rFonts w:hint="default" w:ascii="Times New Roman" w:hAnsi="Times New Roman" w:eastAsia="仿宋_GB2312" w:cs="Times New Roman"/>
          <w:sz w:val="32"/>
          <w:szCs w:val="32"/>
        </w:rPr>
        <w:t>行政规范性文件进行了清理。经</w:t>
      </w:r>
      <w:r>
        <w:rPr>
          <w:rFonts w:hint="default" w:ascii="Times New Roman" w:hAnsi="Times New Roman" w:eastAsia="仿宋_GB2312" w:cs="Times New Roman"/>
          <w:sz w:val="32"/>
          <w:szCs w:val="32"/>
          <w:lang w:eastAsia="zh-CN"/>
        </w:rPr>
        <w:t>县</w:t>
      </w:r>
      <w:r>
        <w:rPr>
          <w:rFonts w:hint="default" w:ascii="Times New Roman" w:hAnsi="Times New Roman" w:eastAsia="仿宋_GB2312" w:cs="Times New Roman"/>
          <w:sz w:val="32"/>
          <w:szCs w:val="32"/>
        </w:rPr>
        <w:t>政府研究同意，决定废止和宣布失效《关于印发新安县大力提振市场信心全面释放消费潜力行动方案的通知》（新政〔2023〕14号）等</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个政府行政规范性文件。废止和宣布失效的行政规范性文件自本决定公布之日起不再执行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不得作为行政管理的依据。行政规范性文件中明确规定有效期的，以其规定为准。</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720" w:lineRule="auto"/>
        <w:ind w:firstLine="640" w:firstLineChars="200"/>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eastAsia="zh-CN"/>
        </w:rPr>
        <w:t>新安县</w:t>
      </w:r>
      <w:r>
        <w:rPr>
          <w:rFonts w:hint="default" w:ascii="Times New Roman" w:hAnsi="Times New Roman" w:eastAsia="仿宋_GB2312" w:cs="Times New Roman"/>
          <w:sz w:val="32"/>
          <w:szCs w:val="32"/>
        </w:rPr>
        <w:t>废止和宣布失效的行政规范性文件目录</w:t>
      </w:r>
      <w:r>
        <w:rPr>
          <w:rFonts w:hint="default" w:ascii="Times New Roman" w:hAnsi="Times New Roman" w:eastAsia="仿宋_GB2312" w:cs="Times New Roman"/>
          <w:color w:val="00000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val="0"/>
        <w:snapToGrid w:val="0"/>
        <w:spacing w:line="720" w:lineRule="auto"/>
        <w:jc w:val="both"/>
        <w:textAlignment w:val="auto"/>
        <w:rPr>
          <w:rFonts w:hint="eastAsia"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eastAsia="zh-CN"/>
        </w:rPr>
        <w:t xml:space="preserve">                                </w:t>
      </w:r>
      <w:r>
        <w:rPr>
          <w:rFonts w:hint="default" w:ascii="Times New Roman" w:hAnsi="Times New Roman" w:eastAsia="仿宋_GB2312" w:cs="Times New Roman"/>
          <w:color w:val="000000"/>
          <w:sz w:val="32"/>
          <w:szCs w:val="32"/>
          <w:lang w:val="en-US" w:eastAsia="zh-CN"/>
        </w:rPr>
        <w:t>2025年1月</w:t>
      </w:r>
      <w:r>
        <w:rPr>
          <w:rFonts w:hint="eastAsia" w:eastAsia="仿宋_GB2312" w:cs="Times New Roman"/>
          <w:color w:val="000000"/>
          <w:sz w:val="32"/>
          <w:szCs w:val="32"/>
          <w:lang w:val="en-US" w:eastAsia="zh-CN"/>
        </w:rPr>
        <w:t>21</w:t>
      </w:r>
      <w:r>
        <w:rPr>
          <w:rFonts w:hint="default" w:ascii="Times New Roman" w:hAnsi="Times New Roman" w:eastAsia="仿宋_GB2312" w:cs="Times New Roman"/>
          <w:color w:val="000000"/>
          <w:sz w:val="32"/>
          <w:szCs w:val="32"/>
          <w:lang w:val="en-US" w:eastAsia="zh-CN"/>
        </w:rPr>
        <w:t>日</w:t>
      </w:r>
      <w:r>
        <w:rPr>
          <w:rFonts w:hint="eastAsia" w:eastAsia="仿宋_GB2312" w:cs="Times New Roman"/>
          <w:color w:val="00000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val="0"/>
        <w:snapToGrid w:val="0"/>
        <w:spacing w:line="720" w:lineRule="auto"/>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附 </w:t>
      </w:r>
      <w:r>
        <w:rPr>
          <w:rFonts w:hint="eastAsia" w:eastAsia="黑体" w:cs="Times New Roman"/>
          <w:sz w:val="32"/>
          <w:szCs w:val="32"/>
          <w:lang w:val="en-US" w:eastAsia="zh-CN"/>
        </w:rPr>
        <w:t xml:space="preserve"> </w:t>
      </w:r>
      <w:r>
        <w:rPr>
          <w:rFonts w:hint="default" w:ascii="Times New Roman" w:hAnsi="Times New Roman" w:eastAsia="黑体" w:cs="Times New Roman"/>
          <w:sz w:val="32"/>
          <w:szCs w:val="32"/>
        </w:rPr>
        <w:t>件</w:t>
      </w:r>
    </w:p>
    <w:p>
      <w:pPr>
        <w:jc w:val="center"/>
        <w:rPr>
          <w:rFonts w:hint="default" w:ascii="Times New Roman" w:hAnsi="Times New Roman" w:cs="Times New Roman" w:eastAsiaTheme="majorEastAsia"/>
          <w:b/>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新安县</w:t>
      </w:r>
      <w:r>
        <w:rPr>
          <w:rFonts w:hint="eastAsia" w:ascii="方正小标宋简体" w:hAnsi="方正小标宋简体" w:eastAsia="方正小标宋简体" w:cs="方正小标宋简体"/>
          <w:b w:val="0"/>
          <w:bCs/>
          <w:sz w:val="44"/>
          <w:szCs w:val="44"/>
        </w:rPr>
        <w:t>废止和宣布失效的行政规范性</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文件目录</w:t>
      </w:r>
    </w:p>
    <w:p>
      <w:pPr>
        <w:pStyle w:val="2"/>
        <w:rPr>
          <w:rFonts w:hint="eastAsia"/>
        </w:rPr>
      </w:pPr>
    </w:p>
    <w:tbl>
      <w:tblPr>
        <w:tblStyle w:val="9"/>
        <w:tblpPr w:leftFromText="180" w:rightFromText="180" w:vertAnchor="text" w:horzAnchor="page" w:tblpX="1612" w:tblpY="30"/>
        <w:tblOverlap w:val="never"/>
        <w:tblW w:w="8848" w:type="dxa"/>
        <w:tblInd w:w="0" w:type="dxa"/>
        <w:tblLayout w:type="fixed"/>
        <w:tblCellMar>
          <w:top w:w="0" w:type="dxa"/>
          <w:left w:w="108" w:type="dxa"/>
          <w:bottom w:w="0" w:type="dxa"/>
          <w:right w:w="108" w:type="dxa"/>
        </w:tblCellMar>
      </w:tblPr>
      <w:tblGrid>
        <w:gridCol w:w="936"/>
        <w:gridCol w:w="4742"/>
        <w:gridCol w:w="3170"/>
      </w:tblGrid>
      <w:tr>
        <w:tblPrEx>
          <w:tblCellMar>
            <w:top w:w="0" w:type="dxa"/>
            <w:left w:w="108" w:type="dxa"/>
            <w:bottom w:w="0" w:type="dxa"/>
            <w:right w:w="108" w:type="dxa"/>
          </w:tblCellMar>
        </w:tblPrEx>
        <w:trPr>
          <w:trHeight w:val="644" w:hRule="atLeast"/>
        </w:trPr>
        <w:tc>
          <w:tcPr>
            <w:tcW w:w="9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黑体" w:cs="Times New Roman"/>
                <w:bCs/>
                <w:color w:val="000000"/>
                <w:kern w:val="0"/>
                <w:sz w:val="28"/>
                <w:szCs w:val="28"/>
              </w:rPr>
            </w:pPr>
            <w:r>
              <w:rPr>
                <w:rFonts w:hint="default" w:ascii="Times New Roman" w:hAnsi="Times New Roman" w:eastAsia="黑体" w:cs="Times New Roman"/>
                <w:bCs/>
                <w:color w:val="000000"/>
                <w:kern w:val="0"/>
                <w:sz w:val="28"/>
                <w:szCs w:val="28"/>
              </w:rPr>
              <w:t>序号</w:t>
            </w:r>
          </w:p>
        </w:tc>
        <w:tc>
          <w:tcPr>
            <w:tcW w:w="47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黑体" w:cs="Times New Roman"/>
                <w:bCs/>
                <w:color w:val="000000"/>
                <w:kern w:val="0"/>
                <w:sz w:val="28"/>
                <w:szCs w:val="28"/>
              </w:rPr>
            </w:pPr>
            <w:r>
              <w:rPr>
                <w:rFonts w:hint="default" w:ascii="Times New Roman" w:hAnsi="Times New Roman" w:eastAsia="黑体" w:cs="Times New Roman"/>
                <w:bCs/>
                <w:color w:val="000000"/>
                <w:kern w:val="0"/>
                <w:sz w:val="28"/>
                <w:szCs w:val="28"/>
              </w:rPr>
              <w:t>行政规范性文件名称</w:t>
            </w:r>
          </w:p>
        </w:tc>
        <w:tc>
          <w:tcPr>
            <w:tcW w:w="3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黑体" w:cs="Times New Roman"/>
                <w:bCs/>
                <w:color w:val="000000"/>
                <w:kern w:val="0"/>
                <w:sz w:val="28"/>
                <w:szCs w:val="28"/>
              </w:rPr>
            </w:pPr>
            <w:r>
              <w:rPr>
                <w:rFonts w:hint="default" w:ascii="Times New Roman" w:hAnsi="Times New Roman" w:eastAsia="黑体" w:cs="Times New Roman"/>
                <w:bCs/>
                <w:color w:val="000000"/>
                <w:kern w:val="0"/>
                <w:sz w:val="28"/>
                <w:szCs w:val="28"/>
              </w:rPr>
              <w:t>文号</w:t>
            </w:r>
          </w:p>
        </w:tc>
      </w:tr>
      <w:tr>
        <w:tblPrEx>
          <w:tblCellMar>
            <w:top w:w="0" w:type="dxa"/>
            <w:left w:w="108" w:type="dxa"/>
            <w:bottom w:w="0" w:type="dxa"/>
            <w:right w:w="108" w:type="dxa"/>
          </w:tblCellMar>
        </w:tblPrEx>
        <w:trPr>
          <w:trHeight w:val="1269" w:hRule="atLeast"/>
        </w:trPr>
        <w:tc>
          <w:tcPr>
            <w:tcW w:w="9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rPr>
              <w:t>1</w:t>
            </w:r>
          </w:p>
        </w:tc>
        <w:tc>
          <w:tcPr>
            <w:tcW w:w="47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lang w:val="en-US" w:eastAsia="zh-CN"/>
              </w:rPr>
              <w:t>关于印发新安县大力提振市场信心全面释放消费潜力行动方案的通知</w:t>
            </w:r>
          </w:p>
        </w:tc>
        <w:tc>
          <w:tcPr>
            <w:tcW w:w="3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lang w:val="en-US" w:eastAsia="zh-CN"/>
              </w:rPr>
              <w:t>新政〔2023〕14号</w:t>
            </w:r>
          </w:p>
        </w:tc>
      </w:tr>
      <w:tr>
        <w:tblPrEx>
          <w:tblCellMar>
            <w:top w:w="0" w:type="dxa"/>
            <w:left w:w="108" w:type="dxa"/>
            <w:bottom w:w="0" w:type="dxa"/>
            <w:right w:w="108" w:type="dxa"/>
          </w:tblCellMar>
        </w:tblPrEx>
        <w:trPr>
          <w:trHeight w:val="1045" w:hRule="atLeast"/>
        </w:trPr>
        <w:tc>
          <w:tcPr>
            <w:tcW w:w="9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rPr>
              <w:t>2</w:t>
            </w:r>
          </w:p>
        </w:tc>
        <w:tc>
          <w:tcPr>
            <w:tcW w:w="47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lang w:val="en-US" w:eastAsia="zh-CN"/>
              </w:rPr>
              <w:t>关于印发新安县辣椒种植保险工作实施方案的通知</w:t>
            </w:r>
          </w:p>
        </w:tc>
        <w:tc>
          <w:tcPr>
            <w:tcW w:w="3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lang w:val="en-US" w:eastAsia="zh-CN"/>
              </w:rPr>
              <w:t>新政办〔2021〕31号</w:t>
            </w:r>
          </w:p>
        </w:tc>
      </w:tr>
      <w:tr>
        <w:tblPrEx>
          <w:tblCellMar>
            <w:top w:w="0" w:type="dxa"/>
            <w:left w:w="108" w:type="dxa"/>
            <w:bottom w:w="0" w:type="dxa"/>
            <w:right w:w="108" w:type="dxa"/>
          </w:tblCellMar>
        </w:tblPrEx>
        <w:trPr>
          <w:trHeight w:val="1343" w:hRule="atLeast"/>
        </w:trPr>
        <w:tc>
          <w:tcPr>
            <w:tcW w:w="9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rPr>
              <w:t>3</w:t>
            </w:r>
          </w:p>
        </w:tc>
        <w:tc>
          <w:tcPr>
            <w:tcW w:w="47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lang w:val="en-US" w:eastAsia="zh-CN"/>
              </w:rPr>
              <w:t>关于印发新安县促进房地产市场持续平稳健康发展的若干措施的通知</w:t>
            </w:r>
          </w:p>
        </w:tc>
        <w:tc>
          <w:tcPr>
            <w:tcW w:w="3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lang w:val="en-US" w:eastAsia="zh-CN"/>
              </w:rPr>
              <w:t>新政办〔2022〕59号</w:t>
            </w:r>
          </w:p>
        </w:tc>
      </w:tr>
      <w:tr>
        <w:tblPrEx>
          <w:tblCellMar>
            <w:top w:w="0" w:type="dxa"/>
            <w:left w:w="108" w:type="dxa"/>
            <w:bottom w:w="0" w:type="dxa"/>
            <w:right w:w="108" w:type="dxa"/>
          </w:tblCellMar>
        </w:tblPrEx>
        <w:trPr>
          <w:trHeight w:val="629" w:hRule="atLeast"/>
        </w:trPr>
        <w:tc>
          <w:tcPr>
            <w:tcW w:w="9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rPr>
              <w:t>4</w:t>
            </w:r>
          </w:p>
        </w:tc>
        <w:tc>
          <w:tcPr>
            <w:tcW w:w="47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both"/>
              <w:textAlignment w:val="center"/>
              <w:rPr>
                <w:rFonts w:hint="default" w:ascii="Times New Roman" w:hAnsi="Times New Roman" w:eastAsia="仿宋_GB2312" w:cs="Times New Roman"/>
                <w:color w:val="000000"/>
                <w:kern w:val="0"/>
                <w:sz w:val="24"/>
                <w:szCs w:val="24"/>
                <w:lang w:val="en-US" w:eastAsia="zh-CN" w:bidi="ar-SA"/>
              </w:rPr>
            </w:pPr>
            <w:r>
              <w:rPr>
                <w:rFonts w:hint="default" w:ascii="Times New Roman" w:hAnsi="Times New Roman" w:eastAsia="仿宋_GB2312" w:cs="Times New Roman"/>
                <w:color w:val="000000"/>
                <w:kern w:val="0"/>
                <w:sz w:val="24"/>
                <w:lang w:val="en-US" w:eastAsia="zh-CN"/>
              </w:rPr>
              <w:t>关于印发新安县资本市场发展专项奖补办法的通知</w:t>
            </w:r>
          </w:p>
        </w:tc>
        <w:tc>
          <w:tcPr>
            <w:tcW w:w="3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4"/>
                <w:szCs w:val="24"/>
                <w:lang w:val="en-US" w:eastAsia="zh-CN" w:bidi="ar-SA"/>
              </w:rPr>
            </w:pPr>
            <w:r>
              <w:rPr>
                <w:rFonts w:hint="default" w:ascii="Times New Roman" w:hAnsi="Times New Roman" w:eastAsia="仿宋_GB2312" w:cs="Times New Roman"/>
                <w:color w:val="000000"/>
                <w:kern w:val="0"/>
                <w:sz w:val="24"/>
                <w:lang w:val="en-US" w:eastAsia="zh-CN"/>
              </w:rPr>
              <w:t>新政办〔2022〕82号</w:t>
            </w:r>
          </w:p>
        </w:tc>
      </w:tr>
    </w:tbl>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lang w:val="en-US" w:eastAsia="zh-CN"/>
        </w:rPr>
      </w:pPr>
    </w:p>
    <w:sectPr>
      <w:headerReference r:id="rId3" w:type="default"/>
      <w:footerReference r:id="rId4" w:type="default"/>
      <w:pgSz w:w="11906" w:h="16838"/>
      <w:pgMar w:top="1508" w:right="1474" w:bottom="150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华文仿宋"/>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right"/>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Dm&#10;yYHKEgIAABMEAAAOAAAAAAAAAAEAIAAAADUBAABkcnMvZTJvRG9jLnhtbFBLBQYAAAAABgAGAFkB&#10;AAC5BQAAAAA=&#10;">
              <v:fill on="f" focussize="0,0"/>
              <v:stroke on="f" weight="0.5pt"/>
              <v:imagedata o:title=""/>
              <o:lock v:ext="edit" aspectratio="f"/>
              <v:textbox inset="0mm,0mm,0mm,0mm" style="mso-fit-shape-to-text:t;">
                <w:txbxContent>
                  <w:p>
                    <w:pPr>
                      <w:pStyle w:val="6"/>
                      <w:jc w:val="right"/>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w:t>
    </w:r>
    <w:r>
      <w:rPr>
        <w:rFonts w:hint="default" w:ascii="宋体" w:hAnsi="宋体" w:cs="宋体"/>
        <w:b/>
        <w:bCs/>
        <w:color w:val="005192"/>
        <w:sz w:val="28"/>
        <w:szCs w:val="44"/>
        <w:lang w:eastAsia="zh-CN"/>
      </w:rPr>
      <w:t>新安</w:t>
    </w:r>
    <w:bookmarkStart w:id="0" w:name="_GoBack"/>
    <w:bookmarkEnd w:id="0"/>
    <w:r>
      <w:rPr>
        <w:rFonts w:hint="eastAsia" w:ascii="宋体" w:hAnsi="宋体" w:cs="宋体"/>
        <w:b/>
        <w:bCs/>
        <w:color w:val="005192"/>
        <w:sz w:val="28"/>
        <w:szCs w:val="44"/>
        <w:lang w:val="en-US" w:eastAsia="zh-CN"/>
      </w:rPr>
      <w:t>县</w:t>
    </w:r>
    <w:r>
      <w:rPr>
        <w:rFonts w:hint="eastAsia" w:ascii="宋体" w:hAnsi="宋体" w:eastAsia="宋体" w:cs="宋体"/>
        <w:b/>
        <w:bCs/>
        <w:color w:val="005192"/>
        <w:sz w:val="28"/>
        <w:szCs w:val="44"/>
        <w:lang w:val="en-US" w:eastAsia="zh-CN"/>
      </w:rPr>
      <w:t xml:space="preserve">人民政府发布    </w:t>
    </w:r>
  </w:p>
  <w:p>
    <w:pPr>
      <w:pStyle w:val="7"/>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default" w:ascii="宋体" w:hAnsi="宋体" w:cs="宋体"/>
        <w:b/>
        <w:bCs/>
        <w:color w:val="005192"/>
        <w:sz w:val="32"/>
        <w:lang w:eastAsia="zh-CN"/>
      </w:rPr>
      <w:t>新安</w:t>
    </w:r>
    <w:r>
      <w:rPr>
        <w:rFonts w:hint="eastAsia" w:ascii="宋体" w:hAnsi="宋体" w:cs="宋体"/>
        <w:b/>
        <w:bCs/>
        <w:color w:val="005192"/>
        <w:sz w:val="32"/>
        <w:szCs w:val="32"/>
        <w:lang w:val="en-US" w:eastAsia="zh-CN"/>
      </w:rPr>
      <w:t>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9A232A0"/>
    <w:rsid w:val="3A1C636B"/>
    <w:rsid w:val="3B5A6BBB"/>
    <w:rsid w:val="3BE16DE7"/>
    <w:rsid w:val="3E0E7999"/>
    <w:rsid w:val="3EDA13A6"/>
    <w:rsid w:val="3F5730EA"/>
    <w:rsid w:val="42F058B7"/>
    <w:rsid w:val="436109F6"/>
    <w:rsid w:val="441A38D4"/>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EF88695"/>
    <w:rsid w:val="608816D1"/>
    <w:rsid w:val="69D03F98"/>
    <w:rsid w:val="6A7F4576"/>
    <w:rsid w:val="6BF75DB0"/>
    <w:rsid w:val="6D0E3F22"/>
    <w:rsid w:val="6D772313"/>
    <w:rsid w:val="70AF1C83"/>
    <w:rsid w:val="714A2531"/>
    <w:rsid w:val="71C61E01"/>
    <w:rsid w:val="71E9213F"/>
    <w:rsid w:val="75AA717D"/>
    <w:rsid w:val="7C9011D9"/>
    <w:rsid w:val="7CFB3184"/>
    <w:rsid w:val="7DC651C5"/>
    <w:rsid w:val="7DFBC28B"/>
    <w:rsid w:val="7FED60B9"/>
    <w:rsid w:val="D5F6BFC8"/>
    <w:rsid w:val="D6DD9B99"/>
    <w:rsid w:val="DDB74FB9"/>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3"/>
    <w:unhideWhenUsed/>
    <w:qFormat/>
    <w:uiPriority w:val="99"/>
    <w:pPr>
      <w:ind w:firstLine="420" w:firstLineChars="200"/>
    </w:pPr>
  </w:style>
  <w:style w:type="paragraph" w:styleId="3">
    <w:name w:val="index 5"/>
    <w:next w:val="1"/>
    <w:qFormat/>
    <w:uiPriority w:val="0"/>
    <w:pPr>
      <w:widowControl w:val="0"/>
      <w:ind w:left="1680"/>
      <w:jc w:val="both"/>
    </w:pPr>
    <w:rPr>
      <w:rFonts w:ascii="仿宋_GB2312" w:hAnsi="Times New Roman" w:eastAsia="仿宋_GB2312" w:cs="Arial"/>
      <w:kern w:val="2"/>
      <w:sz w:val="32"/>
      <w:szCs w:val="32"/>
      <w:lang w:val="en-US" w:eastAsia="zh-CN" w:bidi="ar-SA"/>
    </w:r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page number"/>
    <w:basedOn w:val="10"/>
    <w:qFormat/>
    <w:uiPriority w:val="0"/>
  </w:style>
  <w:style w:type="paragraph" w:customStyle="1" w:styleId="12">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3">
    <w:name w:val="一级标题（二号小标宋）"/>
    <w:basedOn w:val="1"/>
    <w:link w:val="16"/>
    <w:qFormat/>
    <w:uiPriority w:val="0"/>
    <w:pPr>
      <w:jc w:val="center"/>
    </w:pPr>
    <w:rPr>
      <w:rFonts w:ascii="方正书宋简体" w:hAnsi="方正书宋简体" w:eastAsia="方正小标宋_GBK"/>
      <w:color w:val="000000"/>
      <w:sz w:val="42"/>
      <w:szCs w:val="42"/>
    </w:rPr>
  </w:style>
  <w:style w:type="paragraph" w:customStyle="1" w:styleId="14">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5">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6">
    <w:name w:val="一级标题（二号小标宋） Char"/>
    <w:basedOn w:val="10"/>
    <w:link w:val="13"/>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5</TotalTime>
  <ScaleCrop>false</ScaleCrop>
  <LinksUpToDate>false</LinksUpToDate>
  <CharactersWithSpaces>2816</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2021-09-12T02:41:00Z</dcterms:created>
  <dc:creator>t</dc:creator>
  <cp:lastModifiedBy>huanghe</cp:lastModifiedBy>
  <cp:lastPrinted>2021-09-25T01:19:00Z</cp:lastPrinted>
  <dcterms:modified xsi:type="dcterms:W3CDTF">2025-08-04T10:13:16Z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B2730C3DE4B44101801484FFB4A50383</vt:lpwstr>
  </property>
</Properties>
</file>