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D692BA">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bookmarkStart w:id="0" w:name="_GoBack"/>
      <w:bookmarkEnd w:id="0"/>
    </w:p>
    <w:p w14:paraId="721E4984">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14:paraId="2D9D0709">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洛阳市发展和改革委员会</w:t>
      </w:r>
    </w:p>
    <w:p w14:paraId="70299180">
      <w:pPr>
        <w:keepNext w:val="0"/>
        <w:keepLines w:val="0"/>
        <w:pageBreakBefore w:val="0"/>
        <w:widowControl w:val="0"/>
        <w:numPr>
          <w:ilvl w:val="0"/>
          <w:numId w:val="0"/>
        </w:numPr>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20"/>
          <w:sz w:val="44"/>
          <w:szCs w:val="44"/>
          <w:lang w:val="en-US" w:eastAsia="zh-CN"/>
        </w:rPr>
      </w:pPr>
      <w:r>
        <w:rPr>
          <w:rFonts w:hint="default" w:ascii="Times New Roman" w:hAnsi="Times New Roman" w:eastAsia="方正小标宋简体" w:cs="Times New Roman"/>
          <w:spacing w:val="-20"/>
          <w:sz w:val="44"/>
          <w:szCs w:val="44"/>
          <w:lang w:val="en-US" w:eastAsia="zh-CN"/>
        </w:rPr>
        <w:t>关于保留、修改和废止洛阳市发展和改革委员会</w:t>
      </w:r>
    </w:p>
    <w:p w14:paraId="77BB6E5F">
      <w:pPr>
        <w:keepNext w:val="0"/>
        <w:keepLines w:val="0"/>
        <w:pageBreakBefore w:val="0"/>
        <w:widowControl w:val="0"/>
        <w:numPr>
          <w:ilvl w:val="0"/>
          <w:numId w:val="0"/>
        </w:numPr>
        <w:kinsoku/>
        <w:wordWrap/>
        <w:overflowPunct/>
        <w:topLinePunct w:val="0"/>
        <w:autoSpaceDE/>
        <w:autoSpaceDN/>
        <w:bidi w:val="0"/>
        <w:adjustRightInd/>
        <w:snapToGrid/>
        <w:spacing w:line="64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方正小标宋简体" w:cs="Times New Roman"/>
          <w:spacing w:val="-20"/>
          <w:sz w:val="44"/>
          <w:szCs w:val="44"/>
          <w:lang w:val="en-US" w:eastAsia="zh-CN"/>
        </w:rPr>
        <w:t>行政规范性文件和政策文件的决定</w:t>
      </w:r>
    </w:p>
    <w:p w14:paraId="633FFDB0">
      <w:pPr>
        <w:pStyle w:val="2"/>
        <w:jc w:val="center"/>
        <w:rPr>
          <w:rFonts w:hint="default" w:ascii="Times New Roman" w:hAnsi="Times New Roman" w:cs="Times New Roman"/>
        </w:rPr>
      </w:pPr>
      <w:r>
        <w:rPr>
          <w:rFonts w:hint="default" w:ascii="Times New Roman" w:hAnsi="Times New Roman" w:eastAsia="仿宋_GB2312" w:cs="Times New Roman"/>
          <w:sz w:val="32"/>
          <w:szCs w:val="32"/>
        </w:rPr>
        <w:t>洛发改〔202</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rPr>
        <w:t>号</w:t>
      </w:r>
    </w:p>
    <w:p w14:paraId="110A338E">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各县区发展改革委，机关各科室、委属各单位：</w:t>
      </w:r>
    </w:p>
    <w:p w14:paraId="64E0917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为维护国家法治统一和政令畅通，持续推进依法行政和法治政府建设，市发展改革委对截止2025年3月31日前制定的现行有效的行政规范性文件和政策文件进行了清理。现将清理结果予以公布。</w:t>
      </w:r>
    </w:p>
    <w:p w14:paraId="15C2DB7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sz w:val="32"/>
          <w:szCs w:val="32"/>
          <w:lang w:val="en-US" w:eastAsia="zh-CN"/>
        </w:rPr>
      </w:pPr>
    </w:p>
    <w:p w14:paraId="55017C5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附件：</w:t>
      </w:r>
      <w:r>
        <w:rPr>
          <w:rFonts w:hint="default" w:ascii="Times New Roman" w:hAnsi="Times New Roman" w:eastAsia="仿宋_GB2312" w:cs="Times New Roman"/>
          <w:sz w:val="32"/>
          <w:szCs w:val="32"/>
          <w:lang w:val="en-US" w:eastAsia="zh-CN"/>
        </w:rPr>
        <w:t>1.决定保留的行政规范性文件目录（9件）</w:t>
      </w:r>
    </w:p>
    <w:p w14:paraId="1BCFE6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2.决定修改的行政规范性文件目录（2件）</w:t>
      </w:r>
    </w:p>
    <w:p w14:paraId="2F28D0C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3.决定废止的行政规范性文件目录（6件）</w:t>
      </w:r>
    </w:p>
    <w:p w14:paraId="116D1F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4.决定废止的政策文件目录（2件）</w:t>
      </w:r>
    </w:p>
    <w:p w14:paraId="6A67BD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left"/>
        <w:textAlignment w:val="auto"/>
        <w:rPr>
          <w:rFonts w:hint="default" w:ascii="Times New Roman" w:hAnsi="Times New Roman" w:eastAsia="仿宋_GB2312" w:cs="Times New Roman"/>
          <w:sz w:val="32"/>
          <w:szCs w:val="32"/>
          <w:lang w:val="en-US" w:eastAsia="zh-CN"/>
        </w:rPr>
      </w:pPr>
    </w:p>
    <w:p w14:paraId="1E3B0A9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left"/>
        <w:textAlignment w:val="auto"/>
        <w:rPr>
          <w:rFonts w:hint="default" w:ascii="Times New Roman" w:hAnsi="Times New Roman" w:eastAsia="仿宋_GB2312" w:cs="Times New Roman"/>
          <w:sz w:val="32"/>
          <w:szCs w:val="32"/>
          <w:lang w:val="en-US" w:eastAsia="zh-CN"/>
        </w:rPr>
      </w:pPr>
    </w:p>
    <w:p w14:paraId="1B8518B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left"/>
        <w:textAlignment w:val="auto"/>
        <w:rPr>
          <w:rFonts w:hint="default" w:ascii="Times New Roman" w:hAnsi="Times New Roman" w:eastAsia="仿宋_GB2312" w:cs="Times New Roman"/>
          <w:sz w:val="32"/>
          <w:szCs w:val="32"/>
          <w:lang w:val="en-US" w:eastAsia="zh-CN"/>
        </w:rPr>
      </w:pPr>
    </w:p>
    <w:p w14:paraId="7A387529">
      <w:pPr>
        <w:pStyle w:val="2"/>
        <w:keepNext w:val="0"/>
        <w:keepLines w:val="0"/>
        <w:pageBreakBefore w:val="0"/>
        <w:kinsoku/>
        <w:wordWrap/>
        <w:overflowPunct/>
        <w:topLinePunct w:val="0"/>
        <w:autoSpaceDE/>
        <w:autoSpaceDN/>
        <w:bidi w:val="0"/>
        <w:spacing w:after="0" w:afterLines="0" w:line="600" w:lineRule="exac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2025年</w:t>
      </w:r>
      <w:r>
        <w:rPr>
          <w:rFonts w:hint="default" w:ascii="Times New Roman" w:hAnsi="Times New Roman" w:cs="Times New Roman"/>
          <w:sz w:val="32"/>
          <w:szCs w:val="32"/>
          <w:lang w:val="en-US" w:eastAsia="zh-CN"/>
        </w:rPr>
        <w:t>7</w:t>
      </w:r>
      <w:r>
        <w:rPr>
          <w:rFonts w:hint="default" w:ascii="Times New Roman" w:hAnsi="Times New Roman" w:eastAsia="仿宋_GB2312" w:cs="Times New Roman"/>
          <w:sz w:val="32"/>
          <w:szCs w:val="32"/>
          <w:lang w:val="en-US" w:eastAsia="zh-CN"/>
        </w:rPr>
        <w:t>月</w:t>
      </w:r>
      <w:r>
        <w:rPr>
          <w:rFonts w:hint="default" w:ascii="Times New Roman" w:hAnsi="Times New Roman" w:cs="Times New Roman"/>
          <w:sz w:val="32"/>
          <w:szCs w:val="32"/>
          <w:lang w:val="en-US" w:eastAsia="zh-CN"/>
        </w:rPr>
        <w:t>30</w:t>
      </w:r>
      <w:r>
        <w:rPr>
          <w:rFonts w:hint="default" w:ascii="Times New Roman" w:hAnsi="Times New Roman" w:eastAsia="仿宋_GB2312" w:cs="Times New Roman"/>
          <w:sz w:val="32"/>
          <w:szCs w:val="32"/>
          <w:lang w:val="en-US" w:eastAsia="zh-CN"/>
        </w:rPr>
        <w:t>日</w:t>
      </w:r>
    </w:p>
    <w:p w14:paraId="0F724B6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r>
        <w:rPr>
          <w:rFonts w:hint="default" w:ascii="Times New Roman" w:hAnsi="Times New Roman" w:eastAsia="黑体" w:cs="Times New Roman"/>
          <w:sz w:val="32"/>
          <w:szCs w:val="32"/>
          <w:lang w:val="en-US" w:eastAsia="zh-CN"/>
        </w:rPr>
        <w:t>附件1</w:t>
      </w:r>
    </w:p>
    <w:p w14:paraId="148D6D3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lang w:val="en-US" w:eastAsia="zh-CN"/>
        </w:rPr>
      </w:pPr>
    </w:p>
    <w:p w14:paraId="1AD6ECC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决定保留的行政规范性文件目录</w:t>
      </w:r>
    </w:p>
    <w:p w14:paraId="5B3B647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lang w:val="en-US" w:eastAsia="zh-CN"/>
        </w:rPr>
      </w:pPr>
    </w:p>
    <w:tbl>
      <w:tblPr>
        <w:tblStyle w:val="10"/>
        <w:tblW w:w="9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5311"/>
        <w:gridCol w:w="2946"/>
      </w:tblGrid>
      <w:tr w14:paraId="779C9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73FA183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序号</w:t>
            </w:r>
          </w:p>
        </w:tc>
        <w:tc>
          <w:tcPr>
            <w:tcW w:w="5311" w:type="dxa"/>
            <w:noWrap w:val="0"/>
            <w:vAlign w:val="center"/>
          </w:tcPr>
          <w:p w14:paraId="5603C19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文件名</w:t>
            </w:r>
          </w:p>
        </w:tc>
        <w:tc>
          <w:tcPr>
            <w:tcW w:w="2946" w:type="dxa"/>
            <w:noWrap w:val="0"/>
            <w:vAlign w:val="center"/>
          </w:tcPr>
          <w:p w14:paraId="1B0D947F">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文号</w:t>
            </w:r>
          </w:p>
        </w:tc>
      </w:tr>
      <w:tr w14:paraId="791AB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71AB824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sz w:val="32"/>
                <w:szCs w:val="32"/>
                <w:vertAlign w:val="baseline"/>
                <w:lang w:val="en-US" w:eastAsia="zh-CN"/>
              </w:rPr>
              <w:t>1</w:t>
            </w:r>
          </w:p>
        </w:tc>
        <w:tc>
          <w:tcPr>
            <w:tcW w:w="5311" w:type="dxa"/>
            <w:noWrap w:val="0"/>
            <w:vAlign w:val="center"/>
          </w:tcPr>
          <w:p w14:paraId="5B56D97E">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关于调整洛阳市城区公共供水价格的通知</w:t>
            </w:r>
          </w:p>
        </w:tc>
        <w:tc>
          <w:tcPr>
            <w:tcW w:w="2946" w:type="dxa"/>
            <w:noWrap w:val="0"/>
            <w:vAlign w:val="center"/>
          </w:tcPr>
          <w:p w14:paraId="15BB6A3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洛发改〔2020〕5号</w:t>
            </w:r>
          </w:p>
        </w:tc>
      </w:tr>
      <w:tr w14:paraId="57D1E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00FEA4C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2</w:t>
            </w:r>
          </w:p>
        </w:tc>
        <w:tc>
          <w:tcPr>
            <w:tcW w:w="5311" w:type="dxa"/>
            <w:noWrap w:val="0"/>
            <w:vAlign w:val="center"/>
          </w:tcPr>
          <w:p w14:paraId="12EB46F9">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关于我市城市轨道交通票价的批复</w:t>
            </w:r>
          </w:p>
        </w:tc>
        <w:tc>
          <w:tcPr>
            <w:tcW w:w="2946" w:type="dxa"/>
            <w:noWrap w:val="0"/>
            <w:vAlign w:val="center"/>
          </w:tcPr>
          <w:p w14:paraId="3A85004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洛发改〔2021〕1号</w:t>
            </w:r>
          </w:p>
        </w:tc>
      </w:tr>
      <w:tr w14:paraId="74954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1DC301E9">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3</w:t>
            </w:r>
          </w:p>
        </w:tc>
        <w:tc>
          <w:tcPr>
            <w:tcW w:w="5311" w:type="dxa"/>
            <w:noWrap w:val="0"/>
            <w:vAlign w:val="center"/>
          </w:tcPr>
          <w:p w14:paraId="732EB1FF">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关于洛阳市轨道交通集团有限责任公司收取优惠储值普通IC卡押金及工本费的批复</w:t>
            </w:r>
          </w:p>
        </w:tc>
        <w:tc>
          <w:tcPr>
            <w:tcW w:w="2946" w:type="dxa"/>
            <w:noWrap w:val="0"/>
            <w:vAlign w:val="center"/>
          </w:tcPr>
          <w:p w14:paraId="44950CE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洛发改〔2021〕3号</w:t>
            </w:r>
          </w:p>
        </w:tc>
      </w:tr>
      <w:tr w14:paraId="4F7C8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4200798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sz w:val="32"/>
                <w:szCs w:val="32"/>
                <w:vertAlign w:val="baseline"/>
                <w:lang w:val="en-US" w:eastAsia="zh-CN"/>
              </w:rPr>
              <w:t>4</w:t>
            </w:r>
          </w:p>
        </w:tc>
        <w:tc>
          <w:tcPr>
            <w:tcW w:w="5311" w:type="dxa"/>
            <w:noWrap w:val="0"/>
            <w:vAlign w:val="center"/>
          </w:tcPr>
          <w:p w14:paraId="552002C3">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i w:val="0"/>
                <w:iCs w:val="0"/>
                <w:color w:val="000000"/>
                <w:kern w:val="0"/>
                <w:sz w:val="32"/>
                <w:szCs w:val="32"/>
                <w:u w:val="none"/>
                <w:lang w:val="en-US" w:eastAsia="zh-CN" w:bidi="ar"/>
              </w:rPr>
              <w:t>洛阳市中心城区巡游出租车运价调整方案</w:t>
            </w:r>
          </w:p>
        </w:tc>
        <w:tc>
          <w:tcPr>
            <w:tcW w:w="2946" w:type="dxa"/>
            <w:noWrap w:val="0"/>
            <w:vAlign w:val="center"/>
          </w:tcPr>
          <w:p w14:paraId="6F9B8BE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i w:val="0"/>
                <w:iCs w:val="0"/>
                <w:color w:val="000000"/>
                <w:kern w:val="0"/>
                <w:sz w:val="32"/>
                <w:szCs w:val="32"/>
                <w:u w:val="none"/>
                <w:lang w:val="en-US" w:eastAsia="zh-CN" w:bidi="ar"/>
              </w:rPr>
              <w:t>洛发改〔2022〕2号</w:t>
            </w:r>
          </w:p>
        </w:tc>
      </w:tr>
      <w:tr w14:paraId="2DF0F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0BDD4DF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5</w:t>
            </w:r>
          </w:p>
        </w:tc>
        <w:tc>
          <w:tcPr>
            <w:tcW w:w="5311" w:type="dxa"/>
            <w:noWrap w:val="0"/>
            <w:vAlign w:val="center"/>
          </w:tcPr>
          <w:p w14:paraId="044F6DF3">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关于制定洛阳市城镇非居民用水超定额累进加价制度实施办法的通知</w:t>
            </w:r>
          </w:p>
        </w:tc>
        <w:tc>
          <w:tcPr>
            <w:tcW w:w="2946" w:type="dxa"/>
            <w:noWrap w:val="0"/>
            <w:vAlign w:val="center"/>
          </w:tcPr>
          <w:p w14:paraId="3FF68A6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洛发改〔2022〕4号</w:t>
            </w:r>
          </w:p>
        </w:tc>
      </w:tr>
      <w:tr w14:paraId="76DE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603F64E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6</w:t>
            </w:r>
          </w:p>
        </w:tc>
        <w:tc>
          <w:tcPr>
            <w:tcW w:w="5311" w:type="dxa"/>
            <w:noWrap w:val="0"/>
            <w:vAlign w:val="center"/>
          </w:tcPr>
          <w:p w14:paraId="3620172A">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关于核定我市义务教育阶段线下学科类校外培训收费标准有关事项的通知</w:t>
            </w:r>
          </w:p>
        </w:tc>
        <w:tc>
          <w:tcPr>
            <w:tcW w:w="2946" w:type="dxa"/>
            <w:noWrap w:val="0"/>
            <w:vAlign w:val="center"/>
          </w:tcPr>
          <w:p w14:paraId="2B3FA63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洛发改〔2023〕1号</w:t>
            </w:r>
          </w:p>
        </w:tc>
      </w:tr>
      <w:tr w14:paraId="24D4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15D3773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7</w:t>
            </w:r>
          </w:p>
        </w:tc>
        <w:tc>
          <w:tcPr>
            <w:tcW w:w="5311" w:type="dxa"/>
            <w:noWrap w:val="0"/>
            <w:vAlign w:val="center"/>
          </w:tcPr>
          <w:p w14:paraId="403E837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关于我市中心城区公办普通高中学费标准调整的通知</w:t>
            </w:r>
          </w:p>
        </w:tc>
        <w:tc>
          <w:tcPr>
            <w:tcW w:w="2946" w:type="dxa"/>
            <w:noWrap w:val="0"/>
            <w:vAlign w:val="center"/>
          </w:tcPr>
          <w:p w14:paraId="14FE94B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洛发改〔2023〕2号</w:t>
            </w:r>
          </w:p>
        </w:tc>
      </w:tr>
      <w:tr w14:paraId="04766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2BADE35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8</w:t>
            </w:r>
          </w:p>
        </w:tc>
        <w:tc>
          <w:tcPr>
            <w:tcW w:w="5311" w:type="dxa"/>
            <w:noWrap w:val="0"/>
            <w:vAlign w:val="center"/>
          </w:tcPr>
          <w:p w14:paraId="64368B72">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关于印发《洛阳市电网项目承诺制实施办法》的通知</w:t>
            </w:r>
          </w:p>
        </w:tc>
        <w:tc>
          <w:tcPr>
            <w:tcW w:w="2946" w:type="dxa"/>
            <w:noWrap w:val="0"/>
            <w:vAlign w:val="center"/>
          </w:tcPr>
          <w:p w14:paraId="09B5E79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洛发改〔2023〕3号</w:t>
            </w:r>
          </w:p>
        </w:tc>
      </w:tr>
      <w:tr w14:paraId="3855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6B85CF86">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9</w:t>
            </w:r>
          </w:p>
        </w:tc>
        <w:tc>
          <w:tcPr>
            <w:tcW w:w="5311" w:type="dxa"/>
            <w:noWrap w:val="0"/>
            <w:vAlign w:val="center"/>
          </w:tcPr>
          <w:p w14:paraId="206066BD">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关于规范中心城区物业服务收费行为的通知</w:t>
            </w:r>
          </w:p>
        </w:tc>
        <w:tc>
          <w:tcPr>
            <w:tcW w:w="2946" w:type="dxa"/>
            <w:noWrap w:val="0"/>
            <w:vAlign w:val="center"/>
          </w:tcPr>
          <w:p w14:paraId="0A9A9C5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洛发改〔2024〕1号</w:t>
            </w:r>
          </w:p>
        </w:tc>
      </w:tr>
    </w:tbl>
    <w:p w14:paraId="06C7E84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b w:val="0"/>
          <w:bCs w:val="0"/>
          <w:sz w:val="32"/>
          <w:szCs w:val="28"/>
          <w:lang w:val="en-US" w:eastAsia="zh-CN"/>
        </w:rPr>
        <w:br w:type="page"/>
      </w:r>
      <w:r>
        <w:rPr>
          <w:rFonts w:hint="default" w:ascii="Times New Roman" w:hAnsi="Times New Roman" w:eastAsia="黑体" w:cs="Times New Roman"/>
          <w:sz w:val="32"/>
          <w:szCs w:val="32"/>
          <w:lang w:val="en-US" w:eastAsia="zh-CN"/>
        </w:rPr>
        <w:t>附件2</w:t>
      </w:r>
    </w:p>
    <w:p w14:paraId="5B26615B">
      <w:pPr>
        <w:keepNext w:val="0"/>
        <w:keepLines w:val="0"/>
        <w:pageBreakBefore w:val="0"/>
        <w:widowControl w:val="0"/>
        <w:kinsoku/>
        <w:wordWrap/>
        <w:overflowPunct/>
        <w:topLinePunct w:val="0"/>
        <w:autoSpaceDE/>
        <w:autoSpaceDN/>
        <w:bidi w:val="0"/>
        <w:adjustRightInd/>
        <w:snapToGrid/>
        <w:spacing w:before="0" w:after="0" w:line="540" w:lineRule="exact"/>
        <w:ind w:right="0"/>
        <w:jc w:val="both"/>
        <w:textAlignment w:val="auto"/>
        <w:outlineLvl w:val="9"/>
        <w:rPr>
          <w:rFonts w:hint="default" w:ascii="Times New Roman" w:hAnsi="Times New Roman" w:eastAsia="仿宋_GB2312" w:cs="Times New Roman"/>
          <w:b w:val="0"/>
          <w:bCs w:val="0"/>
          <w:sz w:val="32"/>
          <w:szCs w:val="28"/>
          <w:lang w:val="en-US" w:eastAsia="zh-CN"/>
        </w:rPr>
      </w:pPr>
    </w:p>
    <w:p w14:paraId="730854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决定修改的行政规范性文件</w:t>
      </w:r>
    </w:p>
    <w:p w14:paraId="2341FBC6">
      <w:pPr>
        <w:keepNext w:val="0"/>
        <w:keepLines w:val="0"/>
        <w:pageBreakBefore w:val="0"/>
        <w:widowControl w:val="0"/>
        <w:kinsoku/>
        <w:wordWrap/>
        <w:overflowPunct/>
        <w:topLinePunct w:val="0"/>
        <w:autoSpaceDE/>
        <w:autoSpaceDN/>
        <w:bidi w:val="0"/>
        <w:adjustRightInd/>
        <w:snapToGrid/>
        <w:spacing w:before="0" w:after="0" w:line="540" w:lineRule="exact"/>
        <w:ind w:right="0"/>
        <w:jc w:val="both"/>
        <w:textAlignment w:val="auto"/>
        <w:outlineLvl w:val="9"/>
        <w:rPr>
          <w:rFonts w:hint="default" w:ascii="Times New Roman" w:hAnsi="Times New Roman" w:eastAsia="仿宋_GB2312" w:cs="Times New Roman"/>
          <w:b w:val="0"/>
          <w:bCs w:val="0"/>
          <w:sz w:val="32"/>
          <w:szCs w:val="28"/>
          <w:lang w:val="en-US" w:eastAsia="zh-CN"/>
        </w:rPr>
      </w:pPr>
    </w:p>
    <w:tbl>
      <w:tblPr>
        <w:tblStyle w:val="10"/>
        <w:tblW w:w="9469" w:type="dxa"/>
        <w:tblInd w:w="-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3047"/>
        <w:gridCol w:w="3143"/>
        <w:gridCol w:w="2333"/>
      </w:tblGrid>
      <w:tr w14:paraId="3A57A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3F2AF7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序号</w:t>
            </w:r>
          </w:p>
        </w:tc>
        <w:tc>
          <w:tcPr>
            <w:tcW w:w="3047" w:type="dxa"/>
            <w:noWrap w:val="0"/>
            <w:vAlign w:val="center"/>
          </w:tcPr>
          <w:p w14:paraId="25215F5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文件名</w:t>
            </w:r>
          </w:p>
        </w:tc>
        <w:tc>
          <w:tcPr>
            <w:tcW w:w="3143" w:type="dxa"/>
            <w:noWrap w:val="0"/>
            <w:vAlign w:val="center"/>
          </w:tcPr>
          <w:p w14:paraId="56308A6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文号</w:t>
            </w:r>
          </w:p>
        </w:tc>
        <w:tc>
          <w:tcPr>
            <w:tcW w:w="2333" w:type="dxa"/>
            <w:noWrap w:val="0"/>
            <w:vAlign w:val="center"/>
          </w:tcPr>
          <w:p w14:paraId="78BDC8F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修改内容</w:t>
            </w:r>
          </w:p>
        </w:tc>
      </w:tr>
      <w:tr w14:paraId="416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287D32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bCs/>
                <w:sz w:val="32"/>
                <w:szCs w:val="32"/>
                <w:vertAlign w:val="baseline"/>
                <w:lang w:val="en-US" w:eastAsia="zh-CN"/>
              </w:rPr>
              <w:t>1</w:t>
            </w:r>
          </w:p>
        </w:tc>
        <w:tc>
          <w:tcPr>
            <w:tcW w:w="3047" w:type="dxa"/>
            <w:noWrap w:val="0"/>
            <w:vAlign w:val="center"/>
          </w:tcPr>
          <w:p w14:paraId="13F27A01">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val="0"/>
                <w:bCs w:val="0"/>
                <w:sz w:val="32"/>
                <w:szCs w:val="28"/>
                <w:lang w:val="en-US" w:eastAsia="zh-CN"/>
              </w:rPr>
              <w:t>洛阳市发展和改革委员会 洛阳市科技局</w:t>
            </w:r>
            <w:r>
              <w:rPr>
                <w:rFonts w:hint="default" w:ascii="Times New Roman" w:hAnsi="Times New Roman" w:cs="Times New Roman"/>
                <w:b w:val="0"/>
                <w:bCs w:val="0"/>
                <w:sz w:val="32"/>
                <w:szCs w:val="28"/>
                <w:lang w:val="en-US" w:eastAsia="zh-CN"/>
              </w:rPr>
              <w:t xml:space="preserve"> </w:t>
            </w:r>
            <w:r>
              <w:rPr>
                <w:rFonts w:hint="default" w:ascii="Times New Roman" w:hAnsi="Times New Roman" w:eastAsia="仿宋_GB2312" w:cs="Times New Roman"/>
                <w:b w:val="0"/>
                <w:bCs w:val="0"/>
                <w:sz w:val="32"/>
                <w:szCs w:val="28"/>
                <w:lang w:val="en-US" w:eastAsia="zh-CN"/>
              </w:rPr>
              <w:t>洛阳市财政局 国家税务总局洛阳市税务局 中华人民共和国洛阳海关关于印发洛阳市企业技术中心认定管理办法的通知</w:t>
            </w:r>
          </w:p>
        </w:tc>
        <w:tc>
          <w:tcPr>
            <w:tcW w:w="3143" w:type="dxa"/>
            <w:noWrap w:val="0"/>
            <w:vAlign w:val="center"/>
          </w:tcPr>
          <w:p w14:paraId="37CEAB1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val="0"/>
                <w:bCs w:val="0"/>
                <w:sz w:val="32"/>
                <w:szCs w:val="28"/>
                <w:lang w:val="en-US" w:eastAsia="zh-CN"/>
              </w:rPr>
              <w:t>洛发改〔2021〕2号</w:t>
            </w:r>
          </w:p>
        </w:tc>
        <w:tc>
          <w:tcPr>
            <w:tcW w:w="2333" w:type="dxa"/>
            <w:noWrap w:val="0"/>
            <w:vAlign w:val="center"/>
          </w:tcPr>
          <w:p w14:paraId="72002270">
            <w:pPr>
              <w:keepNext w:val="0"/>
              <w:keepLines w:val="0"/>
              <w:pageBreakBefore w:val="0"/>
              <w:widowControl w:val="0"/>
              <w:numPr>
                <w:ilvl w:val="0"/>
                <w:numId w:val="0"/>
              </w:numPr>
              <w:kinsoku/>
              <w:wordWrap/>
              <w:overflowPunct/>
              <w:topLinePunct w:val="0"/>
              <w:autoSpaceDE/>
              <w:autoSpaceDN/>
              <w:bidi w:val="0"/>
              <w:adjustRightInd/>
              <w:snapToGrid/>
              <w:spacing w:before="0" w:after="0" w:line="540" w:lineRule="exact"/>
              <w:ind w:right="0" w:rightChars="0"/>
              <w:jc w:val="both"/>
              <w:textAlignment w:val="auto"/>
              <w:outlineLvl w:val="9"/>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t>删除第六条（一）“在洛阳市境内依法注册”。</w:t>
            </w:r>
          </w:p>
          <w:p w14:paraId="6EB9982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p>
        </w:tc>
      </w:tr>
      <w:tr w14:paraId="7702B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946" w:type="dxa"/>
            <w:noWrap w:val="0"/>
            <w:vAlign w:val="center"/>
          </w:tcPr>
          <w:p w14:paraId="0D1D493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bCs/>
                <w:sz w:val="32"/>
                <w:szCs w:val="32"/>
                <w:vertAlign w:val="baseline"/>
                <w:lang w:val="en-US" w:eastAsia="zh-CN"/>
              </w:rPr>
              <w:t>2</w:t>
            </w:r>
          </w:p>
        </w:tc>
        <w:tc>
          <w:tcPr>
            <w:tcW w:w="3047" w:type="dxa"/>
            <w:noWrap w:val="0"/>
            <w:vAlign w:val="center"/>
          </w:tcPr>
          <w:p w14:paraId="1F2C1C6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t>洛阳市发展和改革委员会关于进一步完善机动车停放服务收费管理的通知</w:t>
            </w:r>
          </w:p>
        </w:tc>
        <w:tc>
          <w:tcPr>
            <w:tcW w:w="3143" w:type="dxa"/>
            <w:noWrap w:val="0"/>
            <w:vAlign w:val="center"/>
          </w:tcPr>
          <w:p w14:paraId="0775907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t>洛发改〔2018〕2号</w:t>
            </w:r>
          </w:p>
        </w:tc>
        <w:tc>
          <w:tcPr>
            <w:tcW w:w="2333" w:type="dxa"/>
            <w:noWrap w:val="0"/>
            <w:vAlign w:val="center"/>
          </w:tcPr>
          <w:p w14:paraId="2D11B9C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val="0"/>
                <w:bCs w:val="0"/>
                <w:sz w:val="32"/>
                <w:szCs w:val="28"/>
                <w:lang w:val="en-US" w:eastAsia="zh-CN"/>
              </w:rPr>
              <w:t>有效期延长至2028年6月30日。</w:t>
            </w:r>
            <w:r>
              <w:rPr>
                <w:rFonts w:hint="default" w:ascii="Times New Roman" w:hAnsi="Times New Roman" w:eastAsia="仿宋_GB2312" w:cs="Times New Roman"/>
                <w:b w:val="0"/>
                <w:bCs w:val="0"/>
                <w:sz w:val="32"/>
                <w:szCs w:val="28"/>
                <w:lang w:val="en-US" w:eastAsia="zh-CN"/>
              </w:rPr>
              <w:br w:type="page"/>
            </w:r>
          </w:p>
        </w:tc>
      </w:tr>
    </w:tbl>
    <w:p w14:paraId="24BD163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br w:type="page"/>
      </w:r>
      <w:r>
        <w:rPr>
          <w:rFonts w:hint="default" w:ascii="Times New Roman" w:hAnsi="Times New Roman" w:eastAsia="黑体" w:cs="Times New Roman"/>
          <w:sz w:val="32"/>
          <w:szCs w:val="32"/>
          <w:lang w:val="en-US" w:eastAsia="zh-CN"/>
        </w:rPr>
        <w:t>附件3</w:t>
      </w:r>
    </w:p>
    <w:p w14:paraId="0CBE5832">
      <w:pPr>
        <w:keepNext w:val="0"/>
        <w:keepLines w:val="0"/>
        <w:pageBreakBefore w:val="0"/>
        <w:widowControl w:val="0"/>
        <w:kinsoku/>
        <w:wordWrap/>
        <w:overflowPunct/>
        <w:topLinePunct w:val="0"/>
        <w:autoSpaceDE/>
        <w:autoSpaceDN/>
        <w:bidi w:val="0"/>
        <w:adjustRightInd/>
        <w:snapToGrid/>
        <w:spacing w:before="0" w:after="0" w:line="540" w:lineRule="exact"/>
        <w:ind w:left="0" w:leftChars="0" w:right="0" w:firstLine="0" w:firstLineChars="0"/>
        <w:jc w:val="both"/>
        <w:textAlignment w:val="auto"/>
        <w:outlineLvl w:val="9"/>
        <w:rPr>
          <w:rFonts w:hint="default" w:ascii="Times New Roman" w:hAnsi="Times New Roman" w:eastAsia="仿宋_GB2312" w:cs="Times New Roman"/>
          <w:b w:val="0"/>
          <w:bCs w:val="0"/>
          <w:sz w:val="32"/>
          <w:szCs w:val="28"/>
          <w:lang w:val="en-US" w:eastAsia="zh-CN"/>
        </w:rPr>
      </w:pPr>
    </w:p>
    <w:p w14:paraId="0AD20CC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决定废止的行政规范性文件目录</w:t>
      </w:r>
    </w:p>
    <w:p w14:paraId="19AD9D10">
      <w:pPr>
        <w:keepNext w:val="0"/>
        <w:keepLines w:val="0"/>
        <w:pageBreakBefore w:val="0"/>
        <w:widowControl w:val="0"/>
        <w:kinsoku/>
        <w:wordWrap/>
        <w:overflowPunct/>
        <w:topLinePunct w:val="0"/>
        <w:autoSpaceDE/>
        <w:autoSpaceDN/>
        <w:bidi w:val="0"/>
        <w:adjustRightInd/>
        <w:snapToGrid/>
        <w:spacing w:before="0" w:after="0" w:line="540" w:lineRule="exact"/>
        <w:ind w:right="0"/>
        <w:jc w:val="both"/>
        <w:textAlignment w:val="auto"/>
        <w:outlineLvl w:val="9"/>
        <w:rPr>
          <w:rFonts w:hint="default" w:ascii="Times New Roman" w:hAnsi="Times New Roman" w:eastAsia="仿宋_GB2312" w:cs="Times New Roman"/>
          <w:b w:val="0"/>
          <w:bCs w:val="0"/>
          <w:sz w:val="32"/>
          <w:szCs w:val="28"/>
          <w:lang w:val="en-US" w:eastAsia="zh-CN"/>
        </w:rPr>
      </w:pPr>
    </w:p>
    <w:tbl>
      <w:tblPr>
        <w:tblStyle w:val="9"/>
        <w:tblW w:w="884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9"/>
        <w:gridCol w:w="4776"/>
        <w:gridCol w:w="3162"/>
      </w:tblGrid>
      <w:tr w14:paraId="5E571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04F11B3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序号</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49E7849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文件名</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647BE59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文号</w:t>
            </w:r>
          </w:p>
        </w:tc>
      </w:tr>
      <w:tr w14:paraId="05F7B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1903AE1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1</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6904BEF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关于明确城市供水中特种行业用水范围的通知</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41C383B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洛发改〔2017〕2号</w:t>
            </w:r>
          </w:p>
        </w:tc>
      </w:tr>
      <w:tr w14:paraId="13831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67D8DFD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2</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378629B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关于取消基本热费政策有关问题的通知</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43F675E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洛发改〔2017〕4号</w:t>
            </w:r>
          </w:p>
        </w:tc>
      </w:tr>
      <w:tr w14:paraId="35C1A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656CEB1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3</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14FC217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关于调整市实验幼儿园等3所公办幼儿园保育教育费标准的通知</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34567A6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洛发改〔2020〕1号</w:t>
            </w:r>
          </w:p>
        </w:tc>
      </w:tr>
      <w:tr w14:paraId="23B09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2A0FAA1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4</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56FAE63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关于印发洛阳市加快白色污染治理实施方案的通知</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4F27414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洛发改〔2020〕2号</w:t>
            </w:r>
          </w:p>
        </w:tc>
      </w:tr>
      <w:tr w14:paraId="6FA0D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71CBB8B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5</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59FBE88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关于印发洛阳市构建市场导向的绿色技术创新体系实施方案的通知</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5CBE7D0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洛发改〔2020〕3号</w:t>
            </w:r>
          </w:p>
        </w:tc>
      </w:tr>
      <w:tr w14:paraId="18041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909" w:type="dxa"/>
            <w:tcBorders>
              <w:top w:val="single" w:color="000000" w:sz="4" w:space="0"/>
              <w:left w:val="single" w:color="000000" w:sz="4" w:space="0"/>
              <w:bottom w:val="single" w:color="000000" w:sz="4" w:space="0"/>
              <w:right w:val="single" w:color="000000" w:sz="4" w:space="0"/>
            </w:tcBorders>
            <w:noWrap/>
            <w:vAlign w:val="center"/>
          </w:tcPr>
          <w:p w14:paraId="343E509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6</w:t>
            </w:r>
          </w:p>
        </w:tc>
        <w:tc>
          <w:tcPr>
            <w:tcW w:w="4776" w:type="dxa"/>
            <w:tcBorders>
              <w:top w:val="single" w:color="000000" w:sz="4" w:space="0"/>
              <w:left w:val="single" w:color="000000" w:sz="4" w:space="0"/>
              <w:bottom w:val="single" w:color="000000" w:sz="4" w:space="0"/>
              <w:right w:val="single" w:color="000000" w:sz="4" w:space="0"/>
            </w:tcBorders>
            <w:noWrap w:val="0"/>
            <w:vAlign w:val="center"/>
          </w:tcPr>
          <w:p w14:paraId="5168AA2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洛阳市深化农村公共基础设施管护体制改革的实施意见</w:t>
            </w:r>
          </w:p>
        </w:tc>
        <w:tc>
          <w:tcPr>
            <w:tcW w:w="3162" w:type="dxa"/>
            <w:tcBorders>
              <w:top w:val="single" w:color="000000" w:sz="4" w:space="0"/>
              <w:left w:val="single" w:color="000000" w:sz="4" w:space="0"/>
              <w:bottom w:val="single" w:color="000000" w:sz="4" w:space="0"/>
              <w:right w:val="single" w:color="000000" w:sz="4" w:space="0"/>
            </w:tcBorders>
            <w:noWrap w:val="0"/>
            <w:vAlign w:val="center"/>
          </w:tcPr>
          <w:p w14:paraId="0930B41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洛发改〔2020〕4号</w:t>
            </w:r>
          </w:p>
        </w:tc>
      </w:tr>
    </w:tbl>
    <w:p w14:paraId="6EBA7C9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val="0"/>
          <w:bCs w:val="0"/>
          <w:sz w:val="32"/>
          <w:szCs w:val="28"/>
          <w:lang w:val="en-US" w:eastAsia="zh-CN"/>
        </w:rPr>
      </w:pPr>
      <w:r>
        <w:rPr>
          <w:rFonts w:hint="default" w:ascii="Times New Roman" w:hAnsi="Times New Roman" w:cs="Times New Roman"/>
        </w:rPr>
        <w:br w:type="page"/>
      </w:r>
      <w:r>
        <w:rPr>
          <w:rFonts w:hint="default" w:ascii="Times New Roman" w:hAnsi="Times New Roman" w:eastAsia="黑体" w:cs="Times New Roman"/>
          <w:sz w:val="32"/>
          <w:szCs w:val="32"/>
          <w:lang w:val="en-US" w:eastAsia="zh-CN"/>
        </w:rPr>
        <w:t>附件4</w:t>
      </w:r>
    </w:p>
    <w:p w14:paraId="59658066">
      <w:pPr>
        <w:keepNext w:val="0"/>
        <w:keepLines w:val="0"/>
        <w:pageBreakBefore w:val="0"/>
        <w:widowControl w:val="0"/>
        <w:kinsoku/>
        <w:wordWrap/>
        <w:overflowPunct/>
        <w:topLinePunct w:val="0"/>
        <w:autoSpaceDE/>
        <w:autoSpaceDN/>
        <w:bidi w:val="0"/>
        <w:adjustRightInd/>
        <w:snapToGrid/>
        <w:spacing w:before="0" w:after="0" w:line="540" w:lineRule="exact"/>
        <w:ind w:left="0" w:leftChars="0" w:right="0" w:firstLine="1280" w:firstLineChars="400"/>
        <w:jc w:val="both"/>
        <w:textAlignment w:val="auto"/>
        <w:outlineLvl w:val="9"/>
        <w:rPr>
          <w:rFonts w:hint="default" w:ascii="Times New Roman" w:hAnsi="Times New Roman" w:eastAsia="仿宋_GB2312" w:cs="Times New Roman"/>
          <w:b w:val="0"/>
          <w:bCs w:val="0"/>
          <w:sz w:val="32"/>
          <w:szCs w:val="28"/>
          <w:lang w:val="en-US" w:eastAsia="zh-CN"/>
        </w:rPr>
      </w:pPr>
    </w:p>
    <w:p w14:paraId="6FC8B8A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决定废止的政策文件目录</w:t>
      </w:r>
    </w:p>
    <w:p w14:paraId="374AAACA">
      <w:pPr>
        <w:keepNext w:val="0"/>
        <w:keepLines w:val="0"/>
        <w:pageBreakBefore w:val="0"/>
        <w:widowControl w:val="0"/>
        <w:numPr>
          <w:ilvl w:val="0"/>
          <w:numId w:val="0"/>
        </w:numPr>
        <w:kinsoku/>
        <w:wordWrap/>
        <w:overflowPunct/>
        <w:topLinePunct w:val="0"/>
        <w:autoSpaceDE/>
        <w:autoSpaceDN/>
        <w:bidi w:val="0"/>
        <w:adjustRightInd/>
        <w:snapToGrid/>
        <w:spacing w:before="0" w:after="0" w:line="540" w:lineRule="exact"/>
        <w:ind w:right="0" w:rightChars="0"/>
        <w:jc w:val="both"/>
        <w:textAlignment w:val="auto"/>
        <w:outlineLvl w:val="9"/>
        <w:rPr>
          <w:rFonts w:hint="default" w:ascii="Times New Roman" w:hAnsi="Times New Roman" w:eastAsia="仿宋_GB2312" w:cs="Times New Roman"/>
          <w:b w:val="0"/>
          <w:bCs w:val="0"/>
          <w:sz w:val="32"/>
          <w:szCs w:val="28"/>
          <w:lang w:val="en-US" w:eastAsia="zh-CN"/>
        </w:rPr>
      </w:pPr>
    </w:p>
    <w:tbl>
      <w:tblPr>
        <w:tblStyle w:val="10"/>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4481"/>
        <w:gridCol w:w="3803"/>
      </w:tblGrid>
      <w:tr w14:paraId="56FA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5A32E159">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序号</w:t>
            </w:r>
          </w:p>
        </w:tc>
        <w:tc>
          <w:tcPr>
            <w:tcW w:w="4481" w:type="dxa"/>
            <w:noWrap w:val="0"/>
            <w:vAlign w:val="center"/>
          </w:tcPr>
          <w:p w14:paraId="6E7FF85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文件名</w:t>
            </w:r>
          </w:p>
        </w:tc>
        <w:tc>
          <w:tcPr>
            <w:tcW w:w="3803" w:type="dxa"/>
            <w:noWrap w:val="0"/>
            <w:vAlign w:val="center"/>
          </w:tcPr>
          <w:p w14:paraId="52FDB9A9">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文号</w:t>
            </w:r>
          </w:p>
        </w:tc>
      </w:tr>
      <w:tr w14:paraId="05573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34FADB43">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b w:val="0"/>
                <w:bCs w:val="0"/>
                <w:sz w:val="32"/>
                <w:szCs w:val="32"/>
                <w:vertAlign w:val="baseline"/>
                <w:lang w:val="en-US" w:eastAsia="zh-CN"/>
              </w:rPr>
              <w:t>1</w:t>
            </w:r>
          </w:p>
        </w:tc>
        <w:tc>
          <w:tcPr>
            <w:tcW w:w="4481" w:type="dxa"/>
            <w:noWrap w:val="0"/>
            <w:vAlign w:val="center"/>
          </w:tcPr>
          <w:p w14:paraId="1D695A0E">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0" w:firstLineChars="0"/>
              <w:jc w:val="both"/>
              <w:textAlignment w:val="auto"/>
              <w:outlineLvl w:val="9"/>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b w:val="0"/>
                <w:bCs w:val="0"/>
                <w:sz w:val="32"/>
                <w:szCs w:val="32"/>
                <w:vertAlign w:val="baseline"/>
                <w:lang w:val="en-US" w:eastAsia="zh-CN"/>
              </w:rPr>
              <w:t>关于组织申报2024年河南省自主创新基本建设资金投资项目的通知</w:t>
            </w:r>
          </w:p>
        </w:tc>
        <w:tc>
          <w:tcPr>
            <w:tcW w:w="3803" w:type="dxa"/>
            <w:noWrap w:val="0"/>
            <w:vAlign w:val="center"/>
          </w:tcPr>
          <w:p w14:paraId="7F9A3926">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洛发改高</w:t>
            </w:r>
            <w:r>
              <w:rPr>
                <w:rFonts w:hint="eastAsia" w:ascii="Times New Roman" w:hAnsi="Times New Roman" w:eastAsia="仿宋_GB2312" w:cs="Times New Roman"/>
                <w:i w:val="0"/>
                <w:iCs w:val="0"/>
                <w:color w:val="000000"/>
                <w:kern w:val="0"/>
                <w:sz w:val="32"/>
                <w:szCs w:val="32"/>
                <w:u w:val="none"/>
                <w:lang w:val="en-US" w:eastAsia="zh-CN" w:bidi="ar"/>
              </w:rPr>
              <w:t>技</w:t>
            </w:r>
            <w:r>
              <w:rPr>
                <w:rFonts w:hint="default" w:ascii="Times New Roman" w:hAnsi="Times New Roman" w:eastAsia="仿宋_GB2312" w:cs="Times New Roman"/>
                <w:i w:val="0"/>
                <w:iCs w:val="0"/>
                <w:color w:val="000000"/>
                <w:kern w:val="0"/>
                <w:sz w:val="32"/>
                <w:szCs w:val="32"/>
                <w:u w:val="none"/>
                <w:lang w:val="en-US" w:eastAsia="zh-CN" w:bidi="ar"/>
              </w:rPr>
              <w:t>〔2024〕7号</w:t>
            </w:r>
          </w:p>
        </w:tc>
      </w:tr>
      <w:tr w14:paraId="7715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2FBC7E05">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b w:val="0"/>
                <w:bCs w:val="0"/>
                <w:sz w:val="32"/>
                <w:szCs w:val="32"/>
                <w:vertAlign w:val="baseline"/>
                <w:lang w:val="en-US" w:eastAsia="zh-CN"/>
              </w:rPr>
              <w:t>2</w:t>
            </w:r>
          </w:p>
        </w:tc>
        <w:tc>
          <w:tcPr>
            <w:tcW w:w="4481" w:type="dxa"/>
            <w:noWrap w:val="0"/>
            <w:vAlign w:val="center"/>
          </w:tcPr>
          <w:p w14:paraId="25F8B9B3">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0" w:firstLineChars="0"/>
              <w:jc w:val="both"/>
              <w:textAlignment w:val="auto"/>
              <w:outlineLvl w:val="9"/>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b w:val="0"/>
                <w:bCs w:val="0"/>
                <w:sz w:val="32"/>
                <w:szCs w:val="32"/>
                <w:vertAlign w:val="baseline"/>
                <w:lang w:val="en-US" w:eastAsia="zh-CN"/>
              </w:rPr>
              <w:t>关于组织申报2024年（第十七批）市企业技术中心的通知</w:t>
            </w:r>
          </w:p>
        </w:tc>
        <w:tc>
          <w:tcPr>
            <w:tcW w:w="3803" w:type="dxa"/>
            <w:noWrap w:val="0"/>
            <w:vAlign w:val="center"/>
          </w:tcPr>
          <w:p w14:paraId="40F0C112">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9"/>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b w:val="0"/>
                <w:bCs w:val="0"/>
                <w:sz w:val="32"/>
                <w:szCs w:val="32"/>
                <w:vertAlign w:val="baseline"/>
                <w:lang w:val="en-US" w:eastAsia="zh-CN"/>
              </w:rPr>
              <w:t>洛发改高</w:t>
            </w:r>
            <w:r>
              <w:rPr>
                <w:rFonts w:hint="eastAsia" w:ascii="Times New Roman" w:hAnsi="Times New Roman" w:eastAsia="仿宋_GB2312" w:cs="Times New Roman"/>
                <w:b w:val="0"/>
                <w:bCs w:val="0"/>
                <w:sz w:val="32"/>
                <w:szCs w:val="32"/>
                <w:vertAlign w:val="baseline"/>
                <w:lang w:val="en-US" w:eastAsia="zh-CN"/>
              </w:rPr>
              <w:t>技</w:t>
            </w:r>
            <w:r>
              <w:rPr>
                <w:rFonts w:hint="default" w:ascii="Times New Roman" w:hAnsi="Times New Roman" w:eastAsia="仿宋_GB2312" w:cs="Times New Roman"/>
                <w:i w:val="0"/>
                <w:iCs w:val="0"/>
                <w:color w:val="000000"/>
                <w:kern w:val="0"/>
                <w:sz w:val="32"/>
                <w:szCs w:val="32"/>
                <w:u w:val="none"/>
                <w:lang w:val="en-US" w:eastAsia="zh-CN" w:bidi="ar"/>
              </w:rPr>
              <w:t>〔2024〕18号</w:t>
            </w:r>
          </w:p>
        </w:tc>
      </w:tr>
    </w:tbl>
    <w:p w14:paraId="2DB5766F">
      <w:pPr>
        <w:pStyle w:val="5"/>
        <w:rPr>
          <w:rFonts w:hint="eastAsia" w:ascii="CESI黑体-GB2312" w:hAnsi="CESI黑体-GB2312" w:eastAsia="CESI黑体-GB2312" w:cs="CESI黑体-GB2312"/>
          <w:color w:val="000000"/>
          <w:sz w:val="32"/>
          <w:szCs w:val="32"/>
          <w:lang w:val="en-US" w:eastAsia="zh-CN"/>
        </w:rPr>
      </w:pPr>
    </w:p>
    <w:p w14:paraId="168FDEB8">
      <w:pPr>
        <w:pStyle w:val="5"/>
        <w:rPr>
          <w:rFonts w:hint="eastAsia" w:ascii="CESI黑体-GB2312" w:hAnsi="CESI黑体-GB2312" w:eastAsia="CESI黑体-GB2312" w:cs="CESI黑体-GB2312"/>
          <w:color w:val="000000"/>
          <w:sz w:val="32"/>
          <w:szCs w:val="32"/>
          <w:lang w:val="en-US" w:eastAsia="zh-CN"/>
        </w:rPr>
      </w:pPr>
    </w:p>
    <w:p w14:paraId="1905006C">
      <w:pPr>
        <w:pStyle w:val="5"/>
        <w:rPr>
          <w:rFonts w:hint="eastAsia" w:ascii="CESI黑体-GB2312" w:hAnsi="CESI黑体-GB2312" w:eastAsia="CESI黑体-GB2312" w:cs="CESI黑体-GB2312"/>
          <w:color w:val="000000"/>
          <w:sz w:val="32"/>
          <w:szCs w:val="32"/>
          <w:lang w:val="en-US" w:eastAsia="zh-CN"/>
        </w:rPr>
      </w:pPr>
    </w:p>
    <w:p w14:paraId="35A676C6">
      <w:pPr>
        <w:pStyle w:val="5"/>
        <w:rPr>
          <w:rFonts w:hint="eastAsia" w:ascii="CESI黑体-GB2312" w:hAnsi="CESI黑体-GB2312" w:eastAsia="CESI黑体-GB2312" w:cs="CESI黑体-GB2312"/>
          <w:color w:val="000000"/>
          <w:sz w:val="32"/>
          <w:szCs w:val="32"/>
          <w:lang w:val="en-US" w:eastAsia="zh-CN"/>
        </w:rPr>
      </w:pPr>
    </w:p>
    <w:p w14:paraId="5507690B">
      <w:pPr>
        <w:pStyle w:val="5"/>
        <w:rPr>
          <w:rFonts w:hint="eastAsia" w:ascii="CESI黑体-GB2312" w:hAnsi="CESI黑体-GB2312" w:eastAsia="CESI黑体-GB2312" w:cs="CESI黑体-GB2312"/>
          <w:color w:val="000000"/>
          <w:sz w:val="32"/>
          <w:szCs w:val="32"/>
          <w:lang w:val="en-US" w:eastAsia="zh-CN"/>
        </w:rPr>
      </w:pPr>
    </w:p>
    <w:p w14:paraId="643ED50A">
      <w:pPr>
        <w:pStyle w:val="5"/>
        <w:rPr>
          <w:rFonts w:hint="eastAsia" w:ascii="CESI黑体-GB2312" w:hAnsi="CESI黑体-GB2312" w:eastAsia="CESI黑体-GB2312" w:cs="CESI黑体-GB2312"/>
          <w:color w:val="000000"/>
          <w:sz w:val="32"/>
          <w:szCs w:val="32"/>
          <w:lang w:val="en-US" w:eastAsia="zh-CN"/>
        </w:rPr>
      </w:pPr>
    </w:p>
    <w:p w14:paraId="5902C158">
      <w:pPr>
        <w:pStyle w:val="5"/>
        <w:rPr>
          <w:rFonts w:hint="eastAsia" w:ascii="CESI黑体-GB2312" w:hAnsi="CESI黑体-GB2312" w:eastAsia="CESI黑体-GB2312" w:cs="CESI黑体-GB2312"/>
          <w:color w:val="000000"/>
          <w:sz w:val="32"/>
          <w:szCs w:val="32"/>
          <w:lang w:val="en-US" w:eastAsia="zh-CN"/>
        </w:rPr>
      </w:pPr>
    </w:p>
    <w:p w14:paraId="0EECE043">
      <w:pPr>
        <w:pStyle w:val="5"/>
        <w:rPr>
          <w:rFonts w:hint="eastAsia" w:ascii="CESI黑体-GB2312" w:hAnsi="CESI黑体-GB2312" w:eastAsia="CESI黑体-GB2312" w:cs="CESI黑体-GB2312"/>
          <w:color w:val="000000"/>
          <w:sz w:val="32"/>
          <w:szCs w:val="32"/>
          <w:lang w:val="en-US" w:eastAsia="zh-CN"/>
        </w:rPr>
      </w:pPr>
    </w:p>
    <w:p w14:paraId="0FB8DDAD">
      <w:pPr>
        <w:pStyle w:val="5"/>
        <w:rPr>
          <w:rFonts w:hint="eastAsia" w:ascii="CESI黑体-GB2312" w:hAnsi="CESI黑体-GB2312" w:eastAsia="CESI黑体-GB2312" w:cs="CESI黑体-GB2312"/>
          <w:color w:val="000000"/>
          <w:sz w:val="32"/>
          <w:szCs w:val="32"/>
          <w:lang w:val="en-US" w:eastAsia="zh-CN"/>
        </w:rPr>
      </w:pPr>
    </w:p>
    <w:p w14:paraId="3B5C357C">
      <w:pPr>
        <w:pStyle w:val="5"/>
        <w:rPr>
          <w:rFonts w:hint="eastAsia" w:ascii="CESI黑体-GB2312" w:hAnsi="CESI黑体-GB2312" w:eastAsia="CESI黑体-GB2312" w:cs="CESI黑体-GB2312"/>
          <w:color w:val="000000"/>
          <w:sz w:val="32"/>
          <w:szCs w:val="32"/>
          <w:lang w:val="en-US" w:eastAsia="zh-CN"/>
        </w:rPr>
      </w:pPr>
    </w:p>
    <w:p w14:paraId="34F64F45">
      <w:pPr>
        <w:pStyle w:val="5"/>
        <w:rPr>
          <w:rFonts w:hint="eastAsia" w:ascii="CESI黑体-GB2312" w:hAnsi="CESI黑体-GB2312" w:eastAsia="CESI黑体-GB2312" w:cs="CESI黑体-GB2312"/>
          <w:color w:val="000000"/>
          <w:sz w:val="32"/>
          <w:szCs w:val="32"/>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column">
                  <wp:posOffset>5653405</wp:posOffset>
                </wp:positionH>
                <wp:positionV relativeFrom="paragraph">
                  <wp:posOffset>260985</wp:posOffset>
                </wp:positionV>
                <wp:extent cx="1202690" cy="1250315"/>
                <wp:effectExtent l="0" t="0" r="16510" b="6985"/>
                <wp:wrapNone/>
                <wp:docPr id="91" name="文本框 91"/>
                <wp:cNvGraphicFramePr/>
                <a:graphic xmlns:a="http://schemas.openxmlformats.org/drawingml/2006/main">
                  <a:graphicData uri="http://schemas.microsoft.com/office/word/2010/wordprocessingShape">
                    <wps:wsp>
                      <wps:cNvSpPr txBox="1"/>
                      <wps:spPr>
                        <a:xfrm>
                          <a:off x="0" y="0"/>
                          <a:ext cx="1202690" cy="12503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B9D1FB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5.15pt;margin-top:20.55pt;height:98.45pt;width:94.7pt;z-index:251662336;mso-width-relative:page;mso-height-relative:page;" fillcolor="#FFFFFF [3201]" filled="t" stroked="f" coordsize="21600,21600" o:gfxdata="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DW1Ii1gAAAAsBAAAPAAAA&#10;AAAAAAEAIAAAACIAAABkcnMvZG93bnJldi54bWxQSwECFAAUAAAACACHTuJAoyTz6lACAACSBAAA&#10;DgAAAAAAAAABACAAAAAlAQAAZHJzL2Uyb0RvYy54bWxQSwUGAAAAAAYABgBZAQAA5wUAAAAA&#10;">
                <v:fill on="t" focussize="0,0"/>
                <v:stroke on="f" weight="0.5pt"/>
                <v:imagedata o:title=""/>
                <o:lock v:ext="edit" aspectratio="f"/>
                <v:textbox>
                  <w:txbxContent>
                    <w:p w14:paraId="0B9D1FBA"/>
                  </w:txbxContent>
                </v:textbox>
              </v:shape>
            </w:pict>
          </mc:Fallback>
        </mc:AlternateConten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312DA">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C256DB">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14:paraId="7FC256DB">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BF82433">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8872855" cy="2540"/>
              <wp:effectExtent l="0" t="10795" r="4445" b="15240"/>
              <wp:wrapNone/>
              <wp:docPr id="82" name="直接连接符 82"/>
              <wp:cNvGraphicFramePr/>
              <a:graphic xmlns:a="http://schemas.openxmlformats.org/drawingml/2006/main">
                <a:graphicData uri="http://schemas.microsoft.com/office/word/2010/wordprocessingShape">
                  <wps:wsp>
                    <wps:cNvCnPr/>
                    <wps:spPr>
                      <a:xfrm>
                        <a:off x="0" y="0"/>
                        <a:ext cx="8872855" cy="254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2pt;width:698.65pt;z-index:251660288;mso-width-relative:page;mso-height-relative:page;" filled="f" stroked="t" coordsize="21600,21600" o:gfxdata="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uN/ldQA&#10;AAAHAQAADwAAAAAAAAABACAAAAAiAAAAZHJzL2Rvd25yZXYueG1sUEsBAhQAFAAAAAgAh07iQHjh&#10;aZrqAQAAtw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 xml:space="preserve">                   洛洛阳市发展和改革委员会</w:t>
    </w:r>
    <w:r>
      <w:rPr>
        <w:rFonts w:hint="eastAsia" w:ascii="宋体" w:hAnsi="宋体" w:eastAsia="宋体" w:cs="宋体"/>
        <w:b/>
        <w:bCs/>
        <w:color w:val="005192"/>
        <w:sz w:val="28"/>
        <w:szCs w:val="44"/>
        <w:lang w:val="en-US" w:eastAsia="zh-CN"/>
      </w:rPr>
      <w:t xml:space="preserve">发布    </w:t>
    </w:r>
  </w:p>
  <w:p w14:paraId="4AA1A277">
    <w:pPr>
      <w:pStyle w:val="7"/>
      <w:wordWrap/>
      <w:ind w:left="895" w:leftChars="407" w:firstLine="9240" w:firstLineChars="3287"/>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94EF6">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8888730" cy="0"/>
              <wp:effectExtent l="0" t="10795" r="7620" b="17780"/>
              <wp:wrapNone/>
              <wp:docPr id="44" name="直接连接符 44"/>
              <wp:cNvGraphicFramePr/>
              <a:graphic xmlns:a="http://schemas.openxmlformats.org/drawingml/2006/main">
                <a:graphicData uri="http://schemas.microsoft.com/office/word/2010/wordprocessingShape">
                  <wps:wsp>
                    <wps:cNvCnPr/>
                    <wps:spPr>
                      <a:xfrm>
                        <a:off x="4133850" y="864870"/>
                        <a:ext cx="888873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699.9pt;z-index:251659264;mso-width-relative:page;mso-height-relative:page;" filled="f" stroked="t" coordsize="21600,21600" o:gfxdata="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h57RrVAAAACgEAAA8AAAAAAAAAAQAgAAAAIgAAAGRycy9kb3ducmV2LnhtbFBLAQIUABQA&#10;AAAIAIdO4kCXzIda8wEAAL8DAAAOAAAAAAAAAAEAIAAAACQBAABkcnMvZTJvRG9jLnhtbFBLBQYA&#10;AAAABgAGAFkBAACJBQAAAAA=&#10;">
              <v:fill on="f" focussize="0,0"/>
              <v:stroke weight="1.75pt" color="#005192 [3204]" miterlimit="8" joinstyle="miter"/>
              <v:imagedata o:title=""/>
              <o:lock v:ext="edit" aspectratio="f"/>
            </v:line>
          </w:pict>
        </mc:Fallback>
      </mc:AlternateContent>
    </w:r>
  </w:p>
  <w:p w14:paraId="236FD5B2">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洛阳市发展和改革委员会</w:t>
    </w:r>
    <w:r>
      <w:rPr>
        <w:rFonts w:hint="eastAsia" w:ascii="宋体" w:hAnsi="宋体" w:cs="宋体"/>
        <w:b/>
        <w:bCs/>
        <w:color w:val="005192"/>
        <w:sz w:val="32"/>
        <w:szCs w:val="32"/>
        <w:lang w:val="en-US" w:eastAsia="zh-CN"/>
      </w:rPr>
      <w:t>行政规范性文件</w:t>
    </w:r>
  </w:p>
  <w:p w14:paraId="5099B7DF">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ZmFjNzg0NDEyMTdkZDIyNGVjMDEyZjZmMjI1YTQifQ=="/>
  </w:docVars>
  <w:rsids>
    <w:rsidRoot w:val="7C9011D9"/>
    <w:rsid w:val="019E71BD"/>
    <w:rsid w:val="05440955"/>
    <w:rsid w:val="066E5641"/>
    <w:rsid w:val="06A67E67"/>
    <w:rsid w:val="080F63D8"/>
    <w:rsid w:val="09006E92"/>
    <w:rsid w:val="09341458"/>
    <w:rsid w:val="09553C02"/>
    <w:rsid w:val="0CE65B2C"/>
    <w:rsid w:val="0D5C5CF8"/>
    <w:rsid w:val="0ED818A4"/>
    <w:rsid w:val="0F867362"/>
    <w:rsid w:val="101F0538"/>
    <w:rsid w:val="10254BD6"/>
    <w:rsid w:val="129E7932"/>
    <w:rsid w:val="13A23C39"/>
    <w:rsid w:val="152D2DCA"/>
    <w:rsid w:val="1C86388D"/>
    <w:rsid w:val="1E3A17FB"/>
    <w:rsid w:val="1E466CFF"/>
    <w:rsid w:val="22440422"/>
    <w:rsid w:val="23F13B42"/>
    <w:rsid w:val="287C616C"/>
    <w:rsid w:val="2FCE575A"/>
    <w:rsid w:val="2FFC7EDE"/>
    <w:rsid w:val="31A15F24"/>
    <w:rsid w:val="39A232A0"/>
    <w:rsid w:val="3A1C636B"/>
    <w:rsid w:val="3B5A6BBB"/>
    <w:rsid w:val="3BE16DE7"/>
    <w:rsid w:val="3E0E7999"/>
    <w:rsid w:val="3EDA13A6"/>
    <w:rsid w:val="3F5730EA"/>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5FAFB072"/>
    <w:rsid w:val="608816D1"/>
    <w:rsid w:val="68BD2B02"/>
    <w:rsid w:val="69D03F98"/>
    <w:rsid w:val="6A7F4576"/>
    <w:rsid w:val="6BF75DB0"/>
    <w:rsid w:val="6D0E3F22"/>
    <w:rsid w:val="70AF1C83"/>
    <w:rsid w:val="714A2531"/>
    <w:rsid w:val="71C61E01"/>
    <w:rsid w:val="71E9213F"/>
    <w:rsid w:val="73BE62D6"/>
    <w:rsid w:val="75AA717D"/>
    <w:rsid w:val="7C9011D9"/>
    <w:rsid w:val="7CFB3184"/>
    <w:rsid w:val="7DC651C5"/>
    <w:rsid w:val="7DFBC28B"/>
    <w:rsid w:val="7FED60B9"/>
    <w:rsid w:val="A7DF0034"/>
    <w:rsid w:val="AF7F4B14"/>
    <w:rsid w:val="C5FF8E17"/>
    <w:rsid w:val="D5F6BFC8"/>
    <w:rsid w:val="D6DD9B99"/>
    <w:rsid w:val="DACF7BFF"/>
    <w:rsid w:val="DBF4C527"/>
    <w:rsid w:val="DEFF1FC4"/>
    <w:rsid w:val="F7CE0210"/>
    <w:rsid w:val="FD074F71"/>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widowControl/>
      <w:adjustRightInd w:val="0"/>
      <w:snapToGrid w:val="0"/>
      <w:spacing w:after="200" w:afterLines="0" w:line="481" w:lineRule="atLeast"/>
      <w:ind w:firstLine="623"/>
      <w:jc w:val="left"/>
      <w:textAlignment w:val="baseline"/>
    </w:pPr>
    <w:rPr>
      <w:rFonts w:ascii="Times New Roman" w:hAnsi="Tahoma" w:eastAsia="仿宋_GB2312" w:cs="Times New Roman"/>
      <w:color w:val="000000"/>
      <w:kern w:val="0"/>
      <w:sz w:val="31"/>
      <w:szCs w:val="22"/>
    </w:rPr>
  </w:style>
  <w:style w:type="paragraph" w:styleId="4">
    <w:name w:val="Body Text"/>
    <w:basedOn w:val="1"/>
    <w:next w:val="1"/>
    <w:qFormat/>
    <w:uiPriority w:val="1"/>
    <w:pPr>
      <w:ind w:left="325"/>
      <w:jc w:val="left"/>
    </w:pPr>
    <w:rPr>
      <w:rFonts w:ascii="宋体" w:hAnsi="宋体"/>
      <w:kern w:val="0"/>
      <w:sz w:val="31"/>
      <w:szCs w:val="31"/>
      <w:lang w:eastAsia="en-US"/>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4">
    <w:name w:val="一级标题（二号小标宋）"/>
    <w:basedOn w:val="1"/>
    <w:link w:val="17"/>
    <w:qFormat/>
    <w:uiPriority w:val="0"/>
    <w:pPr>
      <w:jc w:val="center"/>
    </w:pPr>
    <w:rPr>
      <w:rFonts w:ascii="方正书宋简体" w:hAnsi="方正书宋简体" w:eastAsia="方正小标宋_GBK"/>
      <w:color w:val="000000"/>
      <w:sz w:val="42"/>
      <w:szCs w:val="42"/>
    </w:rPr>
  </w:style>
  <w:style w:type="paragraph" w:customStyle="1" w:styleId="15">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6">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7">
    <w:name w:val="一级标题（二号小标宋） Char"/>
    <w:basedOn w:val="11"/>
    <w:link w:val="14"/>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2364</Words>
  <Characters>2407</Characters>
  <Lines>0</Lines>
  <Paragraphs>0</Paragraphs>
  <TotalTime>0</TotalTime>
  <ScaleCrop>false</ScaleCrop>
  <LinksUpToDate>false</LinksUpToDate>
  <CharactersWithSpaces>2482</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2021-09-13T02:41:00Z</dcterms:created>
  <dc:creator>t</dc:creator>
  <cp:lastModifiedBy>333</cp:lastModifiedBy>
  <cp:lastPrinted>2024-03-20T11:33:00Z</cp:lastPrinted>
  <dcterms:modified xsi:type="dcterms:W3CDTF">2025-08-04T07:21:29Z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AF2F405D10BC4ADA88D38F3C8ACB0737_13</vt:lpwstr>
  </property>
</Properties>
</file>