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27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方正书宋简体" w:hAnsi="方正书宋简体" w:eastAsia="仿宋_GB2312"/>
          <w:color w:val="000000"/>
          <w:sz w:val="31"/>
          <w:szCs w:val="31"/>
        </w:rPr>
      </w:pPr>
    </w:p>
    <w:p w14:paraId="21D70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方正书宋简体" w:hAnsi="方正书宋简体" w:eastAsia="仿宋_GB2312"/>
          <w:color w:val="000000"/>
          <w:sz w:val="31"/>
          <w:szCs w:val="31"/>
        </w:rPr>
      </w:pPr>
    </w:p>
    <w:p w14:paraId="44ADA5C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pacing w:val="0"/>
          <w:kern w:val="21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pacing w:val="0"/>
          <w:kern w:val="21"/>
          <w:sz w:val="44"/>
          <w:szCs w:val="44"/>
          <w:lang w:val="en-US" w:eastAsia="zh-CN"/>
        </w:rPr>
        <w:t>洛阳市民政局</w:t>
      </w:r>
    </w:p>
    <w:p w14:paraId="1538816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方正小标宋简体"/>
          <w:kern w:val="21"/>
          <w:sz w:val="44"/>
          <w:szCs w:val="44"/>
          <w:lang w:val="en-US" w:eastAsia="zh-CN" w:bidi="ar"/>
        </w:rPr>
        <w:t>关于印发《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 w:bidi="ar"/>
        </w:rPr>
        <w:t>洛阳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bidi="ar"/>
        </w:rPr>
        <w:t>市经营性公墓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 w:bidi="ar"/>
        </w:rPr>
        <w:t>维护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bidi="ar"/>
        </w:rPr>
        <w:t>费</w:t>
      </w:r>
    </w:p>
    <w:p w14:paraId="1A5F72A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highlight w:val="none"/>
          <w:u w:val="none"/>
          <w:shd w:val="clear" w:color="auto" w:fill="auto"/>
          <w:lang w:val="en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bidi="ar"/>
        </w:rPr>
        <w:t>管理办法</w:t>
      </w:r>
      <w:r>
        <w:rPr>
          <w:rFonts w:hint="eastAsia" w:ascii="Times New Roman" w:hAnsi="Times New Roman" w:eastAsia="方正小标宋简体" w:cs="方正小标宋简体"/>
          <w:kern w:val="21"/>
          <w:sz w:val="44"/>
          <w:szCs w:val="44"/>
          <w:lang w:val="en-US" w:eastAsia="zh-CN" w:bidi="ar"/>
        </w:rPr>
        <w:t>》的通知</w:t>
      </w:r>
    </w:p>
    <w:p w14:paraId="4F23F701">
      <w:pPr>
        <w:pStyle w:val="9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shd w:val="clear" w:color="auto" w:fill="FFFFFF"/>
          <w:lang w:val="en-US" w:eastAsia="zh-CN"/>
        </w:rPr>
      </w:pPr>
    </w:p>
    <w:p w14:paraId="69D6574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洛民通〔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2025</w:t>
      </w:r>
      <w:r>
        <w:rPr>
          <w:rFonts w:hint="default" w:ascii="仿宋_GB2312" w:hAnsi="仿宋_GB2312" w:eastAsia="仿宋_GB2312" w:cs="仿宋_GB2312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51</w:t>
      </w:r>
      <w:r>
        <w:rPr>
          <w:rFonts w:hint="default" w:ascii="仿宋_GB2312" w:hAnsi="仿宋_GB2312" w:eastAsia="仿宋_GB2312" w:cs="仿宋_GB2312"/>
          <w:sz w:val="32"/>
          <w:szCs w:val="32"/>
        </w:rPr>
        <w:t>号</w:t>
      </w:r>
    </w:p>
    <w:p w14:paraId="09177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</w:p>
    <w:p w14:paraId="3A56DB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21"/>
          <w:sz w:val="32"/>
          <w:szCs w:val="32"/>
          <w:u w:val="none"/>
          <w:lang w:val="en-US" w:eastAsia="zh-CN" w:bidi="ar"/>
        </w:rPr>
        <w:t>各县区民政局、洛阳市城乡一体化示范区民政局，</w:t>
      </w:r>
      <w:r>
        <w:rPr>
          <w:rFonts w:hint="eastAsia" w:ascii="Times New Roman" w:hAnsi="Times New Roman" w:eastAsia="仿宋_GB2312" w:cs="仿宋_GB2312"/>
          <w:color w:val="auto"/>
          <w:kern w:val="21"/>
          <w:sz w:val="32"/>
          <w:szCs w:val="32"/>
          <w:highlight w:val="none"/>
          <w:lang w:val="en-US" w:eastAsia="zh-CN" w:bidi="ar"/>
        </w:rPr>
        <w:t>洛阳市民政社会事务服务中心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 w:bidi="ar"/>
        </w:rPr>
        <w:t>：</w:t>
      </w:r>
    </w:p>
    <w:p w14:paraId="25D7319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1"/>
          <w:sz w:val="32"/>
          <w:szCs w:val="32"/>
          <w:u w:val="none"/>
          <w:lang w:val="en-US" w:eastAsia="zh-CN"/>
        </w:rPr>
        <w:t>现将《</w:t>
      </w:r>
      <w:r>
        <w:rPr>
          <w:rFonts w:hint="eastAsia" w:ascii="仿宋_GB2312" w:hAnsi="仿宋_GB2312" w:eastAsia="仿宋_GB2312" w:cs="仿宋_GB2312"/>
          <w:snapToGrid/>
          <w:color w:val="auto"/>
          <w:kern w:val="21"/>
          <w:sz w:val="32"/>
          <w:szCs w:val="32"/>
          <w:u w:val="none"/>
          <w:lang w:val="en-US" w:eastAsia="zh-CN"/>
        </w:rPr>
        <w:t>洛阳市经营性公墓维护费管理办法</w:t>
      </w:r>
      <w:r>
        <w:rPr>
          <w:rFonts w:hint="eastAsia" w:ascii="Times New Roman" w:hAnsi="Times New Roman" w:eastAsia="仿宋_GB2312" w:cs="Times New Roman"/>
          <w:snapToGrid/>
          <w:color w:val="auto"/>
          <w:kern w:val="21"/>
          <w:sz w:val="32"/>
          <w:szCs w:val="32"/>
          <w:u w:val="none"/>
          <w:lang w:val="en-US" w:eastAsia="zh-CN"/>
        </w:rPr>
        <w:t>》印发给你们，请认真抓好贯彻落实。</w:t>
      </w:r>
    </w:p>
    <w:p w14:paraId="77BE29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rPr>
          <w:rFonts w:hint="eastAsia"/>
        </w:rPr>
      </w:pPr>
    </w:p>
    <w:p w14:paraId="5EB9DAC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</w:rPr>
      </w:pPr>
    </w:p>
    <w:p w14:paraId="294054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both"/>
        <w:textAlignment w:val="auto"/>
        <w:rPr>
          <w:rFonts w:hint="eastAsia"/>
        </w:rPr>
      </w:pPr>
    </w:p>
    <w:p w14:paraId="68FCB6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880" w:rightChars="40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pacing w:val="0"/>
          <w:kern w:val="21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2025年7月1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2C81339D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 w:bidi="ar"/>
        </w:rPr>
        <w:br w:type="page"/>
      </w:r>
    </w:p>
    <w:p w14:paraId="21B92F43">
      <w:pPr>
        <w:pStyle w:val="2"/>
        <w:rPr>
          <w:rFonts w:hint="eastAsia"/>
          <w:lang w:eastAsia="zh-CN"/>
        </w:rPr>
      </w:pPr>
      <w:bookmarkStart w:id="0" w:name="_GoBack"/>
      <w:bookmarkEnd w:id="0"/>
    </w:p>
    <w:p w14:paraId="2417C4D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 w:bidi="ar"/>
        </w:rPr>
        <w:t>洛阳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bidi="ar"/>
        </w:rPr>
        <w:t>市经营性公墓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 w:bidi="ar"/>
        </w:rPr>
        <w:t>维护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bidi="ar"/>
        </w:rPr>
        <w:t>费管理办法</w:t>
      </w:r>
    </w:p>
    <w:p w14:paraId="02320F3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bidi="ar"/>
        </w:rPr>
      </w:pPr>
    </w:p>
    <w:p w14:paraId="4497DCB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第一章 总 则</w:t>
      </w:r>
    </w:p>
    <w:p w14:paraId="1B1BD33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1534B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为了规范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市经营性公墓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费的收支管理，根据国务院《殡葬管理条例》、民政部《公墓管理暂行办法》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《河南省殡葬管理办法》和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《河南省民政厅关于切实规范公墓营销行为的紧急通知》</w:t>
      </w:r>
      <w:r>
        <w:rPr>
          <w:rFonts w:hint="eastAsia" w:ascii="仿宋_GB2312" w:hAnsi="仿宋_GB2312" w:eastAsia="仿宋_GB2312" w:cs="仿宋_GB2312"/>
          <w:sz w:val="32"/>
          <w:szCs w:val="32"/>
        </w:rPr>
        <w:t>等有关规定, 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制定本办法。</w:t>
      </w:r>
    </w:p>
    <w:p w14:paraId="5225277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</w:rPr>
        <w:t>市经营性公墓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的缴存</w:t>
      </w:r>
      <w:r>
        <w:rPr>
          <w:rFonts w:hint="eastAsia" w:ascii="仿宋_GB2312" w:hAnsi="仿宋_GB2312" w:eastAsia="仿宋_GB2312" w:cs="仿宋_GB2312"/>
          <w:sz w:val="32"/>
          <w:szCs w:val="32"/>
        </w:rPr>
        <w:t>、使用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、监督管理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适用本办法。</w:t>
      </w:r>
    </w:p>
    <w:p w14:paraId="4B3D7A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本办法所称经营性公墓维护费，是指《河南省民政厅关于切实规范公墓营销行为的紧急通知》中规定的“公墓在营销中必须按销售额的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％提取公墓维护费，并单独建账，专款专用”的资金。</w:t>
      </w:r>
    </w:p>
    <w:p w14:paraId="2D28A02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公墓维护费资金管理实行单独建账、专款专用、政府监督的原则。属地民政部门负责本行政区域内经营性公墓维护费的管理和使用。市级民政部门负责监督和指导，共同做好公墓维护费的监督管理工作。</w:t>
      </w:r>
    </w:p>
    <w:p w14:paraId="64C6711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23612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第二章  缴 存</w:t>
      </w:r>
    </w:p>
    <w:p w14:paraId="0A4D19B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E98FE1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公墓经营单位每年必须</w:t>
      </w:r>
      <w:r>
        <w:rPr>
          <w:rFonts w:hint="eastAsia" w:ascii="仿宋_GB2312" w:hAnsi="仿宋_GB2312" w:eastAsia="仿宋_GB2312" w:cs="仿宋_GB2312"/>
          <w:sz w:val="32"/>
          <w:szCs w:val="32"/>
        </w:rPr>
        <w:t>从销售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额</w:t>
      </w:r>
      <w:r>
        <w:rPr>
          <w:rFonts w:hint="eastAsia" w:ascii="仿宋_GB2312" w:hAnsi="仿宋_GB2312" w:eastAsia="仿宋_GB2312" w:cs="仿宋_GB2312"/>
          <w:sz w:val="32"/>
          <w:szCs w:val="32"/>
        </w:rPr>
        <w:t>中提取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的比例作为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费。</w:t>
      </w:r>
    </w:p>
    <w:p w14:paraId="5845815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公墓经营单位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属地民政部门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共同委托银行开设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共管账户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账户由属地民政部门监管，</w:t>
      </w:r>
      <w:r>
        <w:rPr>
          <w:rFonts w:hint="eastAsia" w:ascii="仿宋_GB2312" w:hAnsi="仿宋_GB2312" w:eastAsia="仿宋_GB2312" w:cs="仿宋_GB2312"/>
          <w:sz w:val="32"/>
          <w:szCs w:val="32"/>
        </w:rPr>
        <w:t>独立核算收入和支出。</w:t>
      </w:r>
    </w:p>
    <w:p w14:paraId="7101CE7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维护费每半年缴存一次。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公墓经营单位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应当在每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前将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前半年提取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费存储到专户上，并将银行凭证复印件送交属地民政部门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，属地民政部门负责对缴存情况进行核实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035756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公墓经营单位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应当确保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费专款专用，禁止挪作他用。</w:t>
      </w:r>
    </w:p>
    <w:p w14:paraId="370822F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DA0C5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第三章 使 用</w:t>
      </w:r>
    </w:p>
    <w:p w14:paraId="1202743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A3D7A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公墓维护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费作为专项维护资金，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以下使用范围：</w:t>
      </w:r>
    </w:p>
    <w:p w14:paraId="32FECE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.因自然灾害等不可抗力造成墓穴破坏性的修复；</w:t>
      </w:r>
    </w:p>
    <w:p w14:paraId="552302D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.墓穴全部售完后的管理开支；</w:t>
      </w:r>
    </w:p>
    <w:p w14:paraId="6C57643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.因设施老旧的大修与翻新；</w:t>
      </w:r>
    </w:p>
    <w:p w14:paraId="1F9C6EE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.其他突发事件等。</w:t>
      </w:r>
    </w:p>
    <w:p w14:paraId="0AE6F45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费的使用须经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属地民政部门同意并在洛阳</w:t>
      </w:r>
      <w:r>
        <w:rPr>
          <w:rFonts w:hint="eastAsia" w:ascii="仿宋_GB2312" w:hAnsi="仿宋_GB2312" w:eastAsia="仿宋_GB2312" w:cs="仿宋_GB2312"/>
          <w:sz w:val="32"/>
          <w:szCs w:val="32"/>
        </w:rPr>
        <w:t>市民政局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备案后方可使用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79A550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墓经营单位确须使用维护费的，应当向属地民政部门提出书面申请，并提交工程预算书、审批表、承诺书等相关资料，属地民政部门自接到申请书之日起十五日内作出批复，并报洛阳市民政局备案，同意后实施。</w:t>
      </w:r>
    </w:p>
    <w:p w14:paraId="77AC0E9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第十二条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工程建设改造完工后，公墓单位委托第三方审计机构对建设工程进行决算审计，凭决算审计报告书、财务发票复印件等资料，向属地民政部门申请款项。经属地民政部门实地查看、审核通过后，开户银行凭审批表为公墓经营单位办理取款手续。突发事件根据实际情况实施。</w:t>
      </w:r>
    </w:p>
    <w:p w14:paraId="23B5A0E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公墓维护费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账户基础维护费不低于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万元，低于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万元的不予审批使用。公墓建成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年为一个大修周期，大修和翻新使用比例不得超过总存入额的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％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。</w:t>
      </w:r>
    </w:p>
    <w:p w14:paraId="70C7117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9C98AA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第四章 监督管理</w:t>
      </w:r>
    </w:p>
    <w:p w14:paraId="3038418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90B71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公墓经营单位缴存</w:t>
      </w:r>
      <w:r>
        <w:rPr>
          <w:rFonts w:hint="eastAsia" w:ascii="仿宋_GB2312" w:hAnsi="仿宋_GB2312" w:eastAsia="仿宋_GB2312" w:cs="仿宋_GB2312"/>
          <w:sz w:val="32"/>
          <w:szCs w:val="32"/>
        </w:rPr>
        <w:t>和使用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费应当接受属地民政部门和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洛阳</w:t>
      </w:r>
      <w:r>
        <w:rPr>
          <w:rFonts w:hint="eastAsia" w:ascii="仿宋_GB2312" w:hAnsi="仿宋_GB2312" w:eastAsia="仿宋_GB2312" w:cs="仿宋_GB2312"/>
          <w:sz w:val="32"/>
          <w:szCs w:val="32"/>
        </w:rPr>
        <w:t>市民政局的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管理、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监督和检查。</w:t>
      </w:r>
    </w:p>
    <w:p w14:paraId="78E3D9A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属地民政部门应当将上年度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费的收支情况，于每年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月底前对外进行公示。</w:t>
      </w:r>
    </w:p>
    <w:p w14:paraId="4086DE7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每年由民政部门组织委托第三方会计师事务所对公墓经营情况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进行审计。</w:t>
      </w:r>
    </w:p>
    <w:p w14:paraId="0B0C6E1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第十七条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费的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缴存和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纳入公墓年检范围。</w:t>
      </w:r>
    </w:p>
    <w:p w14:paraId="027D638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第十八条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公墓经营单位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不按规定缴存和使用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维护费的，由属地民政部门责令限期改正，在规定期限内未改正的年检不予通过并依法予以处理。</w:t>
      </w:r>
    </w:p>
    <w:p w14:paraId="7BFAD99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第十九条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洛阳</w:t>
      </w:r>
      <w:r>
        <w:rPr>
          <w:rFonts w:hint="eastAsia" w:ascii="仿宋_GB2312" w:hAnsi="仿宋_GB2312" w:eastAsia="仿宋_GB2312" w:cs="仿宋_GB2312"/>
          <w:sz w:val="32"/>
          <w:szCs w:val="32"/>
        </w:rPr>
        <w:t>市民政局负责解释，如与上级新发布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政策规定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相抵触的以上级文件为准。</w:t>
      </w:r>
    </w:p>
    <w:p w14:paraId="161133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Nimbus Roman No9 L" w:hAnsi="Nimbus Roman No9 L" w:eastAsia="仿宋_GB2312" w:cs="Nimbus Roman No9 L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第二十条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本办法自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日起执行。</w:t>
      </w:r>
    </w:p>
    <w:p w14:paraId="0B7F96B6">
      <w:pPr>
        <w:rPr>
          <w:rFonts w:hint="eastAsia" w:ascii="方正书宋简体" w:hAnsi="方正书宋简体" w:eastAsia="仿宋_GB2312"/>
          <w:color w:val="000000"/>
          <w:sz w:val="31"/>
          <w:szCs w:val="3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EU-BZ">
    <w:altName w:val="华文仿宋"/>
    <w:panose1 w:val="02010600010101010101"/>
    <w:charset w:val="86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简体">
    <w:altName w:val="方正书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69805">
    <w:pPr>
      <w:pStyle w:val="8"/>
      <w:ind w:left="5016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FB5AB4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FB5AB4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3929B6A5">
    <w:pPr>
      <w:pStyle w:val="8"/>
      <w:wordWrap w:val="0"/>
      <w:ind w:left="895" w:leftChars="407" w:firstLine="10518" w:firstLineChars="3287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>洛洛阳市民政局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</w:t>
    </w:r>
  </w:p>
  <w:p w14:paraId="6E013B31">
    <w:pPr>
      <w:pStyle w:val="8"/>
      <w:wordWrap w:val="0"/>
      <w:ind w:left="5016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A62AA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09F1DEDC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cs="宋体"/>
        <w:b/>
        <w:bCs/>
        <w:color w:val="005192"/>
        <w:sz w:val="32"/>
        <w:lang w:eastAsia="zh-CN"/>
      </w:rPr>
      <w:t>洛阳市民政</w:t>
    </w:r>
    <w:r>
      <w:rPr>
        <w:rFonts w:hint="eastAsia" w:ascii="宋体" w:hAnsi="宋体" w:cs="宋体"/>
        <w:b/>
        <w:bCs/>
        <w:color w:val="005192"/>
        <w:sz w:val="32"/>
        <w:szCs w:val="32"/>
        <w:lang w:val="en-US" w:eastAsia="zh-CN"/>
      </w:rPr>
      <w:t>局行政规范性文件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ZTQyZTY1N2IwODA3ZTNhNjc4NTExMTAzNzdhYjkifQ=="/>
  </w:docVars>
  <w:rsids>
    <w:rsidRoot w:val="7C9011D9"/>
    <w:rsid w:val="019E71BD"/>
    <w:rsid w:val="05440955"/>
    <w:rsid w:val="066E5641"/>
    <w:rsid w:val="06A67E67"/>
    <w:rsid w:val="080F63D8"/>
    <w:rsid w:val="09006E92"/>
    <w:rsid w:val="09341458"/>
    <w:rsid w:val="09553C02"/>
    <w:rsid w:val="0CE65B2C"/>
    <w:rsid w:val="0D5C5CF8"/>
    <w:rsid w:val="0ED818A4"/>
    <w:rsid w:val="101F0538"/>
    <w:rsid w:val="10254BD6"/>
    <w:rsid w:val="129E7932"/>
    <w:rsid w:val="13A23C39"/>
    <w:rsid w:val="152D2DCA"/>
    <w:rsid w:val="1C86388D"/>
    <w:rsid w:val="1E466CFF"/>
    <w:rsid w:val="1FFBC3FD"/>
    <w:rsid w:val="22440422"/>
    <w:rsid w:val="23F13B42"/>
    <w:rsid w:val="23FD7C76"/>
    <w:rsid w:val="287C616C"/>
    <w:rsid w:val="2FCE575A"/>
    <w:rsid w:val="2FFC7EDE"/>
    <w:rsid w:val="31A15F24"/>
    <w:rsid w:val="39A232A0"/>
    <w:rsid w:val="3A1C636B"/>
    <w:rsid w:val="3B5A6BBB"/>
    <w:rsid w:val="3BE16DE7"/>
    <w:rsid w:val="3E0E7999"/>
    <w:rsid w:val="3EDA13A6"/>
    <w:rsid w:val="3EEF294B"/>
    <w:rsid w:val="3F5730EA"/>
    <w:rsid w:val="3FF39F44"/>
    <w:rsid w:val="3FF78062"/>
    <w:rsid w:val="3FF9D5BA"/>
    <w:rsid w:val="42F058B7"/>
    <w:rsid w:val="436109F6"/>
    <w:rsid w:val="441A38D4"/>
    <w:rsid w:val="474E2EF2"/>
    <w:rsid w:val="49B91357"/>
    <w:rsid w:val="4AEC52E8"/>
    <w:rsid w:val="4BC77339"/>
    <w:rsid w:val="4C9236C5"/>
    <w:rsid w:val="4E2A37E2"/>
    <w:rsid w:val="50414CBD"/>
    <w:rsid w:val="51E247E8"/>
    <w:rsid w:val="526F08CC"/>
    <w:rsid w:val="52F46F0B"/>
    <w:rsid w:val="55274B4C"/>
    <w:rsid w:val="55E064E0"/>
    <w:rsid w:val="5A4F3EF9"/>
    <w:rsid w:val="5D0D7ECB"/>
    <w:rsid w:val="5FA725F4"/>
    <w:rsid w:val="608816D1"/>
    <w:rsid w:val="69D03F98"/>
    <w:rsid w:val="6A7F4576"/>
    <w:rsid w:val="6BF75DB0"/>
    <w:rsid w:val="6D0E3F22"/>
    <w:rsid w:val="6DEDCACC"/>
    <w:rsid w:val="6FFDAB0D"/>
    <w:rsid w:val="70AF1C83"/>
    <w:rsid w:val="714A2531"/>
    <w:rsid w:val="71C61E01"/>
    <w:rsid w:val="71E9213F"/>
    <w:rsid w:val="75AA717D"/>
    <w:rsid w:val="769D2EAA"/>
    <w:rsid w:val="7C9011D9"/>
    <w:rsid w:val="7CFB3184"/>
    <w:rsid w:val="7D963550"/>
    <w:rsid w:val="7DC651C5"/>
    <w:rsid w:val="7DFBC28B"/>
    <w:rsid w:val="7EEEFEEF"/>
    <w:rsid w:val="7EFD5AF4"/>
    <w:rsid w:val="7EFDE43E"/>
    <w:rsid w:val="7FCFD07A"/>
    <w:rsid w:val="7FED60B9"/>
    <w:rsid w:val="7FF6E8A4"/>
    <w:rsid w:val="9A6F095D"/>
    <w:rsid w:val="AF7F4B14"/>
    <w:rsid w:val="D5F6BFC8"/>
    <w:rsid w:val="D6DD9B99"/>
    <w:rsid w:val="D95FC5F1"/>
    <w:rsid w:val="DACF7BFF"/>
    <w:rsid w:val="DBF4C527"/>
    <w:rsid w:val="DD9D4FD5"/>
    <w:rsid w:val="DEF46044"/>
    <w:rsid w:val="DEFF1FC4"/>
    <w:rsid w:val="E7D4B1B4"/>
    <w:rsid w:val="EFF6FB22"/>
    <w:rsid w:val="F5F718B9"/>
    <w:rsid w:val="F7CE0210"/>
    <w:rsid w:val="F7FD29AF"/>
    <w:rsid w:val="FDB75BAD"/>
    <w:rsid w:val="FFDA2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100" w:beforeLines="100" w:after="100" w:afterLines="100" w:line="600" w:lineRule="exact"/>
      <w:jc w:val="center"/>
      <w:outlineLvl w:val="1"/>
    </w:pPr>
    <w:rPr>
      <w:rFonts w:ascii="黑体" w:hAnsi="Arial" w:eastAsia="黑体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宋体"/>
      <w:sz w:val="44"/>
      <w:szCs w:val="20"/>
    </w:rPr>
  </w:style>
  <w:style w:type="paragraph" w:styleId="3">
    <w:name w:val="Body Text First Indent"/>
    <w:basedOn w:val="2"/>
    <w:next w:val="1"/>
    <w:uiPriority w:val="0"/>
    <w:pPr>
      <w:spacing w:after="120"/>
      <w:ind w:firstLine="420" w:firstLineChars="100"/>
      <w:jc w:val="both"/>
    </w:pPr>
    <w:rPr>
      <w:rFonts w:eastAsia="仿宋_GB2312"/>
      <w:sz w:val="32"/>
      <w:szCs w:val="32"/>
    </w:rPr>
  </w:style>
  <w:style w:type="paragraph" w:styleId="5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6">
    <w:name w:val="Plain Text"/>
    <w:basedOn w:val="1"/>
    <w:qFormat/>
    <w:uiPriority w:val="99"/>
    <w:rPr>
      <w:rFonts w:ascii="宋体" w:hAnsi="宋体" w:eastAsia="宋体" w:cs="宋体"/>
      <w:sz w:val="21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page number"/>
    <w:basedOn w:val="11"/>
    <w:qFormat/>
    <w:uiPriority w:val="0"/>
  </w:style>
  <w:style w:type="paragraph" w:customStyle="1" w:styleId="13">
    <w:name w:val="15.5正文（仿宋GB）"/>
    <w:basedOn w:val="1"/>
    <w:qFormat/>
    <w:uiPriority w:val="0"/>
    <w:pPr>
      <w:ind w:firstLine="200" w:firstLineChars="200"/>
    </w:pPr>
    <w:rPr>
      <w:rFonts w:ascii="方正书宋简体" w:hAnsi="方正书宋简体" w:eastAsia="仿宋_GB2312"/>
      <w:color w:val="000000"/>
      <w:sz w:val="31"/>
      <w:szCs w:val="31"/>
    </w:rPr>
  </w:style>
  <w:style w:type="paragraph" w:customStyle="1" w:styleId="14">
    <w:name w:val="一级标题（二号小标宋）"/>
    <w:basedOn w:val="1"/>
    <w:link w:val="17"/>
    <w:qFormat/>
    <w:uiPriority w:val="0"/>
    <w:pPr>
      <w:jc w:val="center"/>
    </w:pPr>
    <w:rPr>
      <w:rFonts w:ascii="方正书宋简体" w:hAnsi="方正书宋简体" w:eastAsia="方正小标宋_GBK"/>
      <w:color w:val="000000"/>
      <w:sz w:val="42"/>
      <w:szCs w:val="42"/>
    </w:rPr>
  </w:style>
  <w:style w:type="paragraph" w:customStyle="1" w:styleId="15">
    <w:name w:val="15.5楷体（标题下楷体）"/>
    <w:basedOn w:val="1"/>
    <w:qFormat/>
    <w:uiPriority w:val="0"/>
    <w:pPr>
      <w:spacing w:before="105"/>
      <w:ind w:firstLine="200" w:firstLineChars="200"/>
      <w:jc w:val="center"/>
    </w:pPr>
    <w:rPr>
      <w:rFonts w:ascii="方正书宋简体" w:hAnsi="方正书宋简体" w:eastAsia="楷体_GB2312"/>
      <w:color w:val="000000"/>
      <w:sz w:val="31"/>
      <w:szCs w:val="31"/>
    </w:rPr>
  </w:style>
  <w:style w:type="paragraph" w:customStyle="1" w:styleId="16">
    <w:name w:val="样式3"/>
    <w:basedOn w:val="1"/>
    <w:qFormat/>
    <w:uiPriority w:val="0"/>
    <w:pPr>
      <w:widowControl w:val="0"/>
      <w:adjustRightInd w:val="0"/>
      <w:snapToGrid w:val="0"/>
      <w:spacing w:before="100" w:beforeLines="100" w:after="100" w:afterLines="100" w:line="600" w:lineRule="exact"/>
      <w:jc w:val="center"/>
    </w:pPr>
    <w:rPr>
      <w:rFonts w:ascii="方正书宋简体" w:hAnsi="方正书宋简体" w:eastAsia="楷体_GB2312"/>
      <w:color w:val="000000"/>
      <w:sz w:val="31"/>
      <w:szCs w:val="31"/>
    </w:rPr>
  </w:style>
  <w:style w:type="character" w:customStyle="1" w:styleId="17">
    <w:name w:val="一级标题（二号小标宋） Char"/>
    <w:basedOn w:val="11"/>
    <w:link w:val="14"/>
    <w:qFormat/>
    <w:uiPriority w:val="0"/>
    <w:rPr>
      <w:rFonts w:ascii="方正书宋简体" w:hAnsi="方正书宋简体" w:eastAsia="方正小标宋_GBK"/>
      <w:color w:val="000000"/>
      <w:sz w:val="42"/>
      <w:szCs w:val="42"/>
    </w:rPr>
  </w:style>
  <w:style w:type="table" w:customStyle="1" w:styleId="1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1017</Words>
  <Characters>1069</Characters>
  <Lines>0</Lines>
  <Paragraphs>0</Paragraphs>
  <TotalTime>0</TotalTime>
  <ScaleCrop>false</ScaleCrop>
  <LinksUpToDate>false</LinksUpToDate>
  <CharactersWithSpaces>1139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2021-09-13T18:41:00Z</dcterms:created>
  <dc:creator>t</dc:creator>
  <cp:lastModifiedBy>仰山雪</cp:lastModifiedBy>
  <cp:lastPrinted>2024-03-21T03:33:00Z</cp:lastPrinted>
  <dcterms:modified xsi:type="dcterms:W3CDTF">2025-07-17T16:08:43Z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8F3A10F1071609390CAE7868B9A19757_43</vt:lpwstr>
  </property>
</Properties>
</file>