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val="0"/>
        <w:topLinePunct/>
        <w:autoSpaceDE/>
        <w:autoSpaceDN/>
        <w:bidi w:val="0"/>
        <w:snapToGrid/>
        <w:spacing w:line="600" w:lineRule="exact"/>
        <w:ind w:left="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附件2</w:t>
      </w:r>
    </w:p>
    <w:p>
      <w:pPr>
        <w:keepNext w:val="0"/>
        <w:keepLines w:val="0"/>
        <w:pageBreakBefore w:val="0"/>
        <w:widowControl w:val="0"/>
        <w:kinsoku/>
        <w:wordWrap/>
        <w:overflowPunct w:val="0"/>
        <w:topLinePunct/>
        <w:autoSpaceDE/>
        <w:autoSpaceDN/>
        <w:bidi w:val="0"/>
        <w:snapToGrid/>
        <w:spacing w:line="600" w:lineRule="exact"/>
        <w:ind w:left="0"/>
        <w:textAlignment w:val="auto"/>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val="0"/>
        <w:topLinePunct/>
        <w:autoSpaceDE/>
        <w:autoSpaceDN/>
        <w:bidi w:val="0"/>
        <w:snapToGrid/>
        <w:spacing w:line="600" w:lineRule="exact"/>
        <w:ind w:left="0"/>
        <w:jc w:val="center"/>
        <w:textAlignment w:val="auto"/>
        <w:rPr>
          <w:rStyle w:val="13"/>
          <w:rFonts w:hint="eastAsia" w:ascii="方正小标宋简体" w:hAnsi="方正小标宋简体" w:eastAsia="方正小标宋简体" w:cs="方正小标宋简体"/>
          <w:b w:val="0"/>
          <w:bCs w:val="0"/>
          <w:color w:val="auto"/>
          <w:sz w:val="44"/>
          <w:szCs w:val="44"/>
          <w:lang w:eastAsia="zh-CN"/>
        </w:rPr>
      </w:pPr>
      <w:r>
        <w:rPr>
          <w:rFonts w:hint="eastAsia" w:ascii="方正小标宋简体" w:hAnsi="方正小标宋简体" w:eastAsia="方正小标宋简体" w:cs="方正小标宋简体"/>
          <w:color w:val="auto"/>
          <w:sz w:val="44"/>
          <w:szCs w:val="44"/>
        </w:rPr>
        <w:t>洛阳市体育赛事扶持奖励办法</w:t>
      </w:r>
      <w:r>
        <w:rPr>
          <w:rFonts w:hint="eastAsia" w:ascii="方正小标宋简体" w:hAnsi="方正小标宋简体" w:eastAsia="方正小标宋简体" w:cs="方正小标宋简体"/>
          <w:color w:val="auto"/>
          <w:sz w:val="44"/>
          <w:szCs w:val="44"/>
          <w:lang w:eastAsia="zh-CN"/>
        </w:rPr>
        <w:t>（征求意见稿）</w:t>
      </w:r>
    </w:p>
    <w:p>
      <w:pPr>
        <w:keepNext w:val="0"/>
        <w:keepLines w:val="0"/>
        <w:pageBreakBefore w:val="0"/>
        <w:widowControl w:val="0"/>
        <w:kinsoku/>
        <w:wordWrap/>
        <w:overflowPunct w:val="0"/>
        <w:topLinePunct/>
        <w:autoSpaceDE/>
        <w:autoSpaceDN/>
        <w:bidi w:val="0"/>
        <w:snapToGrid/>
        <w:spacing w:line="600" w:lineRule="exact"/>
        <w:ind w:left="0"/>
        <w:jc w:val="center"/>
        <w:textAlignment w:val="auto"/>
        <w:rPr>
          <w:b/>
          <w:color w:val="auto"/>
          <w:spacing w:val="-20"/>
          <w:sz w:val="44"/>
          <w:szCs w:val="44"/>
        </w:rPr>
      </w:pPr>
      <w:r>
        <w:rPr>
          <w:rStyle w:val="13"/>
          <w:rFonts w:hint="eastAsia" w:ascii="方正小标宋简体" w:hAnsi="方正小标宋简体" w:eastAsia="方正小标宋简体" w:cs="方正小标宋简体"/>
          <w:b w:val="0"/>
          <w:bCs w:val="0"/>
          <w:color w:val="auto"/>
          <w:sz w:val="44"/>
          <w:szCs w:val="44"/>
          <w:lang w:eastAsia="zh-CN"/>
        </w:rPr>
        <w:t>解读</w:t>
      </w:r>
    </w:p>
    <w:p>
      <w:pPr>
        <w:keepNext w:val="0"/>
        <w:keepLines w:val="0"/>
        <w:pageBreakBefore w:val="0"/>
        <w:widowControl w:val="0"/>
        <w:kinsoku/>
        <w:wordWrap/>
        <w:overflowPunct w:val="0"/>
        <w:topLinePunct/>
        <w:autoSpaceDE/>
        <w:autoSpaceDN/>
        <w:bidi w:val="0"/>
        <w:snapToGrid/>
        <w:spacing w:line="600" w:lineRule="exact"/>
        <w:ind w:left="0"/>
        <w:jc w:val="center"/>
        <w:textAlignment w:val="auto"/>
        <w:rPr>
          <w:rFonts w:eastAsia="仿宋_GB2312"/>
          <w:color w:val="auto"/>
          <w:sz w:val="32"/>
          <w:szCs w:val="32"/>
        </w:rPr>
      </w:pPr>
      <w:r>
        <w:rPr>
          <w:rFonts w:eastAsia="楷体_GB2312"/>
          <w:bCs/>
          <w:color w:val="auto"/>
          <w:sz w:val="32"/>
          <w:szCs w:val="32"/>
        </w:rPr>
        <w:t>洛阳市体育局</w:t>
      </w:r>
      <w:r>
        <w:rPr>
          <w:rFonts w:eastAsia="仿宋_GB2312"/>
          <w:color w:val="auto"/>
          <w:sz w:val="32"/>
          <w:szCs w:val="32"/>
        </w:rPr>
        <w:t xml:space="preserve">  </w:t>
      </w:r>
    </w:p>
    <w:p>
      <w:pPr>
        <w:keepNext w:val="0"/>
        <w:keepLines w:val="0"/>
        <w:pageBreakBefore w:val="0"/>
        <w:widowControl w:val="0"/>
        <w:kinsoku/>
        <w:wordWrap/>
        <w:overflowPunct w:val="0"/>
        <w:topLinePunct/>
        <w:autoSpaceDE/>
        <w:autoSpaceDN/>
        <w:bidi w:val="0"/>
        <w:snapToGrid/>
        <w:spacing w:line="600" w:lineRule="exact"/>
        <w:ind w:left="0" w:firstLine="640" w:firstLineChars="200"/>
        <w:jc w:val="left"/>
        <w:textAlignment w:val="auto"/>
        <w:rPr>
          <w:rFonts w:eastAsia="黑体"/>
          <w:bCs/>
          <w:color w:val="auto"/>
          <w:sz w:val="32"/>
          <w:szCs w:val="32"/>
        </w:rPr>
      </w:pPr>
      <w:r>
        <w:rPr>
          <w:rFonts w:eastAsia="黑体"/>
          <w:bCs/>
          <w:color w:val="auto"/>
          <w:sz w:val="32"/>
          <w:szCs w:val="32"/>
        </w:rPr>
        <w:t>一、起草背景</w:t>
      </w:r>
    </w:p>
    <w:p>
      <w:pPr>
        <w:keepNext w:val="0"/>
        <w:keepLines w:val="0"/>
        <w:pageBreakBefore w:val="0"/>
        <w:widowControl w:val="0"/>
        <w:kinsoku/>
        <w:wordWrap/>
        <w:overflowPunct w:val="0"/>
        <w:topLinePunct/>
        <w:autoSpaceDE/>
        <w:autoSpaceDN/>
        <w:bidi w:val="0"/>
        <w:snapToGrid/>
        <w:spacing w:line="600" w:lineRule="exact"/>
        <w:ind w:left="0"/>
        <w:textAlignment w:val="auto"/>
        <w:rPr>
          <w:rFonts w:hint="eastAsia" w:ascii="仿宋" w:hAnsi="仿宋" w:eastAsia="仿宋" w:cs="仿宋"/>
          <w:color w:val="auto"/>
          <w:spacing w:val="-20"/>
          <w:sz w:val="32"/>
          <w:szCs w:val="32"/>
          <w:lang w:eastAsia="zh-CN"/>
        </w:rPr>
      </w:pP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洛阳市体育赛事扶持奖励办法</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（洛政办〔</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26号</w:t>
      </w:r>
      <w:r>
        <w:rPr>
          <w:rFonts w:hint="eastAsia" w:ascii="仿宋" w:hAnsi="仿宋" w:eastAsia="仿宋" w:cs="仿宋"/>
          <w:color w:val="auto"/>
          <w:sz w:val="32"/>
          <w:szCs w:val="32"/>
          <w:lang w:eastAsia="zh-CN"/>
        </w:rPr>
        <w:t>）经市政府常务会议研究通过，于</w:t>
      </w:r>
      <w:r>
        <w:rPr>
          <w:rFonts w:hint="eastAsia" w:ascii="仿宋" w:hAnsi="仿宋" w:eastAsia="仿宋" w:cs="仿宋"/>
          <w:color w:val="auto"/>
          <w:sz w:val="32"/>
          <w:szCs w:val="32"/>
          <w:lang w:val="en-US" w:eastAsia="zh-CN"/>
        </w:rPr>
        <w:t>2022年3月下发，对鼓励企业和社会组织举办精品体育赛事，带动体育产业发展方面起到了一定促进作用，但在具体执行过程中，因门槛设定过高，扶持政策制定不精准等原因，导致文件下发后没有赛事获得扶持，在本轮对体育局巡查中被列入整改问题台账，要求修订完善。结合当前新形势下发展体育产业促进体育消费工作要求</w:t>
      </w:r>
      <w:r>
        <w:rPr>
          <w:rFonts w:hint="eastAsia" w:ascii="仿宋" w:hAnsi="仿宋" w:eastAsia="仿宋" w:cs="仿宋"/>
          <w:color w:val="auto"/>
          <w:sz w:val="32"/>
          <w:szCs w:val="32"/>
          <w:lang w:val="zh-HK" w:eastAsia="zh-CN"/>
        </w:rPr>
        <w:t>和</w:t>
      </w:r>
      <w:r>
        <w:rPr>
          <w:rFonts w:hint="eastAsia" w:ascii="仿宋" w:hAnsi="仿宋" w:eastAsia="仿宋" w:cs="仿宋"/>
          <w:color w:val="auto"/>
          <w:sz w:val="32"/>
          <w:szCs w:val="32"/>
          <w:lang w:val="en-US" w:eastAsia="zh-CN"/>
        </w:rPr>
        <w:t>国务院办公厅《关于加快发展体育竞赛表演产业的指导意见》</w:t>
      </w:r>
      <w:r>
        <w:rPr>
          <w:rFonts w:hint="eastAsia" w:ascii="仿宋" w:hAnsi="仿宋" w:eastAsia="仿宋" w:cs="仿宋"/>
          <w:color w:val="auto"/>
          <w:sz w:val="32"/>
          <w:szCs w:val="32"/>
          <w:lang w:val="zh-HK" w:eastAsia="zh-CN"/>
        </w:rPr>
        <w:t>，</w:t>
      </w:r>
      <w:r>
        <w:rPr>
          <w:rFonts w:hint="eastAsia" w:ascii="仿宋" w:hAnsi="仿宋" w:eastAsia="仿宋" w:cs="仿宋"/>
          <w:color w:val="auto"/>
          <w:sz w:val="32"/>
          <w:szCs w:val="32"/>
          <w:lang w:val="en-US" w:eastAsia="zh-CN"/>
        </w:rPr>
        <w:t>对标国家体育总局《体育赛事活动管理办法》《河南省引进重大赛事奖励办法》《厦门市高水平体育赛事补助办法》等国家、省市相关政策文件，在充分论证的基础上我局对《洛阳市体育赛事扶持资金管理办法》进行修订。</w:t>
      </w:r>
    </w:p>
    <w:p>
      <w:pPr>
        <w:keepNext w:val="0"/>
        <w:keepLines w:val="0"/>
        <w:pageBreakBefore w:val="0"/>
        <w:widowControl w:val="0"/>
        <w:kinsoku/>
        <w:wordWrap/>
        <w:overflowPunct w:val="0"/>
        <w:topLinePunct/>
        <w:autoSpaceDE/>
        <w:autoSpaceDN/>
        <w:bidi w:val="0"/>
        <w:snapToGrid/>
        <w:spacing w:line="600" w:lineRule="exact"/>
        <w:ind w:left="0" w:firstLine="640" w:firstLineChars="200"/>
        <w:jc w:val="left"/>
        <w:textAlignment w:val="auto"/>
        <w:rPr>
          <w:rFonts w:hint="eastAsia" w:eastAsia="黑体"/>
          <w:bCs/>
          <w:color w:val="auto"/>
          <w:sz w:val="32"/>
          <w:szCs w:val="32"/>
          <w:lang w:eastAsia="zh-CN"/>
        </w:rPr>
      </w:pPr>
      <w:r>
        <w:rPr>
          <w:rFonts w:eastAsia="黑体"/>
          <w:bCs/>
          <w:color w:val="auto"/>
          <w:sz w:val="32"/>
          <w:szCs w:val="32"/>
        </w:rPr>
        <w:t>二、</w:t>
      </w:r>
      <w:r>
        <w:rPr>
          <w:rFonts w:hint="eastAsia" w:eastAsia="黑体"/>
          <w:bCs/>
          <w:color w:val="auto"/>
          <w:sz w:val="32"/>
          <w:szCs w:val="32"/>
          <w:lang w:eastAsia="zh-CN"/>
        </w:rPr>
        <w:t>本次修订的主要内容</w:t>
      </w:r>
    </w:p>
    <w:p>
      <w:pPr>
        <w:keepNext w:val="0"/>
        <w:keepLines w:val="0"/>
        <w:pageBreakBefore w:val="0"/>
        <w:widowControl w:val="0"/>
        <w:kinsoku/>
        <w:wordWrap/>
        <w:overflowPunct w:val="0"/>
        <w:topLinePunct/>
        <w:autoSpaceDE/>
        <w:autoSpaceDN/>
        <w:bidi w:val="0"/>
        <w:snapToGrid/>
        <w:spacing w:line="600" w:lineRule="exact"/>
        <w:ind w:left="0" w:firstLine="642"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一是</w:t>
      </w:r>
      <w:r>
        <w:rPr>
          <w:rFonts w:hint="eastAsia" w:ascii="仿宋_GB2312" w:hAnsi="仿宋_GB2312" w:eastAsia="仿宋_GB2312" w:cs="仿宋_GB2312"/>
          <w:b w:val="0"/>
          <w:bCs w:val="0"/>
          <w:color w:val="auto"/>
          <w:sz w:val="32"/>
          <w:szCs w:val="32"/>
          <w:lang w:val="en-US" w:eastAsia="zh-CN"/>
        </w:rPr>
        <w:t>整体框架保持不变，具体条款进一步优化。</w:t>
      </w:r>
      <w:r>
        <w:rPr>
          <w:rFonts w:hint="eastAsia" w:ascii="仿宋_GB2312" w:hAnsi="仿宋_GB2312" w:eastAsia="仿宋_GB2312" w:cs="仿宋_GB2312"/>
          <w:color w:val="auto"/>
          <w:sz w:val="32"/>
          <w:szCs w:val="32"/>
          <w:lang w:val="en-US" w:eastAsia="zh-CN"/>
        </w:rPr>
        <w:t>文件整体结构保持不变，主体部分仍然分为总则、管理机构与职责分工、扶持奖励标准和申报条件、申报程序、项目绩效考评、附则6大板块。政策条款数量方面，保持原框架22条政策条款不变，仅对个别条款内细则进行修订完善。</w:t>
      </w:r>
    </w:p>
    <w:p>
      <w:pPr>
        <w:keepNext w:val="0"/>
        <w:keepLines w:val="0"/>
        <w:pageBreakBefore w:val="0"/>
        <w:widowControl w:val="0"/>
        <w:kinsoku/>
        <w:wordWrap/>
        <w:overflowPunct w:val="0"/>
        <w:topLinePunct/>
        <w:autoSpaceDE/>
        <w:autoSpaceDN/>
        <w:bidi w:val="0"/>
        <w:snapToGrid/>
        <w:spacing w:line="600" w:lineRule="exact"/>
        <w:ind w:left="0"/>
        <w:textAlignment w:val="auto"/>
        <w:rPr>
          <w:rFonts w:hint="eastAsia" w:ascii="仿宋" w:hAnsi="仿宋" w:eastAsia="仿宋" w:cs="仿宋"/>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b/>
          <w:bCs/>
          <w:color w:val="auto"/>
          <w:sz w:val="32"/>
          <w:szCs w:val="32"/>
          <w:lang w:val="en-US" w:eastAsia="zh-CN"/>
        </w:rPr>
        <w:t>二是</w:t>
      </w:r>
      <w:r>
        <w:rPr>
          <w:rFonts w:hint="eastAsia" w:ascii="仿宋" w:hAnsi="仿宋" w:eastAsia="仿宋" w:cs="仿宋"/>
          <w:color w:val="auto"/>
          <w:sz w:val="32"/>
          <w:szCs w:val="32"/>
          <w:lang w:val="en-US" w:eastAsia="zh-CN"/>
        </w:rPr>
        <w:t>扶持对象的主体进一步明确，更加突出政策针对性。在第一章总则第二条中加入了“国家级公共财政为主或政府购买服务方式举办的赛事项目不属此办法扶持范围。”、第四条扶持对象方面将“在我市举办的、社会关注度高、市场空间大、发展前景好的高水平商业性体育赛事活动</w:t>
      </w:r>
      <w:r>
        <w:rPr>
          <w:rFonts w:hint="default" w:ascii="仿宋" w:hAnsi="仿宋" w:eastAsia="仿宋" w:cs="仿宋"/>
          <w:color w:val="auto"/>
          <w:sz w:val="32"/>
          <w:szCs w:val="32"/>
          <w:lang w:val="en-US" w:eastAsia="zh-CN"/>
        </w:rPr>
        <w:t>”</w:t>
      </w:r>
      <w:r>
        <w:rPr>
          <w:rFonts w:hint="eastAsia" w:ascii="仿宋" w:hAnsi="仿宋" w:eastAsia="仿宋" w:cs="仿宋"/>
          <w:color w:val="auto"/>
          <w:sz w:val="32"/>
          <w:szCs w:val="32"/>
          <w:lang w:val="en-US" w:eastAsia="zh-CN"/>
        </w:rPr>
        <w:t>列入扶持范围。</w:t>
      </w:r>
    </w:p>
    <w:p>
      <w:pPr>
        <w:keepNext w:val="0"/>
        <w:keepLines w:val="0"/>
        <w:pageBreakBefore w:val="0"/>
        <w:widowControl w:val="0"/>
        <w:kinsoku/>
        <w:wordWrap/>
        <w:overflowPunct w:val="0"/>
        <w:topLinePunct/>
        <w:autoSpaceDE/>
        <w:autoSpaceDN/>
        <w:bidi w:val="0"/>
        <w:snapToGrid/>
        <w:spacing w:line="600" w:lineRule="exact"/>
        <w:ind w:left="0" w:firstLine="642" w:firstLineChars="200"/>
        <w:textAlignment w:val="auto"/>
        <w:rPr>
          <w:rFonts w:hint="eastAsia" w:ascii="仿宋" w:hAnsi="仿宋" w:eastAsia="仿宋" w:cs="仿宋"/>
          <w:color w:val="auto"/>
          <w:sz w:val="32"/>
          <w:szCs w:val="32"/>
          <w:lang w:val="en-US" w:eastAsia="zh-CN"/>
        </w:rPr>
      </w:pPr>
      <w:r>
        <w:rPr>
          <w:rFonts w:hint="eastAsia" w:ascii="仿宋_GB2312" w:hAnsi="仿宋_GB2312" w:eastAsia="仿宋_GB2312" w:cs="仿宋_GB2312"/>
          <w:b/>
          <w:bCs/>
          <w:color w:val="auto"/>
          <w:sz w:val="32"/>
          <w:szCs w:val="32"/>
          <w:lang w:val="en-US" w:eastAsia="zh-CN"/>
        </w:rPr>
        <w:t>三是</w:t>
      </w:r>
      <w:r>
        <w:rPr>
          <w:rFonts w:hint="eastAsia" w:ascii="仿宋" w:hAnsi="仿宋" w:eastAsia="仿宋" w:cs="仿宋"/>
          <w:color w:val="auto"/>
          <w:sz w:val="32"/>
          <w:szCs w:val="32"/>
          <w:lang w:val="en-US" w:eastAsia="zh-CN"/>
        </w:rPr>
        <w:t>扶持标准的认定门槛进一步降低。参照体育总局《体育赛事活动管理办法》</w:t>
      </w:r>
      <w:r>
        <w:rPr>
          <w:rFonts w:hint="default" w:ascii="仿宋" w:hAnsi="仿宋" w:eastAsia="仿宋" w:cs="仿宋"/>
          <w:color w:val="auto"/>
          <w:sz w:val="32"/>
          <w:szCs w:val="32"/>
          <w:lang w:val="zh-HK" w:eastAsia="zh-CN"/>
        </w:rPr>
        <w:t>，</w:t>
      </w:r>
      <w:r>
        <w:rPr>
          <w:rFonts w:hint="eastAsia" w:ascii="仿宋" w:hAnsi="仿宋" w:eastAsia="仿宋" w:cs="仿宋"/>
          <w:color w:val="auto"/>
          <w:sz w:val="32"/>
          <w:szCs w:val="32"/>
          <w:lang w:val="en-US" w:eastAsia="zh-CN"/>
        </w:rPr>
        <w:t>为鼓励企业和社会机构积极办赛，我们进一步降低赛事扶持等级的认定标准，将原政策第九条“体育赛事扶持标准”中的第1点国际级赛事活动中“世界排名前100或知名选手至少3人参赛”“相邻两届赛事间隔时间应不少于1个年度”等内容进行修订为“（1）与国际体育组织签约并在我市举办的国际性单项市场化体育赛事。（2）国家级体育协会认定的市场化国际体育赛事。（3）参赛国家（</w:t>
      </w:r>
      <w:r>
        <w:rPr>
          <w:rFonts w:hint="default" w:ascii="仿宋" w:hAnsi="仿宋" w:eastAsia="仿宋" w:cs="仿宋"/>
          <w:color w:val="auto"/>
          <w:sz w:val="32"/>
          <w:szCs w:val="32"/>
          <w:lang w:val="en-US" w:eastAsia="zh-CN"/>
        </w:rPr>
        <w:t>代表队</w:t>
      </w:r>
      <w:r>
        <w:rPr>
          <w:rFonts w:hint="eastAsia" w:ascii="仿宋" w:hAnsi="仿宋" w:eastAsia="仿宋" w:cs="仿宋"/>
          <w:color w:val="auto"/>
          <w:sz w:val="32"/>
          <w:szCs w:val="32"/>
          <w:lang w:val="en-US" w:eastAsia="zh-CN"/>
        </w:rPr>
        <w:t>）或不同国家明星运动员2个（含）以上的单项赛事。满足一项即可。”。将原政策第九条“体育赛事扶持标准”中的第2点国家级赛事活动中“参赛省份（含港澳台地区）4个以上，参赛队伍5支以上”等内容修订为“（1）国家体育总局（含各司局）及各项目管理中心、国家级体育协会主办或授权的赛事。（2）面向全国公开报名，参赛运动队（运动员）覆盖全国8个（含）以上省份（</w:t>
      </w:r>
      <w:r>
        <w:rPr>
          <w:rFonts w:hint="default" w:ascii="仿宋" w:hAnsi="仿宋" w:eastAsia="仿宋" w:cs="仿宋"/>
          <w:color w:val="auto"/>
          <w:sz w:val="32"/>
          <w:szCs w:val="32"/>
          <w:lang w:val="en-US" w:eastAsia="zh-CN"/>
        </w:rPr>
        <w:t>含港澳台地区</w:t>
      </w:r>
      <w:r>
        <w:rPr>
          <w:rFonts w:hint="eastAsia" w:ascii="仿宋" w:hAnsi="仿宋" w:eastAsia="仿宋" w:cs="仿宋"/>
          <w:color w:val="auto"/>
          <w:sz w:val="32"/>
          <w:szCs w:val="32"/>
          <w:lang w:val="en-US" w:eastAsia="zh-CN"/>
        </w:rPr>
        <w:t>），且省外运动队（运动员）占50%（含）以上。满足一项即可。将原政策第九条“体育赛事扶持标准”中的第3点省级赛事活动中要求“参赛城市5个以上，参赛队伍6支以上”等内容修订为“（1）河南省体育局（含各处室）及各项目管理中心、省级体育协会主办的赛事。（2）面向全省公开报名，参赛运动队（运动员）覆盖全省10个（含）以上地市，且洛阳以外运动队（运动员）占50%（含）以上。满足一项即可”。</w:t>
      </w:r>
    </w:p>
    <w:p>
      <w:pPr>
        <w:keepNext w:val="0"/>
        <w:keepLines w:val="0"/>
        <w:pageBreakBefore w:val="0"/>
        <w:widowControl w:val="0"/>
        <w:kinsoku/>
        <w:wordWrap/>
        <w:overflowPunct w:val="0"/>
        <w:topLinePunct/>
        <w:autoSpaceDE/>
        <w:autoSpaceDN/>
        <w:bidi w:val="0"/>
        <w:snapToGrid/>
        <w:spacing w:line="600" w:lineRule="exact"/>
        <w:ind w:left="0" w:firstLine="642" w:firstLineChars="200"/>
        <w:textAlignment w:val="auto"/>
        <w:rPr>
          <w:rFonts w:hint="default" w:ascii="仿宋" w:hAnsi="仿宋" w:eastAsia="仿宋" w:cs="仿宋"/>
          <w:color w:val="auto"/>
          <w:sz w:val="32"/>
          <w:szCs w:val="32"/>
          <w:lang w:val="en-US" w:eastAsia="zh-CN"/>
        </w:rPr>
      </w:pPr>
      <w:r>
        <w:rPr>
          <w:rFonts w:hint="eastAsia" w:ascii="仿宋_GB2312" w:hAnsi="仿宋_GB2312" w:eastAsia="仿宋_GB2312" w:cs="仿宋_GB2312"/>
          <w:b/>
          <w:bCs/>
          <w:color w:val="auto"/>
          <w:sz w:val="32"/>
          <w:szCs w:val="32"/>
          <w:lang w:val="en-US" w:eastAsia="zh-CN"/>
        </w:rPr>
        <w:t>四是</w:t>
      </w:r>
      <w:r>
        <w:rPr>
          <w:rFonts w:hint="eastAsia" w:ascii="仿宋" w:hAnsi="仿宋" w:eastAsia="仿宋" w:cs="仿宋"/>
          <w:color w:val="auto"/>
          <w:sz w:val="32"/>
          <w:szCs w:val="32"/>
          <w:lang w:val="en-US" w:eastAsia="zh-CN"/>
        </w:rPr>
        <w:t>扶持的标准适当提高。参照《河南省引进重大赛事奖励办法》</w:t>
      </w:r>
      <w:r>
        <w:rPr>
          <w:rFonts w:hint="eastAsia" w:ascii="仿宋" w:hAnsi="仿宋" w:eastAsia="仿宋" w:cs="仿宋"/>
          <w:color w:val="auto"/>
          <w:sz w:val="32"/>
          <w:szCs w:val="32"/>
          <w:lang w:val="en-US" w:eastAsia="zh-CN"/>
        </w:rPr>
        <w:commentReference w:id="0"/>
      </w:r>
      <w:r>
        <w:rPr>
          <w:rFonts w:hint="eastAsia" w:ascii="仿宋" w:hAnsi="仿宋" w:eastAsia="仿宋" w:cs="仿宋"/>
          <w:color w:val="auto"/>
          <w:sz w:val="32"/>
          <w:szCs w:val="32"/>
          <w:lang w:val="en-US" w:eastAsia="zh-CN"/>
        </w:rPr>
        <w:t>《厦门市高水平体育赛事补助办法》的有关规定，将引进赛事活动每年总额补贴金额由300万提高至500万元。同时将原文件第九条第4点“除滑翔伞等空中项目、帆船等水上项目、冰雪、自行车、围棋、足球、篮球、排球、乒乓球、羽毛球、网球、马拉松、武术、电竞、体育舞蹈、轮滑、跆拳道等体育项目外,符合上述条件的，可按照上述对应标准的50%给予扶持资金，最高不超过10万。”等内容进行删除。加上一条“对影响力广泛的特殊赛事活动，可按照‘</w:t>
      </w:r>
      <w:r>
        <w:rPr>
          <w:rFonts w:hint="eastAsia" w:ascii="仿宋" w:hAnsi="仿宋" w:eastAsia="仿宋" w:cs="仿宋"/>
          <w:color w:val="auto"/>
          <w:sz w:val="32"/>
          <w:szCs w:val="32"/>
          <w:lang w:val="en-US" w:eastAsia="zh-CN"/>
        </w:rPr>
        <w:commentReference w:id="1"/>
      </w:r>
      <w:r>
        <w:rPr>
          <w:rFonts w:hint="eastAsia" w:ascii="仿宋" w:hAnsi="仿宋" w:eastAsia="仿宋" w:cs="仿宋"/>
          <w:color w:val="auto"/>
          <w:sz w:val="32"/>
          <w:szCs w:val="32"/>
          <w:lang w:val="en-US" w:eastAsia="zh-CN"/>
        </w:rPr>
        <w:t>一事一议</w:t>
      </w:r>
      <w:r>
        <w:rPr>
          <w:rFonts w:hint="eastAsia" w:ascii="仿宋" w:hAnsi="仿宋" w:eastAsia="仿宋" w:cs="仿宋"/>
          <w:color w:val="auto"/>
          <w:sz w:val="32"/>
          <w:szCs w:val="32"/>
          <w:lang w:val="en-US" w:eastAsia="zh-CN"/>
        </w:rPr>
        <w:commentReference w:id="2"/>
      </w:r>
      <w:r>
        <w:rPr>
          <w:rFonts w:hint="eastAsia" w:ascii="仿宋" w:hAnsi="仿宋" w:eastAsia="仿宋" w:cs="仿宋"/>
          <w:color w:val="auto"/>
          <w:sz w:val="32"/>
          <w:szCs w:val="32"/>
          <w:lang w:val="en-US" w:eastAsia="zh-CN"/>
        </w:rPr>
        <w:t>’原则，报经市政府审批同意后，按照赛事等级给予相应补助。”</w:t>
      </w:r>
    </w:p>
    <w:p>
      <w:pPr>
        <w:keepNext w:val="0"/>
        <w:keepLines w:val="0"/>
        <w:pageBreakBefore w:val="0"/>
        <w:widowControl w:val="0"/>
        <w:kinsoku/>
        <w:wordWrap/>
        <w:overflowPunct w:val="0"/>
        <w:topLinePunct/>
        <w:autoSpaceDE/>
        <w:autoSpaceDN/>
        <w:bidi w:val="0"/>
        <w:snapToGrid/>
        <w:spacing w:line="600" w:lineRule="exact"/>
        <w:ind w:left="0" w:firstLine="642" w:firstLineChars="200"/>
        <w:textAlignment w:val="auto"/>
        <w:rPr>
          <w:rFonts w:hint="default" w:ascii="仿宋" w:hAnsi="仿宋" w:eastAsia="仿宋" w:cs="仿宋"/>
          <w:color w:val="auto"/>
          <w:sz w:val="32"/>
          <w:szCs w:val="32"/>
          <w:lang w:val="en-US" w:eastAsia="zh-CN"/>
        </w:rPr>
      </w:pPr>
      <w:r>
        <w:rPr>
          <w:rFonts w:hint="eastAsia" w:ascii="仿宋_GB2312" w:hAnsi="仿宋_GB2312" w:eastAsia="仿宋_GB2312" w:cs="仿宋_GB2312"/>
          <w:b/>
          <w:bCs/>
          <w:color w:val="auto"/>
          <w:sz w:val="32"/>
          <w:szCs w:val="32"/>
          <w:lang w:val="en-US" w:eastAsia="zh-CN"/>
        </w:rPr>
        <w:t>五是</w:t>
      </w:r>
      <w:r>
        <w:rPr>
          <w:rFonts w:hint="eastAsia" w:ascii="仿宋" w:hAnsi="仿宋" w:eastAsia="仿宋" w:cs="仿宋"/>
          <w:color w:val="auto"/>
          <w:sz w:val="32"/>
          <w:szCs w:val="32"/>
          <w:lang w:val="en-US" w:eastAsia="zh-CN"/>
        </w:rPr>
        <w:t>申报程序进一步简化。将第十四条“市体育局每年年初下发赛事扶持奖励资金申报通知，并明确申报日期和拟扶持赛事的时限范围</w:t>
      </w:r>
      <w:r>
        <w:rPr>
          <w:rFonts w:hint="eastAsia" w:ascii="仿宋" w:hAnsi="仿宋" w:eastAsia="仿宋" w:cs="仿宋"/>
          <w:color w:val="auto"/>
          <w:sz w:val="32"/>
          <w:szCs w:val="32"/>
          <w:lang w:val="en-US" w:eastAsia="zh-CN"/>
        </w:rPr>
        <w:commentReference w:id="3"/>
      </w:r>
      <w:r>
        <w:rPr>
          <w:rFonts w:hint="eastAsia" w:ascii="仿宋" w:hAnsi="仿宋" w:eastAsia="仿宋" w:cs="仿宋"/>
          <w:color w:val="auto"/>
          <w:sz w:val="32"/>
          <w:szCs w:val="32"/>
          <w:lang w:val="en-US" w:eastAsia="zh-CN"/>
        </w:rPr>
        <w:t>”等内容修订为“赛事结束后2个月内提交以下申报材料，并附加一条资料（赛事规模、影响力及绩效评价）”；将原文件第四章加入一条“赛事前一个月提前向洛阳市体育局报备赛事方案，并填写赛事报备申请表，报市体育局研究审核，赛事举办过程中需邀请体育局、财政局专家到赛事现场进行核查”。</w:t>
      </w:r>
    </w:p>
    <w:p>
      <w:pPr>
        <w:keepNext w:val="0"/>
        <w:keepLines w:val="0"/>
        <w:pageBreakBefore w:val="0"/>
        <w:widowControl w:val="0"/>
        <w:kinsoku/>
        <w:wordWrap/>
        <w:overflowPunct w:val="0"/>
        <w:topLinePunct/>
        <w:autoSpaceDE/>
        <w:autoSpaceDN/>
        <w:bidi w:val="0"/>
        <w:snapToGrid/>
        <w:spacing w:line="600" w:lineRule="exact"/>
        <w:ind w:left="0" w:firstLine="640"/>
        <w:textAlignment w:val="auto"/>
        <w:rPr>
          <w:rFonts w:hint="eastAsia" w:ascii="仿宋" w:hAnsi="仿宋" w:eastAsia="仿宋" w:cs="仿宋"/>
          <w:color w:val="auto"/>
          <w:sz w:val="32"/>
          <w:szCs w:val="32"/>
          <w:lang w:val="en-US" w:eastAsia="zh-CN"/>
        </w:rPr>
      </w:pPr>
      <w:r>
        <w:rPr>
          <w:rFonts w:hint="eastAsia" w:ascii="仿宋_GB2312" w:hAnsi="仿宋_GB2312" w:eastAsia="仿宋_GB2312" w:cs="仿宋_GB2312"/>
          <w:b/>
          <w:bCs/>
          <w:color w:val="auto"/>
          <w:sz w:val="32"/>
          <w:szCs w:val="32"/>
          <w:lang w:val="en-US" w:eastAsia="zh-CN"/>
        </w:rPr>
        <w:t>六是</w:t>
      </w:r>
      <w:r>
        <w:rPr>
          <w:rFonts w:hint="eastAsia" w:ascii="仿宋" w:hAnsi="仿宋" w:eastAsia="仿宋" w:cs="仿宋"/>
          <w:color w:val="auto"/>
          <w:sz w:val="32"/>
          <w:szCs w:val="32"/>
          <w:lang w:val="en-US" w:eastAsia="zh-CN"/>
        </w:rPr>
        <w:t>文本表述更加准确。</w:t>
      </w:r>
      <w:r>
        <w:rPr>
          <w:rFonts w:hint="default" w:ascii="仿宋" w:hAnsi="仿宋" w:eastAsia="仿宋" w:cs="仿宋"/>
          <w:color w:val="auto"/>
          <w:sz w:val="32"/>
          <w:szCs w:val="32"/>
          <w:lang w:val="zh-HK" w:eastAsia="zh-CN"/>
        </w:rPr>
        <w:t>将</w:t>
      </w:r>
      <w:r>
        <w:rPr>
          <w:rFonts w:hint="eastAsia" w:ascii="仿宋" w:hAnsi="仿宋" w:eastAsia="仿宋" w:cs="仿宋"/>
          <w:color w:val="auto"/>
          <w:sz w:val="32"/>
          <w:szCs w:val="32"/>
          <w:lang w:val="en-US" w:eastAsia="zh-CN"/>
        </w:rPr>
        <w:t>第十二条第1点中的“工商”改为“市场监管”。</w:t>
      </w:r>
    </w:p>
    <w:p>
      <w:pPr>
        <w:keepNext w:val="0"/>
        <w:keepLines w:val="0"/>
        <w:pageBreakBefore w:val="0"/>
        <w:widowControl w:val="0"/>
        <w:kinsoku/>
        <w:wordWrap/>
        <w:overflowPunct w:val="0"/>
        <w:topLinePunct/>
        <w:autoSpaceDE/>
        <w:autoSpaceDN/>
        <w:bidi w:val="0"/>
        <w:snapToGrid/>
        <w:spacing w:line="600" w:lineRule="exact"/>
        <w:ind w:left="0" w:firstLine="640"/>
        <w:textAlignment w:val="auto"/>
        <w:rPr>
          <w:rFonts w:hint="eastAsia" w:eastAsia="黑体"/>
          <w:bCs/>
          <w:color w:val="auto"/>
          <w:spacing w:val="-20"/>
          <w:sz w:val="32"/>
          <w:szCs w:val="32"/>
          <w:lang w:eastAsia="zh-CN"/>
        </w:rPr>
      </w:pPr>
      <w:r>
        <w:rPr>
          <w:rFonts w:eastAsia="黑体"/>
          <w:bCs/>
          <w:color w:val="auto"/>
          <w:sz w:val="32"/>
          <w:szCs w:val="32"/>
        </w:rPr>
        <w:t>三、</w:t>
      </w:r>
      <w:r>
        <w:rPr>
          <w:rFonts w:hint="eastAsia" w:eastAsia="黑体"/>
          <w:bCs/>
          <w:color w:val="auto"/>
          <w:sz w:val="32"/>
          <w:szCs w:val="32"/>
          <w:lang w:eastAsia="zh-CN"/>
        </w:rPr>
        <w:t>意见征求情况</w:t>
      </w:r>
    </w:p>
    <w:p>
      <w:pPr>
        <w:keepNext w:val="0"/>
        <w:keepLines w:val="0"/>
        <w:pageBreakBefore w:val="0"/>
        <w:widowControl w:val="0"/>
        <w:kinsoku/>
        <w:wordWrap/>
        <w:overflowPunct w:val="0"/>
        <w:topLinePunct/>
        <w:autoSpaceDE/>
        <w:autoSpaceDN/>
        <w:bidi w:val="0"/>
        <w:snapToGrid/>
        <w:spacing w:line="600" w:lineRule="exact"/>
        <w:ind w:left="0"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2025年6月13日，再次对</w:t>
      </w:r>
      <w:r>
        <w:rPr>
          <w:rFonts w:hint="default" w:ascii="仿宋" w:hAnsi="仿宋" w:eastAsia="仿宋" w:cs="仿宋"/>
          <w:color w:val="auto"/>
          <w:sz w:val="32"/>
          <w:szCs w:val="32"/>
          <w:lang w:val="en-US" w:eastAsia="zh-CN"/>
        </w:rPr>
        <w:t>洛阳市体育赛事扶持奖励办法（修订稿）</w:t>
      </w:r>
      <w:r>
        <w:rPr>
          <w:rFonts w:hint="eastAsia" w:ascii="仿宋" w:hAnsi="仿宋" w:eastAsia="仿宋" w:cs="仿宋"/>
          <w:color w:val="auto"/>
          <w:sz w:val="32"/>
          <w:szCs w:val="32"/>
          <w:lang w:val="en-US" w:eastAsia="zh-CN"/>
        </w:rPr>
        <w:t>征求了市财政局意见。下一步，我们将收集相关意见并进一步修订完善。</w:t>
      </w:r>
    </w:p>
    <w:p>
      <w:pPr>
        <w:keepNext w:val="0"/>
        <w:keepLines w:val="0"/>
        <w:pageBreakBefore w:val="0"/>
        <w:widowControl w:val="0"/>
        <w:kinsoku/>
        <w:wordWrap/>
        <w:overflowPunct w:val="0"/>
        <w:topLinePunct/>
        <w:autoSpaceDE/>
        <w:autoSpaceDN/>
        <w:bidi w:val="0"/>
        <w:snapToGrid/>
        <w:spacing w:line="600" w:lineRule="exact"/>
        <w:ind w:left="0"/>
        <w:textAlignment w:val="auto"/>
        <w:rPr>
          <w:rFonts w:hint="eastAsia" w:ascii="仿宋" w:hAnsi="仿宋" w:eastAsia="仿宋" w:cs="仿宋"/>
          <w:color w:val="auto"/>
          <w:sz w:val="32"/>
          <w:szCs w:val="32"/>
          <w:lang w:val="en-US" w:eastAsia="zh-CN"/>
        </w:rPr>
      </w:pPr>
      <w:bookmarkStart w:id="0" w:name="_GoBack"/>
      <w:bookmarkEnd w:id="0"/>
    </w:p>
    <w:p>
      <w:pPr>
        <w:keepNext w:val="0"/>
        <w:keepLines w:val="0"/>
        <w:pageBreakBefore w:val="0"/>
        <w:widowControl w:val="0"/>
        <w:kinsoku/>
        <w:wordWrap/>
        <w:overflowPunct w:val="0"/>
        <w:topLinePunct/>
        <w:autoSpaceDE/>
        <w:autoSpaceDN/>
        <w:bidi w:val="0"/>
        <w:snapToGrid/>
        <w:spacing w:line="600" w:lineRule="exact"/>
        <w:ind w:left="0"/>
        <w:textAlignment w:val="auto"/>
        <w:rPr>
          <w:rFonts w:hint="default" w:ascii="仿宋_GB2312" w:hAnsi="仿宋_GB2312" w:eastAsia="仿宋_GB2312" w:cs="仿宋_GB2312"/>
          <w:color w:val="auto"/>
          <w:sz w:val="32"/>
          <w:szCs w:val="32"/>
          <w:lang w:val="en-US" w:eastAsia="zh-CN"/>
        </w:rPr>
      </w:pPr>
    </w:p>
    <w:sectPr>
      <w:footerReference r:id="rId5" w:type="default"/>
      <w:pgSz w:w="11906" w:h="16838"/>
      <w:pgMar w:top="1701" w:right="1417" w:bottom="1701" w:left="1417" w:header="851" w:footer="992" w:gutter="0"/>
      <w:pgNumType w:fmt="decimal"/>
      <w:cols w:space="720"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谢小新爱吃鱼" w:date="2025-06-20T09:25:32Z" w:initials="">
    <w:p w14:paraId="96FFFC13">
      <w:r>
        <w:t xml:space="preserve">检测时间：2025-06-20 09:25:32 </w:t>
      </w:r>
    </w:p>
    <w:p w14:paraId="FFFB2AE4">
      <w:r>
        <w:t xml:space="preserve">错误词：、 </w:t>
      </w:r>
    </w:p>
    <w:p w14:paraId="7FEB23D3">
      <w:r>
        <w:t>建议词：[]</w:t>
      </w:r>
    </w:p>
    <w:p w14:paraId="62AF6C96">
      <w:r>
        <w:t>错误类型：标点符号差错</w:t>
      </w:r>
    </w:p>
    <w:p w14:paraId="73768A39">
      <w:r>
        <w:t xml:space="preserve">错误原因：根据GB/T 15834 《标点符号用法》，标有书名号的并列成分建议不加顿号，建议删除。 </w:t>
      </w:r>
    </w:p>
    <w:p w14:paraId="F7BE8019">
      <w:r>
        <w:t xml:space="preserve">可信度：疑错 </w:t>
      </w:r>
    </w:p>
    <w:p w14:paraId="6D7E7ACE">
      <w:r>
        <w:t>处理建议：删除</w:t>
      </w:r>
    </w:p>
  </w:comment>
  <w:comment w:id="1" w:author="谢小新爱吃鱼" w:date="2025-06-20T09:25:32Z" w:initials="">
    <w:p w14:paraId="5FEBC458">
      <w:r>
        <w:t xml:space="preserve">检测时间：2025-06-20 09:25:32 </w:t>
      </w:r>
    </w:p>
    <w:p w14:paraId="8F73272E">
      <w:r>
        <w:t xml:space="preserve">错误词：“ </w:t>
      </w:r>
    </w:p>
    <w:p w14:paraId="7DF69098">
      <w:r>
        <w:t>建议词：[]</w:t>
      </w:r>
    </w:p>
    <w:p w14:paraId="BFFF0577">
      <w:r>
        <w:t>错误类型：标点符号差错</w:t>
      </w:r>
    </w:p>
    <w:p w14:paraId="6EBF7454">
      <w:r>
        <w:t xml:space="preserve">错误原因：疑似引号使用错误，建议再次核对 </w:t>
      </w:r>
    </w:p>
    <w:p w14:paraId="6F2BE720">
      <w:r>
        <w:t xml:space="preserve">可信度：疑错 </w:t>
      </w:r>
    </w:p>
    <w:p w14:paraId="7FFFBD07">
      <w:r>
        <w:t>处理建议：重点检查</w:t>
      </w:r>
    </w:p>
  </w:comment>
  <w:comment w:id="2" w:author="谢小新爱吃鱼" w:date="2025-06-20T09:25:32Z" w:initials="">
    <w:p w14:paraId="3F7FD124">
      <w:r>
        <w:t xml:space="preserve">检测时间：2025-06-20 09:25:32 </w:t>
      </w:r>
    </w:p>
    <w:p w14:paraId="EF7FAA7F">
      <w:r>
        <w:t xml:space="preserve">错误词：” </w:t>
      </w:r>
    </w:p>
    <w:p w14:paraId="DFE3C566">
      <w:r>
        <w:t>建议词：[]</w:t>
      </w:r>
    </w:p>
    <w:p w14:paraId="EFFF7F0A">
      <w:r>
        <w:t>错误类型：标点符号差错</w:t>
      </w:r>
    </w:p>
    <w:p w14:paraId="EBA1DC0E">
      <w:r>
        <w:t xml:space="preserve">错误原因：疑似引号使用错误，建议再次核对 </w:t>
      </w:r>
    </w:p>
    <w:p w14:paraId="66F709DF">
      <w:r>
        <w:t xml:space="preserve">可信度：疑错 </w:t>
      </w:r>
    </w:p>
    <w:p w14:paraId="9DFD1CB5">
      <w:r>
        <w:t>处理建议：重点检查</w:t>
      </w:r>
    </w:p>
  </w:comment>
  <w:comment w:id="3" w:author="谢小新爱吃鱼" w:date="2025-06-20T09:25:32Z" w:initials="">
    <w:p w14:paraId="97AF38F5">
      <w:r>
        <w:t xml:space="preserve">检测时间：2025-06-20 09:5:32 </w:t>
      </w:r>
    </w:p>
    <w:p w14:paraId="FFCDD76F">
      <w:r>
        <w:t xml:space="preserve">错误词：。 </w:t>
      </w:r>
    </w:p>
    <w:p w14:paraId="FE9DF366">
      <w:r>
        <w:t>建议词：[]</w:t>
      </w:r>
    </w:p>
    <w:p w14:paraId="B3FF8CC1">
      <w:r>
        <w:t>错误类型：标点符号差错</w:t>
      </w:r>
    </w:p>
    <w:p w14:paraId="9E7A2483">
      <w:r>
        <w:t xml:space="preserve">错误原因：根据 《标点符号用法》（GB/T 15834），文本插入标点位置不当，建议删除。 </w:t>
      </w:r>
    </w:p>
    <w:p w14:paraId="9EFF1FDE">
      <w:r>
        <w:t xml:space="preserve">可信度：疑错 </w:t>
      </w:r>
    </w:p>
    <w:p w14:paraId="6FFFF2EF">
      <w:r>
        <w:t>处理建议：删除</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6D7E7ACE" w15:done="0"/>
  <w15:commentEx w15:paraId="7FFFBD07" w15:done="0"/>
  <w15:commentEx w15:paraId="9DFD1CB5" w15:done="0"/>
  <w15:commentEx w15:paraId="6FFFF2EF"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方正书宋简体">
    <w:altName w:val="方正书宋_GBK"/>
    <w:panose1 w:val="02010601030101010101"/>
    <w:charset w:val="86"/>
    <w:family w:val="script"/>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Arial">
    <w:altName w:val="Nimbus Roman No9 L"/>
    <w:panose1 w:val="00000000000000000000"/>
    <w:charset w:val="00"/>
    <w:family w:val="auto"/>
    <w:pitch w:val="default"/>
    <w:sig w:usb0="00000000" w:usb1="00000000" w:usb2="00000000" w:usb3="00000000" w:csb0="00000000" w:csb1="00000000"/>
  </w:font>
  <w:font w:name="方正仿宋_GBK">
    <w:panose1 w:val="02000000000000000000"/>
    <w:charset w:val="86"/>
    <w:family w:val="auto"/>
    <w:pitch w:val="default"/>
    <w:sig w:usb0="00000001" w:usb1="08000000" w:usb2="00000000" w:usb3="00000000" w:csb0="00040000" w:csb1="00000000"/>
  </w:font>
  <w:font w:name="微软雅黑">
    <w:altName w:val="黑体"/>
    <w:panose1 w:val="00000000000000000000"/>
    <w:charset w:val="00"/>
    <w:family w:val="auto"/>
    <w:pitch w:val="default"/>
    <w:sig w:usb0="00000000" w:usb1="00000000" w:usb2="00000000" w:usb3="00000000" w:csb0="00000000" w:csb1="00000000"/>
  </w:font>
  <w:font w:name="Tahoma">
    <w:altName w:val="Droid Sans"/>
    <w:panose1 w:val="00000000000000000000"/>
    <w:charset w:val="00"/>
    <w:family w:val="auto"/>
    <w:pitch w:val="default"/>
    <w:sig w:usb0="00000000" w:usb1="00000000" w:usb2="00000000" w:usb3="00000000" w:csb0="00000000" w:csb1="00000000"/>
  </w:font>
  <w:font w:name="Droid Sans">
    <w:panose1 w:val="020B0606030804020204"/>
    <w:charset w:val="00"/>
    <w:family w:val="auto"/>
    <w:pitch w:val="default"/>
    <w:sig w:usb0="E00002EF" w:usb1="4000205B" w:usb2="00000028"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2"/>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1</w:t>
                </w:r>
                <w:r>
                  <w:rPr>
                    <w:rFonts w:hint="eastAsia" w:ascii="仿宋" w:hAnsi="仿宋" w:eastAsia="仿宋" w:cs="仿宋"/>
                    <w:sz w:val="28"/>
                    <w:szCs w:val="28"/>
                  </w:rPr>
                  <w:fldChar w:fldCharType="end"/>
                </w:r>
                <w:r>
                  <w:rPr>
                    <w:rFonts w:hint="eastAsia" w:ascii="仿宋" w:hAnsi="仿宋" w:eastAsia="仿宋" w:cs="仿宋"/>
                    <w:sz w:val="28"/>
                    <w:szCs w:val="28"/>
                  </w:rPr>
                  <w:t xml:space="preserve"> —</w:t>
                </w:r>
              </w:p>
            </w:txbxContent>
          </v:textbox>
        </v:shape>
      </w:pict>
    </w: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谢小新爱吃鱼">
    <w15:presenceInfo w15:providerId="WPS Office" w15:userId="215054065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NotTrackMoves/>
  <w:documentProtection w:enforcement="0"/>
  <w:defaultTabStop w:val="420"/>
  <w:drawingGridVerticalSpacing w:val="156"/>
  <w:noPunctuationKerning w:val="1"/>
  <w:characterSpacingControl w:val="compressPunctuation"/>
  <w:noLineBreaksAfter w:lang="zh-CN" w:val="([{·‘“〈《「『【〔〖（．［｛￡￥"/>
  <w:noLineBreaksBefore w:lang="zh-CN" w:val="!),.:;?]}¨·ˇˉ―‖’”…∶、。〃々〉》」』】〕〗！＂＇），．：；？］｀｜｝～￠"/>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enableOpenTypeFeatures" w:uri="http://schemas.microsoft.com/office/word" w:val="1"/>
    <w:compatSetting w:name="doNotFlipMirrorIndents" w:uri="http://schemas.microsoft.com/office/word" w:val="1"/>
  </w:compat>
  <w:rsids>
    <w:rsidRoot w:val="00000000"/>
    <w:rsid w:val="29581A44"/>
    <w:rsid w:val="35FFF990"/>
    <w:rsid w:val="4FB9F48D"/>
    <w:rsid w:val="5BEBEDDA"/>
    <w:rsid w:val="5EBFD7C7"/>
    <w:rsid w:val="776EA0D5"/>
    <w:rsid w:val="7FD752FB"/>
    <w:rsid w:val="AF25CCDE"/>
    <w:rsid w:val="EDE4A68D"/>
    <w:rsid w:val="FFAE392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7">
    <w:name w:val="普通表格1"/>
    <w:semiHidden/>
    <w:qFormat/>
    <w:uiPriority w:val="0"/>
    <w:tblPr>
      <w:tblCellMar>
        <w:top w:w="0" w:type="dxa"/>
        <w:left w:w="108" w:type="dxa"/>
        <w:bottom w:w="0" w:type="dxa"/>
        <w:right w:w="108" w:type="dxa"/>
      </w:tblCellMar>
    </w:tblPr>
  </w:style>
  <w:style w:type="paragraph" w:customStyle="1" w:styleId="8">
    <w:name w:val="Default"/>
    <w:next w:val="9"/>
    <w:qFormat/>
    <w:uiPriority w:val="0"/>
    <w:pPr>
      <w:widowControl w:val="0"/>
      <w:autoSpaceDE w:val="0"/>
      <w:autoSpaceDN w:val="0"/>
      <w:adjustRightInd w:val="0"/>
    </w:pPr>
    <w:rPr>
      <w:rFonts w:hint="eastAsia" w:ascii="仿宋_GB2312" w:hAnsi="Calibri" w:eastAsia="仿宋_GB2312" w:cs="Times New Roman"/>
      <w:color w:val="000000"/>
      <w:sz w:val="24"/>
      <w:szCs w:val="22"/>
      <w:lang w:val="en-US" w:eastAsia="zh-CN" w:bidi="ar-SA"/>
    </w:rPr>
  </w:style>
  <w:style w:type="paragraph" w:customStyle="1" w:styleId="9">
    <w:name w:val="副标题1"/>
    <w:basedOn w:val="1"/>
    <w:next w:val="1"/>
    <w:qFormat/>
    <w:uiPriority w:val="0"/>
    <w:pPr>
      <w:widowControl/>
      <w:wordWrap w:val="0"/>
      <w:spacing w:before="0" w:after="60" w:line="240" w:lineRule="auto"/>
      <w:ind w:left="0" w:firstLine="0"/>
      <w:jc w:val="center"/>
    </w:pPr>
    <w:rPr>
      <w:rFonts w:ascii="Times New Roman" w:hAnsi="Times New Roman" w:eastAsia="宋体" w:cs="Times New Roman"/>
      <w:sz w:val="24"/>
    </w:rPr>
  </w:style>
  <w:style w:type="paragraph" w:customStyle="1" w:styleId="10">
    <w:name w:val="页脚1"/>
    <w:basedOn w:val="1"/>
    <w:qFormat/>
    <w:uiPriority w:val="0"/>
    <w:pPr>
      <w:tabs>
        <w:tab w:val="center" w:pos="4153"/>
        <w:tab w:val="right" w:pos="8306"/>
      </w:tabs>
      <w:snapToGrid w:val="0"/>
      <w:jc w:val="left"/>
    </w:pPr>
    <w:rPr>
      <w:sz w:val="18"/>
    </w:rPr>
  </w:style>
  <w:style w:type="paragraph" w:customStyle="1" w:styleId="11">
    <w:name w:val="HTML 预设格式1"/>
    <w:basedOn w:val="1"/>
    <w:qFormat/>
    <w:uiPriority w:val="0"/>
    <w:pPr>
      <w:jc w:val="left"/>
    </w:pPr>
    <w:rPr>
      <w:rFonts w:hint="eastAsia" w:ascii="宋体" w:hAnsi="宋体" w:eastAsia="宋体" w:cs="宋体"/>
      <w:kern w:val="0"/>
      <w:sz w:val="24"/>
      <w:szCs w:val="24"/>
      <w:lang w:val="en-US" w:eastAsia="zh-CN" w:bidi="zh-HK"/>
    </w:rPr>
  </w:style>
  <w:style w:type="paragraph" w:customStyle="1" w:styleId="12">
    <w:name w:val="普通(网站)1"/>
    <w:basedOn w:val="1"/>
    <w:qFormat/>
    <w:uiPriority w:val="0"/>
    <w:pPr>
      <w:spacing w:before="100" w:beforeAutospacing="1" w:after="100" w:afterAutospacing="1"/>
      <w:ind w:left="0" w:right="0"/>
      <w:jc w:val="left"/>
    </w:pPr>
    <w:rPr>
      <w:kern w:val="0"/>
      <w:sz w:val="24"/>
      <w:lang w:val="en-US" w:eastAsia="zh-CN" w:bidi="zh-HK"/>
    </w:rPr>
  </w:style>
  <w:style w:type="character" w:customStyle="1" w:styleId="13">
    <w:name w:val="要点1"/>
    <w:basedOn w:val="6"/>
    <w:qFormat/>
    <w:uiPriority w:val="0"/>
    <w:rPr>
      <w:b/>
      <w:sz w:val="32"/>
      <w:szCs w:val="32"/>
    </w:rPr>
  </w:style>
  <w:style w:type="character" w:customStyle="1" w:styleId="14">
    <w:name w:val="超链接1"/>
    <w:basedOn w:val="6"/>
    <w:qFormat/>
    <w:uiPriority w:val="0"/>
    <w:rPr>
      <w:color w:val="0000FF"/>
      <w:u w:val="single"/>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2292</Words>
  <Characters>2383</Characters>
  <Lines>0</Lines>
  <Paragraphs>0</Paragraphs>
  <TotalTime>47</TotalTime>
  <ScaleCrop>false</ScaleCrop>
  <LinksUpToDate>false</LinksUpToDate>
  <CharactersWithSpaces>2530</CharactersWithSpaces>
  <Application>WPS Office_11.8.2.11625_F1E327BC-269C-435d-A152-05C5408002CA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2025-06-15T17:22:00Z</dcterms:created>
  <dc:creator>Administrator</dc:creator>
  <cp:lastModifiedBy>greatwall</cp:lastModifiedBy>
  <cp:lastPrinted>2025-06-18T18:45:00Z</cp:lastPrinted>
  <dcterms:modified xsi:type="dcterms:W3CDTF">2025-06-25T10:41:42Z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2052-11.8.2.11625</vt:lpwstr>
  </property>
  <property fmtid="{D5CDD505-2E9C-101B-9397-08002B2CF9AE}" pid="3" name="KSOTemplateDocerSaveRecord">
    <vt:lpwstr>eyJoZGlkIjoiYzM0YmM5OWVlODAzYTNmNDI4MTU2ZThkNzkyMDg2YmUiLCJ1c2VySWQiOiIxOTU3ODM2OTAifQ==</vt:lpwstr>
  </property>
  <property fmtid="{D5CDD505-2E9C-101B-9397-08002B2CF9AE}" pid="4" name="ICV">
    <vt:lpwstr>DAB5E93B9B644552AF2FF8E4157B5B5F_12</vt:lpwstr>
  </property>
</Properties>
</file>