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E27E6A">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bookmarkStart w:id="0" w:name="_GoBack"/>
      <w:bookmarkEnd w:id="0"/>
    </w:p>
    <w:p w14:paraId="21D700A8">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rPr>
      </w:pPr>
    </w:p>
    <w:p w14:paraId="7BDD970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方正小标宋简体"/>
          <w:color w:val="auto"/>
          <w:kern w:val="2"/>
          <w:sz w:val="44"/>
          <w:szCs w:val="44"/>
          <w:highlight w:val="none"/>
          <w:u w:val="none"/>
          <w:shd w:val="clear" w:color="auto" w:fill="auto"/>
          <w:lang w:eastAsia="zh-CN" w:bidi="ar-SA"/>
        </w:rPr>
      </w:pPr>
      <w:r>
        <w:rPr>
          <w:rFonts w:hint="eastAsia" w:ascii="方正小标宋_GBK" w:hAnsi="方正小标宋_GBK" w:eastAsia="方正小标宋_GBK" w:cs="方正小标宋_GBK"/>
          <w:color w:val="000000"/>
          <w:sz w:val="44"/>
          <w:szCs w:val="44"/>
          <w:shd w:val="clear" w:color="auto" w:fill="FFFFFF"/>
          <w:lang w:val="en-US" w:eastAsia="zh-CN"/>
        </w:rPr>
        <w:t xml:space="preserve"> </w:t>
      </w:r>
      <w:r>
        <w:rPr>
          <w:rFonts w:hint="eastAsia" w:ascii="Times New Roman" w:hAnsi="Times New Roman" w:eastAsia="方正小标宋简体" w:cs="方正小标宋简体"/>
          <w:color w:val="auto"/>
          <w:kern w:val="2"/>
          <w:sz w:val="44"/>
          <w:szCs w:val="44"/>
          <w:highlight w:val="none"/>
          <w:u w:val="none"/>
          <w:shd w:val="clear" w:color="auto" w:fill="auto"/>
          <w:lang w:val="zh-TW" w:eastAsia="zh-CN" w:bidi="ar-SA"/>
        </w:rPr>
        <w:t xml:space="preserve">洛阳市民政局 </w:t>
      </w:r>
      <w:r>
        <w:rPr>
          <w:rFonts w:hint="eastAsia" w:ascii="Times New Roman" w:hAnsi="Times New Roman" w:eastAsia="方正小标宋简体" w:cs="方正小标宋简体"/>
          <w:color w:val="auto"/>
          <w:kern w:val="2"/>
          <w:sz w:val="44"/>
          <w:szCs w:val="44"/>
          <w:highlight w:val="none"/>
          <w:u w:val="none"/>
          <w:shd w:val="clear" w:color="auto" w:fill="auto"/>
          <w:lang w:val="en" w:eastAsia="zh-CN" w:bidi="ar-SA"/>
        </w:rPr>
        <w:t>洛阳市</w:t>
      </w:r>
      <w:r>
        <w:rPr>
          <w:rFonts w:hint="default" w:ascii="Times New Roman" w:hAnsi="Times New Roman" w:eastAsia="方正小标宋简体" w:cs="方正小标宋简体"/>
          <w:color w:val="auto"/>
          <w:kern w:val="2"/>
          <w:sz w:val="44"/>
          <w:szCs w:val="44"/>
          <w:highlight w:val="none"/>
          <w:u w:val="none"/>
          <w:shd w:val="clear" w:color="auto" w:fill="auto"/>
          <w:lang w:eastAsia="zh-CN" w:bidi="ar-SA"/>
        </w:rPr>
        <w:t>财政局</w:t>
      </w:r>
    </w:p>
    <w:p w14:paraId="693A0C9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关于印发《洛阳市节地生态安葬奖励办法</w:t>
      </w:r>
    </w:p>
    <w:p w14:paraId="364E270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color w:val="auto"/>
          <w:kern w:val="2"/>
          <w:sz w:val="44"/>
          <w:szCs w:val="44"/>
          <w:highlight w:val="none"/>
          <w:u w:val="none"/>
          <w:shd w:val="clear" w:color="auto" w:fill="auto"/>
          <w:lang w:val="en" w:eastAsia="zh-CN" w:bidi="ar-SA"/>
        </w:rPr>
      </w:pPr>
      <w:r>
        <w:rPr>
          <w:rFonts w:hint="eastAsia" w:ascii="方正小标宋简体" w:hAnsi="方正小标宋简体" w:eastAsia="方正小标宋简体" w:cs="方正小标宋简体"/>
          <w:sz w:val="44"/>
          <w:szCs w:val="44"/>
          <w:lang w:val="en-US" w:eastAsia="zh-CN"/>
        </w:rPr>
        <w:t>（试行）》</w:t>
      </w:r>
      <w:r>
        <w:rPr>
          <w:rFonts w:hint="eastAsia" w:ascii="方正小标宋简体" w:hAnsi="方正小标宋简体" w:eastAsia="方正小标宋简体" w:cs="方正小标宋简体"/>
          <w:sz w:val="44"/>
          <w:szCs w:val="44"/>
          <w:lang w:eastAsia="zh-CN"/>
        </w:rPr>
        <w:t>的通知</w:t>
      </w:r>
    </w:p>
    <w:p w14:paraId="4F23F701">
      <w:pPr>
        <w:pStyle w:val="7"/>
        <w:keepNext w:val="0"/>
        <w:keepLines w:val="0"/>
        <w:pageBreakBefore w:val="0"/>
        <w:widowControl w:val="0"/>
        <w:shd w:val="clear" w:color="auto" w:fill="FFFFFF"/>
        <w:kinsoku/>
        <w:wordWrap/>
        <w:overflowPunct/>
        <w:topLinePunct w:val="0"/>
        <w:autoSpaceDE/>
        <w:autoSpaceDN/>
        <w:bidi w:val="0"/>
        <w:spacing w:before="0" w:beforeAutospacing="0" w:after="0" w:afterAutospacing="0" w:line="600" w:lineRule="exact"/>
        <w:jc w:val="center"/>
        <w:textAlignment w:val="auto"/>
        <w:rPr>
          <w:rFonts w:hint="eastAsia" w:ascii="方正小标宋_GBK" w:hAnsi="方正小标宋_GBK" w:eastAsia="方正小标宋_GBK" w:cs="方正小标宋_GBK"/>
          <w:color w:val="000000"/>
          <w:sz w:val="44"/>
          <w:szCs w:val="44"/>
          <w:shd w:val="clear" w:color="auto" w:fill="FFFFFF"/>
          <w:lang w:val="en-US" w:eastAsia="zh-CN"/>
        </w:rPr>
      </w:pPr>
    </w:p>
    <w:p w14:paraId="7E2E121A">
      <w:pPr>
        <w:keepNext w:val="0"/>
        <w:keepLines w:val="0"/>
        <w:pageBreakBefore w:val="0"/>
        <w:widowControl w:val="0"/>
        <w:kinsoku/>
        <w:wordWrap/>
        <w:overflowPunct/>
        <w:topLinePunct w:val="0"/>
        <w:autoSpaceDE/>
        <w:autoSpaceDN/>
        <w:bidi w:val="0"/>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洛民通〔202</w:t>
      </w:r>
      <w:r>
        <w:rPr>
          <w:rFonts w:hint="default"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号</w:t>
      </w:r>
    </w:p>
    <w:p w14:paraId="091772E5">
      <w:pPr>
        <w:keepNext w:val="0"/>
        <w:keepLines w:val="0"/>
        <w:pageBreakBefore w:val="0"/>
        <w:widowControl w:val="0"/>
        <w:kinsoku/>
        <w:wordWrap/>
        <w:overflowPunct/>
        <w:topLinePunct w:val="0"/>
        <w:autoSpaceDE/>
        <w:autoSpaceDN/>
        <w:bidi w:val="0"/>
        <w:spacing w:line="600" w:lineRule="exact"/>
        <w:textAlignment w:val="auto"/>
        <w:rPr>
          <w:rFonts w:hint="eastAsia" w:ascii="仿宋" w:hAnsi="仿宋" w:eastAsia="仿宋"/>
          <w:sz w:val="32"/>
          <w:szCs w:val="32"/>
          <w:lang w:eastAsia="zh-CN"/>
        </w:rPr>
      </w:pPr>
    </w:p>
    <w:p w14:paraId="7EF96F6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各县区民政局、财政局，洛阳市城乡一体化示范区民政局、财政金融局，市民政社会事务服务中心，洛阳殡仪馆：</w:t>
      </w:r>
    </w:p>
    <w:p w14:paraId="093EF84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现将《洛阳市节地生态安葬奖励办法（试行）》印发你们，请按照通知要求抓好落实。</w:t>
      </w:r>
    </w:p>
    <w:p w14:paraId="30A78A0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p>
    <w:p w14:paraId="0FEC014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t>洛阳市民政局</w:t>
      </w:r>
      <w:r>
        <w:rPr>
          <w:rFonts w:hint="default" w:ascii="Times New Roman" w:hAnsi="Times New Roman" w:cs="仿宋_GB2312"/>
          <w:spacing w:val="45"/>
          <w:sz w:val="32"/>
          <w:szCs w:val="32"/>
          <w:lang w:eastAsia="zh-CN"/>
        </w:rPr>
        <w:t xml:space="preserve"> </w:t>
      </w:r>
      <w:r>
        <w:rPr>
          <w:rFonts w:hint="default" w:ascii="Times New Roman" w:hAnsi="Times New Roman" w:eastAsia="仿宋_GB2312" w:cs="仿宋_GB2312"/>
          <w:color w:val="auto"/>
          <w:sz w:val="32"/>
          <w:szCs w:val="32"/>
          <w:lang w:val="en-US" w:eastAsia="zh-CN"/>
        </w:rPr>
        <w:t xml:space="preserve">        </w:t>
      </w:r>
      <w:r>
        <w:rPr>
          <w:rFonts w:hint="eastAsia" w:ascii="Times New Roman" w:hAnsi="Times New Roman" w:eastAsia="仿宋_GB2312" w:cs="仿宋_GB2312"/>
          <w:color w:val="auto"/>
          <w:sz w:val="32"/>
          <w:szCs w:val="32"/>
          <w:lang w:val="en-US" w:eastAsia="zh-CN"/>
        </w:rPr>
        <w:t xml:space="preserve">          </w:t>
      </w:r>
      <w:r>
        <w:rPr>
          <w:rFonts w:hint="default" w:ascii="Times New Roman" w:hAnsi="Times New Roman" w:eastAsia="仿宋_GB2312" w:cs="仿宋_GB2312"/>
          <w:color w:val="auto"/>
          <w:sz w:val="32"/>
          <w:szCs w:val="32"/>
          <w:lang w:val="en-US" w:eastAsia="zh-CN"/>
        </w:rPr>
        <w:t>洛阳市财政局</w:t>
      </w:r>
    </w:p>
    <w:p w14:paraId="3878B44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 xml:space="preserve">                                 </w:t>
      </w:r>
      <w:r>
        <w:rPr>
          <w:rFonts w:hint="default" w:ascii="Times New Roman" w:hAnsi="Times New Roman" w:cs="仿宋_GB2312"/>
          <w:sz w:val="32"/>
          <w:szCs w:val="32"/>
          <w:lang w:eastAsia="zh-CN"/>
        </w:rPr>
        <w:t xml:space="preserve"> </w:t>
      </w:r>
      <w:r>
        <w:rPr>
          <w:rFonts w:hint="eastAsia" w:ascii="Times New Roman" w:hAnsi="Times New Roman" w:eastAsia="仿宋_GB2312" w:cs="仿宋_GB2312"/>
          <w:sz w:val="32"/>
          <w:szCs w:val="32"/>
          <w:lang w:val="en-US" w:eastAsia="zh-CN"/>
        </w:rPr>
        <w:t>202</w:t>
      </w:r>
      <w:r>
        <w:rPr>
          <w:rFonts w:hint="default" w:ascii="Times New Roman" w:hAnsi="Times New Roman" w:cs="仿宋_GB2312"/>
          <w:sz w:val="32"/>
          <w:szCs w:val="32"/>
          <w:lang w:eastAsia="zh-CN"/>
        </w:rPr>
        <w:t>5</w:t>
      </w:r>
      <w:r>
        <w:rPr>
          <w:rFonts w:hint="eastAsia" w:ascii="Times New Roman" w:hAnsi="Times New Roman" w:eastAsia="仿宋_GB2312" w:cs="仿宋_GB2312"/>
          <w:sz w:val="32"/>
          <w:szCs w:val="32"/>
          <w:lang w:val="en-US" w:eastAsia="zh-CN"/>
        </w:rPr>
        <w:t>年</w:t>
      </w:r>
      <w:r>
        <w:rPr>
          <w:rFonts w:hint="eastAsia" w:ascii="Times New Roman" w:hAnsi="Times New Roman" w:cs="仿宋_GB2312"/>
          <w:sz w:val="32"/>
          <w:szCs w:val="32"/>
          <w:lang w:val="en-US" w:eastAsia="zh-CN"/>
        </w:rPr>
        <w:t>4</w:t>
      </w:r>
      <w:r>
        <w:rPr>
          <w:rFonts w:hint="eastAsia" w:ascii="Times New Roman" w:hAnsi="Times New Roman" w:eastAsia="仿宋_GB2312" w:cs="仿宋_GB2312"/>
          <w:sz w:val="32"/>
          <w:szCs w:val="32"/>
          <w:lang w:val="en-US" w:eastAsia="zh-CN"/>
        </w:rPr>
        <w:t>月</w:t>
      </w:r>
      <w:r>
        <w:rPr>
          <w:rFonts w:hint="eastAsia" w:ascii="Times New Roman" w:hAnsi="Times New Roman" w:cs="仿宋_GB2312"/>
          <w:sz w:val="32"/>
          <w:szCs w:val="32"/>
          <w:lang w:val="en-US" w:eastAsia="zh-CN"/>
        </w:rPr>
        <w:t>15</w:t>
      </w:r>
      <w:r>
        <w:rPr>
          <w:rFonts w:hint="eastAsia" w:ascii="Times New Roman" w:hAnsi="Times New Roman" w:eastAsia="仿宋_GB2312" w:cs="仿宋_GB2312"/>
          <w:sz w:val="32"/>
          <w:szCs w:val="32"/>
          <w:lang w:val="en-US" w:eastAsia="zh-CN"/>
        </w:rPr>
        <w:t>日</w:t>
      </w:r>
    </w:p>
    <w:p w14:paraId="1FEE8186">
      <w:pPr>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br w:type="page"/>
      </w:r>
    </w:p>
    <w:p w14:paraId="46D34BE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lang w:val="en-US" w:eastAsia="zh-CN"/>
        </w:rPr>
      </w:pPr>
    </w:p>
    <w:p w14:paraId="35F8610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洛阳市节地生态安葬奖励办法（试行）</w:t>
      </w:r>
    </w:p>
    <w:p w14:paraId="21FA3342">
      <w:pPr>
        <w:keepNext w:val="0"/>
        <w:keepLines w:val="0"/>
        <w:pageBreakBefore w:val="0"/>
        <w:widowControl w:val="0"/>
        <w:kinsoku/>
        <w:wordWrap/>
        <w:overflowPunct/>
        <w:topLinePunct/>
        <w:autoSpaceDE/>
        <w:autoSpaceDN/>
        <w:bidi w:val="0"/>
        <w:adjustRightInd/>
        <w:snapToGrid/>
        <w:spacing w:line="600" w:lineRule="exact"/>
        <w:jc w:val="center"/>
        <w:textAlignment w:val="auto"/>
        <w:outlineLvl w:val="0"/>
        <w:rPr>
          <w:rFonts w:hint="eastAsia" w:ascii="Times New Roman" w:hAnsi="Times New Roman" w:eastAsia="方正小标宋简体" w:cs="方正小标宋简体"/>
          <w:color w:val="auto"/>
          <w:sz w:val="44"/>
          <w:szCs w:val="44"/>
          <w:lang w:eastAsia="zh-CN"/>
        </w:rPr>
      </w:pPr>
    </w:p>
    <w:p w14:paraId="7DD40DF0">
      <w:pPr>
        <w:keepNext w:val="0"/>
        <w:keepLines w:val="0"/>
        <w:pageBreakBefore w:val="0"/>
        <w:widowControl w:val="0"/>
        <w:kinsoku/>
        <w:wordWrap/>
        <w:overflowPunct/>
        <w:topLinePunct/>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color w:val="auto"/>
          <w:sz w:val="32"/>
          <w:szCs w:val="32"/>
          <w:lang w:eastAsia="zh-CN"/>
        </w:rPr>
      </w:pPr>
    </w:p>
    <w:p w14:paraId="70079E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olor w:val="auto"/>
          <w:kern w:val="2"/>
          <w:sz w:val="32"/>
          <w:szCs w:val="32"/>
          <w:lang w:val="en-US" w:eastAsia="zh-CN" w:bidi="ar-SA"/>
        </w:rPr>
      </w:pPr>
      <w:r>
        <w:rPr>
          <w:rFonts w:hint="eastAsia" w:ascii="Times New Roman" w:hAnsi="Times New Roman" w:eastAsia="仿宋_GB2312" w:cs="仿宋_GB2312"/>
          <w:color w:val="auto"/>
          <w:kern w:val="2"/>
          <w:sz w:val="32"/>
          <w:szCs w:val="32"/>
          <w:lang w:val="en-US" w:eastAsia="zh-CN" w:bidi="ar-SA"/>
        </w:rPr>
        <w:t>根据民政部9部委《关于推行节地生态安葬的指导意见》（民发〔2016〕21号）、《中共洛阳市委办公室 洛阳市人民政府办公室关于印发〈洛阳市推进移风易俗倡树文明殡葬新风实施方案〉的通知》（洛办〔2020〕10号）等文件精神，加快殡葬改革，推行节地生态安葬，节约土地资源，推动我市殡葬改革事业发展，制定本办法。</w:t>
      </w:r>
    </w:p>
    <w:p w14:paraId="1451BAD0">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i w:val="0"/>
          <w:iCs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auto"/>
          <w:spacing w:val="0"/>
          <w:kern w:val="0"/>
          <w:sz w:val="32"/>
          <w:szCs w:val="32"/>
          <w:shd w:val="clear" w:color="auto" w:fill="FFFFFF"/>
          <w:lang w:val="en-US" w:eastAsia="zh-CN" w:bidi="ar"/>
        </w:rPr>
        <w:t>一、指导思想</w:t>
      </w:r>
    </w:p>
    <w:p w14:paraId="503C05CF">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olor w:val="auto"/>
          <w:kern w:val="2"/>
          <w:sz w:val="32"/>
          <w:szCs w:val="32"/>
          <w:lang w:val="en-US" w:eastAsia="zh-CN" w:bidi="ar-SA"/>
        </w:rPr>
      </w:pPr>
      <w:r>
        <w:rPr>
          <w:rFonts w:hint="default" w:ascii="Times New Roman" w:hAnsi="Times New Roman" w:eastAsia="仿宋_GB2312" w:cs="仿宋_GB2312"/>
          <w:color w:val="auto"/>
          <w:kern w:val="2"/>
          <w:sz w:val="32"/>
          <w:szCs w:val="32"/>
          <w:lang w:val="en-US" w:eastAsia="zh-CN" w:bidi="ar-SA"/>
        </w:rPr>
        <w:t>以习近平新时代中国特色社会主义思想为指导，深入学习贯彻党的二十大和二十届二中、三中全会精神，以实施惠民殡葬为出发点，以推动绿色殡葬为目标，以加大宣传、政策激励为保障，引导全市居民树立殡葬新理念，积极参与骨灰树葬、花葬、草坪葬等</w:t>
      </w:r>
      <w:r>
        <w:rPr>
          <w:rFonts w:hint="eastAsia" w:ascii="Times New Roman" w:hAnsi="Times New Roman" w:eastAsia="仿宋_GB2312" w:cs="仿宋_GB2312"/>
          <w:color w:val="auto"/>
          <w:kern w:val="2"/>
          <w:sz w:val="32"/>
          <w:szCs w:val="32"/>
          <w:lang w:val="en-US" w:eastAsia="zh-CN" w:bidi="ar-SA"/>
        </w:rPr>
        <w:t>生态安葬</w:t>
      </w:r>
      <w:r>
        <w:rPr>
          <w:rFonts w:hint="default" w:ascii="Times New Roman" w:hAnsi="Times New Roman" w:eastAsia="仿宋_GB2312" w:cs="仿宋_GB2312"/>
          <w:color w:val="auto"/>
          <w:kern w:val="2"/>
          <w:sz w:val="32"/>
          <w:szCs w:val="32"/>
          <w:lang w:val="en-US" w:eastAsia="zh-CN" w:bidi="ar-SA"/>
        </w:rPr>
        <w:t>活动</w:t>
      </w:r>
      <w:r>
        <w:rPr>
          <w:rFonts w:hint="eastAsia" w:ascii="Times New Roman" w:hAnsi="Times New Roman" w:eastAsia="仿宋_GB2312" w:cs="仿宋_GB2312"/>
          <w:color w:val="auto"/>
          <w:kern w:val="2"/>
          <w:sz w:val="32"/>
          <w:szCs w:val="32"/>
          <w:lang w:val="en-US" w:eastAsia="zh-CN" w:bidi="ar-SA"/>
        </w:rPr>
        <w:t>，使节约生态、移风易俗成为殡葬活动新风尚，推动全市绿色生态安葬方式广泛深入开展</w:t>
      </w:r>
      <w:r>
        <w:rPr>
          <w:rFonts w:hint="default" w:ascii="Times New Roman" w:hAnsi="Times New Roman" w:eastAsia="仿宋_GB2312" w:cs="仿宋_GB2312"/>
          <w:color w:val="auto"/>
          <w:kern w:val="2"/>
          <w:sz w:val="32"/>
          <w:szCs w:val="32"/>
          <w:lang w:val="en-US" w:eastAsia="zh-CN" w:bidi="ar-SA"/>
        </w:rPr>
        <w:t>。</w:t>
      </w:r>
    </w:p>
    <w:p w14:paraId="301E2EE7">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i w:val="0"/>
          <w:iCs w:val="0"/>
          <w:caps w:val="0"/>
          <w:color w:val="auto"/>
          <w:spacing w:val="0"/>
          <w:sz w:val="32"/>
          <w:szCs w:val="32"/>
          <w:shd w:val="clear" w:color="auto" w:fill="FFFFFF"/>
        </w:rPr>
      </w:pPr>
      <w:r>
        <w:rPr>
          <w:rFonts w:hint="eastAsia" w:ascii="黑体" w:hAnsi="黑体" w:eastAsia="黑体" w:cs="黑体"/>
          <w:b w:val="0"/>
          <w:bCs w:val="0"/>
          <w:i w:val="0"/>
          <w:iCs w:val="0"/>
          <w:caps w:val="0"/>
          <w:color w:val="auto"/>
          <w:spacing w:val="0"/>
          <w:kern w:val="0"/>
          <w:sz w:val="32"/>
          <w:szCs w:val="32"/>
          <w:shd w:val="clear" w:color="auto" w:fill="FFFFFF"/>
          <w:lang w:val="en-US" w:eastAsia="zh-CN" w:bidi="ar"/>
        </w:rPr>
        <w:t>二、生态安葬方式</w:t>
      </w:r>
    </w:p>
    <w:p w14:paraId="715B05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i w:val="0"/>
          <w:iCs w:val="0"/>
          <w:caps w:val="0"/>
          <w:color w:val="auto"/>
          <w:spacing w:val="0"/>
          <w:sz w:val="32"/>
          <w:szCs w:val="32"/>
          <w:shd w:val="clear" w:color="auto" w:fill="FFFFFF"/>
        </w:rPr>
      </w:pPr>
      <w:r>
        <w:rPr>
          <w:rFonts w:hint="eastAsia" w:ascii="Times New Roman" w:hAnsi="Times New Roman" w:eastAsia="仿宋_GB2312" w:cs="仿宋_GB2312"/>
          <w:i w:val="0"/>
          <w:iCs w:val="0"/>
          <w:caps w:val="0"/>
          <w:color w:val="auto"/>
          <w:spacing w:val="0"/>
          <w:sz w:val="32"/>
          <w:szCs w:val="32"/>
          <w:shd w:val="clear" w:color="auto" w:fill="FFFFFF"/>
          <w:lang w:val="en-US" w:eastAsia="zh-CN"/>
        </w:rPr>
        <w:t>本</w:t>
      </w:r>
      <w:r>
        <w:rPr>
          <w:rFonts w:hint="eastAsia" w:ascii="Times New Roman" w:hAnsi="Times New Roman" w:cs="仿宋_GB2312"/>
          <w:i w:val="0"/>
          <w:iCs w:val="0"/>
          <w:caps w:val="0"/>
          <w:color w:val="auto"/>
          <w:spacing w:val="0"/>
          <w:sz w:val="32"/>
          <w:szCs w:val="32"/>
          <w:shd w:val="clear" w:color="auto" w:fill="FFFFFF"/>
          <w:lang w:val="en-US" w:eastAsia="zh-CN"/>
        </w:rPr>
        <w:t>办法</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所</w:t>
      </w:r>
      <w:r>
        <w:rPr>
          <w:rFonts w:hint="eastAsia" w:ascii="Times New Roman" w:hAnsi="Times New Roman" w:cs="仿宋_GB2312"/>
          <w:i w:val="0"/>
          <w:iCs w:val="0"/>
          <w:caps w:val="0"/>
          <w:color w:val="auto"/>
          <w:spacing w:val="0"/>
          <w:sz w:val="32"/>
          <w:szCs w:val="32"/>
          <w:shd w:val="clear" w:color="auto" w:fill="FFFFFF"/>
          <w:lang w:val="en-US" w:eastAsia="zh-CN"/>
        </w:rPr>
        <w:t>奖励</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的</w:t>
      </w:r>
      <w:r>
        <w:rPr>
          <w:rFonts w:hint="eastAsia" w:ascii="Times New Roman" w:hAnsi="Times New Roman" w:eastAsia="仿宋_GB2312" w:cs="仿宋_GB2312"/>
          <w:i w:val="0"/>
          <w:iCs w:val="0"/>
          <w:caps w:val="0"/>
          <w:color w:val="auto"/>
          <w:spacing w:val="0"/>
          <w:sz w:val="32"/>
          <w:szCs w:val="32"/>
          <w:shd w:val="clear" w:color="auto" w:fill="FFFFFF"/>
        </w:rPr>
        <w:t>节地生态安葬是指骨灰树葬、花葬、草坪葬，不留标志、不单独留名、不保留骨灰的生态葬式。</w:t>
      </w:r>
    </w:p>
    <w:p w14:paraId="1BF8A395">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auto"/>
          <w:spacing w:val="0"/>
          <w:kern w:val="0"/>
          <w:sz w:val="32"/>
          <w:szCs w:val="32"/>
          <w:shd w:val="clear" w:color="auto" w:fill="FFFFFF"/>
          <w:lang w:val="en-US" w:eastAsia="zh-CN" w:bidi="ar"/>
        </w:rPr>
        <w:t>三、奖励范围及经费来源</w:t>
      </w:r>
    </w:p>
    <w:p w14:paraId="39BA866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i w:val="0"/>
          <w:iCs w:val="0"/>
          <w:caps w:val="0"/>
          <w:color w:val="auto"/>
          <w:spacing w:val="0"/>
          <w:sz w:val="32"/>
          <w:szCs w:val="32"/>
          <w:shd w:val="clear" w:color="auto" w:fill="FFFFFF"/>
          <w:lang w:eastAsia="zh-CN"/>
        </w:rPr>
      </w:pPr>
      <w:r>
        <w:rPr>
          <w:rFonts w:hint="eastAsia" w:ascii="Times New Roman" w:hAnsi="Times New Roman" w:eastAsia="仿宋_GB2312" w:cs="仿宋_GB2312"/>
          <w:i w:val="0"/>
          <w:iCs w:val="0"/>
          <w:caps w:val="0"/>
          <w:color w:val="auto"/>
          <w:spacing w:val="0"/>
          <w:sz w:val="32"/>
          <w:szCs w:val="32"/>
          <w:shd w:val="clear" w:color="auto" w:fill="FFFFFF"/>
          <w:lang w:eastAsia="zh-CN"/>
        </w:rPr>
        <w:t>在市民政部门</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确定</w:t>
      </w:r>
      <w:r>
        <w:rPr>
          <w:rFonts w:hint="eastAsia" w:ascii="Times New Roman" w:hAnsi="Times New Roman" w:eastAsia="仿宋_GB2312" w:cs="仿宋_GB2312"/>
          <w:i w:val="0"/>
          <w:iCs w:val="0"/>
          <w:caps w:val="0"/>
          <w:color w:val="auto"/>
          <w:spacing w:val="0"/>
          <w:sz w:val="32"/>
          <w:szCs w:val="32"/>
          <w:shd w:val="clear" w:color="auto" w:fill="FFFFFF"/>
          <w:lang w:eastAsia="zh-CN"/>
        </w:rPr>
        <w:t>的</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节地生态安葬定点</w:t>
      </w:r>
      <w:r>
        <w:rPr>
          <w:rFonts w:hint="eastAsia" w:ascii="Times New Roman" w:hAnsi="Times New Roman" w:eastAsia="仿宋_GB2312" w:cs="仿宋_GB2312"/>
          <w:i w:val="0"/>
          <w:iCs w:val="0"/>
          <w:caps w:val="0"/>
          <w:color w:val="auto"/>
          <w:spacing w:val="0"/>
          <w:sz w:val="32"/>
          <w:szCs w:val="32"/>
          <w:shd w:val="clear" w:color="auto" w:fill="FFFFFF"/>
          <w:lang w:eastAsia="zh-CN"/>
        </w:rPr>
        <w:t>公墓（</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下称定点公墓</w:t>
      </w:r>
      <w:r>
        <w:rPr>
          <w:rFonts w:hint="eastAsia" w:ascii="Times New Roman" w:hAnsi="Times New Roman" w:eastAsia="仿宋_GB2312" w:cs="仿宋_GB2312"/>
          <w:i w:val="0"/>
          <w:iCs w:val="0"/>
          <w:caps w:val="0"/>
          <w:color w:val="auto"/>
          <w:spacing w:val="0"/>
          <w:sz w:val="32"/>
          <w:szCs w:val="32"/>
          <w:shd w:val="clear" w:color="auto" w:fill="FFFFFF"/>
          <w:lang w:eastAsia="zh-CN"/>
        </w:rPr>
        <w:t>）采取</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生态安葬</w:t>
      </w:r>
      <w:r>
        <w:rPr>
          <w:rFonts w:hint="eastAsia" w:ascii="Times New Roman" w:hAnsi="Times New Roman" w:eastAsia="仿宋_GB2312" w:cs="仿宋_GB2312"/>
          <w:i w:val="0"/>
          <w:iCs w:val="0"/>
          <w:caps w:val="0"/>
          <w:color w:val="auto"/>
          <w:spacing w:val="0"/>
          <w:sz w:val="32"/>
          <w:szCs w:val="32"/>
          <w:shd w:val="clear" w:color="auto" w:fill="FFFFFF"/>
          <w:lang w:eastAsia="zh-CN"/>
        </w:rPr>
        <w:t>的方式，符合下列条件之一的，每具骨灰补助</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丧属</w:t>
      </w:r>
      <w:r>
        <w:rPr>
          <w:rFonts w:hint="eastAsia" w:ascii="Times New Roman" w:hAnsi="Times New Roman" w:eastAsia="仿宋_GB2312" w:cs="仿宋_GB2312"/>
          <w:i w:val="0"/>
          <w:iCs w:val="0"/>
          <w:caps w:val="0"/>
          <w:color w:val="auto"/>
          <w:spacing w:val="0"/>
          <w:sz w:val="32"/>
          <w:szCs w:val="32"/>
          <w:shd w:val="clear" w:color="auto" w:fill="FFFFFF"/>
          <w:lang w:eastAsia="zh-CN"/>
        </w:rPr>
        <w:t>1000元：</w:t>
      </w:r>
    </w:p>
    <w:p w14:paraId="77274D1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i w:val="0"/>
          <w:iCs w:val="0"/>
          <w:caps w:val="0"/>
          <w:color w:val="auto"/>
          <w:spacing w:val="0"/>
          <w:sz w:val="32"/>
          <w:szCs w:val="32"/>
          <w:shd w:val="clear" w:color="auto" w:fill="FFFFFF"/>
          <w:lang w:eastAsia="zh-CN"/>
        </w:rPr>
      </w:pPr>
      <w:r>
        <w:rPr>
          <w:rFonts w:hint="eastAsia" w:ascii="Times New Roman" w:hAnsi="Times New Roman" w:eastAsia="仿宋_GB2312" w:cs="仿宋_GB2312"/>
          <w:i w:val="0"/>
          <w:iCs w:val="0"/>
          <w:caps w:val="0"/>
          <w:color w:val="auto"/>
          <w:spacing w:val="0"/>
          <w:sz w:val="32"/>
          <w:szCs w:val="32"/>
          <w:shd w:val="clear" w:color="auto" w:fill="FFFFFF"/>
          <w:lang w:eastAsia="zh-CN"/>
        </w:rPr>
        <w:t>（</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一</w:t>
      </w:r>
      <w:r>
        <w:rPr>
          <w:rFonts w:hint="eastAsia" w:ascii="Times New Roman" w:hAnsi="Times New Roman" w:eastAsia="仿宋_GB2312" w:cs="仿宋_GB2312"/>
          <w:i w:val="0"/>
          <w:iCs w:val="0"/>
          <w:caps w:val="0"/>
          <w:color w:val="auto"/>
          <w:spacing w:val="0"/>
          <w:sz w:val="32"/>
          <w:szCs w:val="32"/>
          <w:shd w:val="clear" w:color="auto" w:fill="FFFFFF"/>
          <w:lang w:eastAsia="zh-CN"/>
        </w:rPr>
        <w:t>）逝者生前户籍为洛阳市涧西区、西工区、老城区、瀍河区、洛龙区、城乡一体化示范区的城乡居民；</w:t>
      </w:r>
    </w:p>
    <w:p w14:paraId="12510D1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i w:val="0"/>
          <w:iCs w:val="0"/>
          <w:caps w:val="0"/>
          <w:color w:val="auto"/>
          <w:spacing w:val="0"/>
          <w:sz w:val="32"/>
          <w:szCs w:val="32"/>
          <w:shd w:val="clear" w:color="auto" w:fill="FFFFFF"/>
          <w:lang w:eastAsia="zh-CN"/>
        </w:rPr>
      </w:pPr>
      <w:r>
        <w:rPr>
          <w:rFonts w:hint="eastAsia" w:ascii="Times New Roman" w:hAnsi="Times New Roman" w:eastAsia="仿宋_GB2312" w:cs="仿宋_GB2312"/>
          <w:i w:val="0"/>
          <w:iCs w:val="0"/>
          <w:caps w:val="0"/>
          <w:color w:val="auto"/>
          <w:spacing w:val="0"/>
          <w:sz w:val="32"/>
          <w:szCs w:val="32"/>
          <w:shd w:val="clear" w:color="auto" w:fill="FFFFFF"/>
          <w:lang w:eastAsia="zh-CN"/>
        </w:rPr>
        <w:t>（</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二</w:t>
      </w:r>
      <w:r>
        <w:rPr>
          <w:rFonts w:hint="eastAsia" w:ascii="Times New Roman" w:hAnsi="Times New Roman" w:eastAsia="仿宋_GB2312" w:cs="仿宋_GB2312"/>
          <w:i w:val="0"/>
          <w:iCs w:val="0"/>
          <w:caps w:val="0"/>
          <w:color w:val="auto"/>
          <w:spacing w:val="0"/>
          <w:sz w:val="32"/>
          <w:szCs w:val="32"/>
          <w:shd w:val="clear" w:color="auto" w:fill="FFFFFF"/>
          <w:lang w:eastAsia="zh-CN"/>
        </w:rPr>
        <w:t>）逝者生前为在洛阳市区各大、中专院校全日制非洛阳户籍的学生，驻洛现役军人；</w:t>
      </w:r>
    </w:p>
    <w:p w14:paraId="6C2D1DC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i w:val="0"/>
          <w:iCs w:val="0"/>
          <w:caps w:val="0"/>
          <w:color w:val="auto"/>
          <w:spacing w:val="0"/>
          <w:sz w:val="32"/>
          <w:szCs w:val="32"/>
          <w:shd w:val="clear" w:color="auto" w:fill="FFFFFF"/>
          <w:lang w:eastAsia="zh-CN"/>
        </w:rPr>
      </w:pPr>
      <w:r>
        <w:rPr>
          <w:rFonts w:hint="eastAsia" w:ascii="Times New Roman" w:hAnsi="Times New Roman" w:eastAsia="仿宋_GB2312" w:cs="仿宋_GB2312"/>
          <w:i w:val="0"/>
          <w:iCs w:val="0"/>
          <w:caps w:val="0"/>
          <w:color w:val="auto"/>
          <w:spacing w:val="0"/>
          <w:sz w:val="32"/>
          <w:szCs w:val="32"/>
          <w:shd w:val="clear" w:color="auto" w:fill="FFFFFF"/>
          <w:lang w:eastAsia="zh-CN"/>
        </w:rPr>
        <w:t>（</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三</w:t>
      </w:r>
      <w:r>
        <w:rPr>
          <w:rFonts w:hint="eastAsia" w:ascii="Times New Roman" w:hAnsi="Times New Roman" w:eastAsia="仿宋_GB2312" w:cs="仿宋_GB2312"/>
          <w:i w:val="0"/>
          <w:iCs w:val="0"/>
          <w:caps w:val="0"/>
          <w:color w:val="auto"/>
          <w:spacing w:val="0"/>
          <w:sz w:val="32"/>
          <w:szCs w:val="32"/>
          <w:shd w:val="clear" w:color="auto" w:fill="FFFFFF"/>
          <w:lang w:eastAsia="zh-CN"/>
        </w:rPr>
        <w:t>）逝者生前</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为</w:t>
      </w:r>
      <w:r>
        <w:rPr>
          <w:rFonts w:hint="eastAsia" w:ascii="Times New Roman" w:hAnsi="Times New Roman" w:eastAsia="仿宋_GB2312" w:cs="仿宋_GB2312"/>
          <w:i w:val="0"/>
          <w:iCs w:val="0"/>
          <w:caps w:val="0"/>
          <w:color w:val="auto"/>
          <w:spacing w:val="0"/>
          <w:sz w:val="32"/>
          <w:szCs w:val="32"/>
          <w:shd w:val="clear" w:color="auto" w:fill="FFFFFF"/>
          <w:lang w:eastAsia="zh-CN"/>
        </w:rPr>
        <w:t>与在洛</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用工单位</w:t>
      </w:r>
      <w:r>
        <w:rPr>
          <w:rFonts w:hint="eastAsia" w:ascii="Times New Roman" w:hAnsi="Times New Roman" w:eastAsia="仿宋_GB2312" w:cs="仿宋_GB2312"/>
          <w:i w:val="0"/>
          <w:iCs w:val="0"/>
          <w:caps w:val="0"/>
          <w:color w:val="auto"/>
          <w:spacing w:val="0"/>
          <w:sz w:val="32"/>
          <w:szCs w:val="32"/>
          <w:shd w:val="clear" w:color="auto" w:fill="FFFFFF"/>
          <w:lang w:eastAsia="zh-CN"/>
        </w:rPr>
        <w:t>签订劳动合同并按规定缴纳养老保险金1年以上</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且</w:t>
      </w:r>
      <w:r>
        <w:rPr>
          <w:rFonts w:hint="eastAsia" w:ascii="Times New Roman" w:hAnsi="Times New Roman" w:eastAsia="仿宋_GB2312" w:cs="仿宋_GB2312"/>
          <w:i w:val="0"/>
          <w:iCs w:val="0"/>
          <w:caps w:val="0"/>
          <w:color w:val="auto"/>
          <w:spacing w:val="0"/>
          <w:sz w:val="32"/>
          <w:szCs w:val="32"/>
          <w:shd w:val="clear" w:color="auto" w:fill="FFFFFF"/>
          <w:lang w:eastAsia="zh-CN"/>
        </w:rPr>
        <w:t>在洛阳市区居住的</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外来务工</w:t>
      </w:r>
      <w:r>
        <w:rPr>
          <w:rFonts w:hint="eastAsia" w:ascii="Times New Roman" w:hAnsi="Times New Roman" w:eastAsia="仿宋_GB2312" w:cs="仿宋_GB2312"/>
          <w:i w:val="0"/>
          <w:iCs w:val="0"/>
          <w:caps w:val="0"/>
          <w:color w:val="auto"/>
          <w:spacing w:val="0"/>
          <w:sz w:val="32"/>
          <w:szCs w:val="32"/>
          <w:shd w:val="clear" w:color="auto" w:fill="FFFFFF"/>
          <w:lang w:eastAsia="zh-CN"/>
        </w:rPr>
        <w:t>人员。</w:t>
      </w:r>
    </w:p>
    <w:p w14:paraId="195D1A78">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i w:val="0"/>
          <w:iCs w:val="0"/>
          <w:caps w:val="0"/>
          <w:color w:val="auto"/>
          <w:spacing w:val="0"/>
          <w:sz w:val="32"/>
          <w:szCs w:val="32"/>
          <w:shd w:val="clear" w:color="auto" w:fill="FFFFFF"/>
          <w:lang w:val="en-US" w:eastAsia="zh-CN"/>
        </w:rPr>
      </w:pPr>
      <w:r>
        <w:rPr>
          <w:rFonts w:hint="eastAsia" w:ascii="Times New Roman" w:hAnsi="Times New Roman" w:eastAsia="仿宋_GB2312" w:cs="仿宋_GB2312"/>
          <w:i w:val="0"/>
          <w:iCs w:val="0"/>
          <w:caps w:val="0"/>
          <w:color w:val="auto"/>
          <w:spacing w:val="0"/>
          <w:sz w:val="32"/>
          <w:szCs w:val="32"/>
          <w:shd w:val="clear" w:color="auto" w:fill="FFFFFF"/>
          <w:lang w:val="en-US" w:eastAsia="zh-CN"/>
        </w:rPr>
        <w:t>逝者生前不满足上述1-3项条件的人员</w:t>
      </w:r>
      <w:r>
        <w:rPr>
          <w:rFonts w:hint="eastAsia" w:ascii="Times New Roman" w:hAnsi="Times New Roman" w:eastAsia="仿宋_GB2312" w:cs="仿宋_GB2312"/>
          <w:i w:val="0"/>
          <w:iCs w:val="0"/>
          <w:caps w:val="0"/>
          <w:color w:val="auto"/>
          <w:spacing w:val="0"/>
          <w:sz w:val="32"/>
          <w:szCs w:val="32"/>
          <w:highlight w:val="none"/>
          <w:shd w:val="clear" w:color="auto" w:fill="FFFFFF"/>
          <w:lang w:val="en-US" w:eastAsia="zh-CN"/>
        </w:rPr>
        <w:t>及社会福利机构抚养的孤残儿童和集中特困供养对象，不享受节地</w:t>
      </w:r>
      <w:r>
        <w:rPr>
          <w:rFonts w:hint="eastAsia" w:ascii="Times New Roman" w:hAnsi="Times New Roman" w:eastAsia="仿宋_GB2312" w:cs="仿宋_GB2312"/>
          <w:i w:val="0"/>
          <w:iCs w:val="0"/>
          <w:caps w:val="0"/>
          <w:color w:val="auto"/>
          <w:spacing w:val="0"/>
          <w:sz w:val="32"/>
          <w:szCs w:val="32"/>
          <w:shd w:val="clear" w:color="auto" w:fill="FFFFFF"/>
          <w:lang w:val="en-US" w:eastAsia="zh-CN"/>
        </w:rPr>
        <w:t>生态安葬奖励，但可以免费参加由各公墓统一组织的节地生态安葬活动。</w:t>
      </w:r>
    </w:p>
    <w:p w14:paraId="184845CE">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i w:val="0"/>
          <w:iCs w:val="0"/>
          <w:caps w:val="0"/>
          <w:color w:val="auto"/>
          <w:spacing w:val="0"/>
          <w:sz w:val="32"/>
          <w:szCs w:val="32"/>
          <w:shd w:val="clear" w:color="auto" w:fill="FFFFFF"/>
          <w:lang w:val="en-US" w:eastAsia="zh-CN"/>
        </w:rPr>
      </w:pPr>
      <w:r>
        <w:rPr>
          <w:rFonts w:hint="eastAsia" w:ascii="Times New Roman" w:hAnsi="Times New Roman" w:eastAsia="仿宋_GB2312" w:cs="仿宋_GB2312"/>
          <w:i w:val="0"/>
          <w:iCs w:val="0"/>
          <w:caps w:val="0"/>
          <w:color w:val="auto"/>
          <w:spacing w:val="0"/>
          <w:sz w:val="32"/>
          <w:szCs w:val="32"/>
          <w:shd w:val="clear" w:color="auto" w:fill="FFFFFF"/>
          <w:lang w:val="en-US" w:eastAsia="zh-CN"/>
        </w:rPr>
        <w:t>节地生态安葬奖励所需资金由市级承担。</w:t>
      </w:r>
    </w:p>
    <w:p w14:paraId="2D733797">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auto"/>
          <w:spacing w:val="0"/>
          <w:kern w:val="0"/>
          <w:sz w:val="32"/>
          <w:szCs w:val="32"/>
          <w:shd w:val="clear" w:color="auto" w:fill="FFFFFF"/>
          <w:lang w:val="en-US" w:eastAsia="zh-CN" w:bidi="ar"/>
        </w:rPr>
        <w:t>四、办理程序</w:t>
      </w:r>
    </w:p>
    <w:p w14:paraId="44C6C348">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经办人在</w:t>
      </w:r>
      <w:r>
        <w:rPr>
          <w:rFonts w:hint="eastAsia" w:ascii="Times New Roman" w:hAnsi="Times New Roman" w:eastAsia="仿宋_GB2312" w:cs="仿宋_GB2312"/>
          <w:i w:val="0"/>
          <w:iCs w:val="0"/>
          <w:caps w:val="0"/>
          <w:color w:val="auto"/>
          <w:spacing w:val="8"/>
          <w:sz w:val="32"/>
          <w:szCs w:val="32"/>
          <w:shd w:val="clear" w:color="auto" w:fill="FFFFFF"/>
        </w:rPr>
        <w:t>定点</w:t>
      </w:r>
      <w:r>
        <w:rPr>
          <w:rFonts w:hint="eastAsia" w:ascii="Times New Roman" w:hAnsi="Times New Roman" w:eastAsia="仿宋_GB2312" w:cs="仿宋_GB2312"/>
          <w:i w:val="0"/>
          <w:iCs w:val="0"/>
          <w:caps w:val="0"/>
          <w:color w:val="auto"/>
          <w:spacing w:val="8"/>
          <w:sz w:val="32"/>
          <w:szCs w:val="32"/>
          <w:shd w:val="clear" w:color="auto" w:fill="FFFFFF"/>
          <w:lang w:val="en-US" w:eastAsia="zh-CN"/>
        </w:rPr>
        <w:t>公墓</w:t>
      </w:r>
      <w:r>
        <w:rPr>
          <w:rFonts w:hint="eastAsia" w:ascii="Times New Roman" w:hAnsi="Times New Roman" w:eastAsia="仿宋_GB2312" w:cs="仿宋_GB2312"/>
          <w:i w:val="0"/>
          <w:iCs w:val="0"/>
          <w:caps w:val="0"/>
          <w:color w:val="auto"/>
          <w:spacing w:val="8"/>
          <w:sz w:val="32"/>
          <w:szCs w:val="32"/>
          <w:shd w:val="clear" w:color="auto" w:fill="FFFFFF"/>
        </w:rPr>
        <w:t>办理节地生态安葬</w:t>
      </w:r>
      <w:r>
        <w:rPr>
          <w:rFonts w:hint="eastAsia" w:ascii="Times New Roman" w:hAnsi="Times New Roman" w:eastAsia="仿宋_GB2312" w:cs="仿宋_GB2312"/>
          <w:i w:val="0"/>
          <w:iCs w:val="0"/>
          <w:caps w:val="0"/>
          <w:color w:val="auto"/>
          <w:spacing w:val="8"/>
          <w:sz w:val="32"/>
          <w:szCs w:val="32"/>
          <w:shd w:val="clear" w:color="auto" w:fill="FFFFFF"/>
          <w:lang w:val="en-US" w:eastAsia="zh-CN"/>
        </w:rPr>
        <w:t>后</w:t>
      </w:r>
      <w:r>
        <w:rPr>
          <w:rFonts w:hint="eastAsia" w:ascii="Times New Roman" w:hAnsi="Times New Roman" w:eastAsia="仿宋_GB2312" w:cs="仿宋_GB2312"/>
          <w:i w:val="0"/>
          <w:iCs w:val="0"/>
          <w:caps w:val="0"/>
          <w:color w:val="auto"/>
          <w:spacing w:val="8"/>
          <w:sz w:val="32"/>
          <w:szCs w:val="32"/>
          <w:shd w:val="clear" w:color="auto" w:fill="FFFFFF"/>
        </w:rPr>
        <w:t>，</w:t>
      </w:r>
      <w:r>
        <w:rPr>
          <w:rFonts w:hint="eastAsia" w:ascii="Times New Roman" w:hAnsi="Times New Roman" w:eastAsia="仿宋_GB2312" w:cs="仿宋_GB2312"/>
          <w:i w:val="0"/>
          <w:iCs w:val="0"/>
          <w:caps w:val="0"/>
          <w:color w:val="auto"/>
          <w:spacing w:val="8"/>
          <w:sz w:val="32"/>
          <w:szCs w:val="32"/>
          <w:shd w:val="clear" w:color="auto" w:fill="FFFFFF"/>
          <w:lang w:val="en-US" w:eastAsia="zh-CN"/>
        </w:rPr>
        <w:t>向市民政社会事务服务中心提出申请，填写《洛阳市节地生态安葬奖励申请表》，并</w:t>
      </w:r>
      <w:r>
        <w:rPr>
          <w:rFonts w:hint="eastAsia" w:ascii="Times New Roman" w:hAnsi="Times New Roman" w:eastAsia="仿宋_GB2312" w:cs="仿宋_GB2312"/>
          <w:i w:val="0"/>
          <w:iCs w:val="0"/>
          <w:caps w:val="0"/>
          <w:color w:val="auto"/>
          <w:spacing w:val="8"/>
          <w:sz w:val="32"/>
          <w:szCs w:val="32"/>
          <w:shd w:val="clear" w:color="auto" w:fill="FFFFFF"/>
        </w:rPr>
        <w:t>提交</w:t>
      </w:r>
      <w:r>
        <w:rPr>
          <w:rFonts w:hint="eastAsia" w:ascii="Times New Roman" w:hAnsi="Times New Roman" w:eastAsia="仿宋_GB2312" w:cs="仿宋_GB2312"/>
          <w:i w:val="0"/>
          <w:iCs w:val="0"/>
          <w:caps w:val="0"/>
          <w:color w:val="auto"/>
          <w:spacing w:val="8"/>
          <w:sz w:val="32"/>
          <w:szCs w:val="32"/>
          <w:shd w:val="clear" w:color="auto" w:fill="FFFFFF"/>
          <w:lang w:val="en-US" w:eastAsia="zh-CN"/>
        </w:rPr>
        <w:t>以下证明</w:t>
      </w:r>
      <w:r>
        <w:rPr>
          <w:rFonts w:hint="eastAsia" w:ascii="Times New Roman" w:hAnsi="Times New Roman" w:eastAsia="仿宋_GB2312" w:cs="仿宋_GB2312"/>
          <w:i w:val="0"/>
          <w:iCs w:val="0"/>
          <w:caps w:val="0"/>
          <w:color w:val="auto"/>
          <w:spacing w:val="8"/>
          <w:sz w:val="32"/>
          <w:szCs w:val="32"/>
          <w:shd w:val="clear" w:color="auto" w:fill="FFFFFF"/>
        </w:rPr>
        <w:t>材料</w:t>
      </w:r>
      <w:r>
        <w:rPr>
          <w:rFonts w:hint="eastAsia" w:ascii="Times New Roman" w:hAnsi="Times New Roman" w:eastAsia="仿宋_GB2312" w:cs="仿宋_GB2312"/>
          <w:i w:val="0"/>
          <w:iCs w:val="0"/>
          <w:caps w:val="0"/>
          <w:color w:val="auto"/>
          <w:spacing w:val="8"/>
          <w:sz w:val="32"/>
          <w:szCs w:val="32"/>
          <w:shd w:val="clear" w:color="auto" w:fill="FFFFFF"/>
          <w:lang w:eastAsia="zh-CN"/>
        </w:rPr>
        <w:t>：</w:t>
      </w:r>
    </w:p>
    <w:p w14:paraId="425507B0">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（一）逝者身份证、户口本（或</w:t>
      </w:r>
      <w:r>
        <w:rPr>
          <w:rFonts w:hint="eastAsia" w:ascii="Times New Roman" w:hAnsi="Times New Roman" w:eastAsia="仿宋_GB2312" w:cs="仿宋_GB2312"/>
          <w:i w:val="0"/>
          <w:iCs w:val="0"/>
          <w:caps w:val="0"/>
          <w:color w:val="auto"/>
          <w:spacing w:val="0"/>
          <w:sz w:val="32"/>
          <w:szCs w:val="32"/>
          <w:shd w:val="clear" w:color="auto" w:fill="FFFFFF"/>
          <w:lang w:eastAsia="zh-CN"/>
        </w:rPr>
        <w:t>户口注销证明</w:t>
      </w:r>
      <w:r>
        <w:rPr>
          <w:rFonts w:hint="eastAsia" w:ascii="Times New Roman" w:hAnsi="Times New Roman" w:eastAsia="仿宋_GB2312" w:cs="仿宋_GB2312"/>
          <w:i w:val="0"/>
          <w:iCs w:val="0"/>
          <w:caps w:val="0"/>
          <w:color w:val="auto"/>
          <w:spacing w:val="8"/>
          <w:sz w:val="32"/>
          <w:szCs w:val="32"/>
          <w:shd w:val="clear" w:color="auto" w:fill="FFFFFF"/>
          <w:lang w:val="en-US" w:eastAsia="zh-CN"/>
        </w:rPr>
        <w:t>），非户籍居民需另提供相关证明材料；</w:t>
      </w:r>
    </w:p>
    <w:p w14:paraId="5AD0DDC1">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（二）医疗卫生机构或公安部门出具的《居民死亡医学证明（推断）书》；</w:t>
      </w:r>
    </w:p>
    <w:p w14:paraId="7DDB43D6">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（三）殡仪馆出具的《遗体火化证明》；</w:t>
      </w:r>
    </w:p>
    <w:p w14:paraId="2B60BF0E">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（四）安葬（放）合同（协议书）；</w:t>
      </w:r>
    </w:p>
    <w:p w14:paraId="0F1DD5CC">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（五）逝者直系亲属经办人身份证、银行卡。</w:t>
      </w:r>
    </w:p>
    <w:p w14:paraId="748A3A02">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以上材料携带原件备查，提交复印件1份，</w:t>
      </w:r>
      <w:r>
        <w:rPr>
          <w:rFonts w:hint="eastAsia" w:ascii="Times New Roman" w:hAnsi="Times New Roman" w:eastAsia="仿宋_GB2312" w:cs="仿宋_GB2312"/>
          <w:i w:val="0"/>
          <w:iCs w:val="0"/>
          <w:caps w:val="0"/>
          <w:color w:val="auto"/>
          <w:spacing w:val="8"/>
          <w:sz w:val="32"/>
          <w:szCs w:val="32"/>
          <w:shd w:val="clear" w:color="auto" w:fill="FFFFFF"/>
        </w:rPr>
        <w:t>经审核通过后，可以享受</w:t>
      </w:r>
      <w:r>
        <w:rPr>
          <w:rFonts w:hint="eastAsia" w:ascii="Times New Roman" w:hAnsi="Times New Roman" w:eastAsia="仿宋_GB2312" w:cs="仿宋_GB2312"/>
          <w:i w:val="0"/>
          <w:iCs w:val="0"/>
          <w:caps w:val="0"/>
          <w:color w:val="auto"/>
          <w:spacing w:val="8"/>
          <w:sz w:val="32"/>
          <w:szCs w:val="32"/>
          <w:shd w:val="clear" w:color="auto" w:fill="FFFFFF"/>
          <w:lang w:eastAsia="zh-CN"/>
        </w:rPr>
        <w:t>奖励</w:t>
      </w:r>
      <w:r>
        <w:rPr>
          <w:rFonts w:hint="eastAsia" w:ascii="Times New Roman" w:hAnsi="Times New Roman" w:eastAsia="仿宋_GB2312" w:cs="仿宋_GB2312"/>
          <w:i w:val="0"/>
          <w:iCs w:val="0"/>
          <w:caps w:val="0"/>
          <w:color w:val="auto"/>
          <w:spacing w:val="8"/>
          <w:sz w:val="32"/>
          <w:szCs w:val="32"/>
          <w:shd w:val="clear" w:color="auto" w:fill="FFFFFF"/>
        </w:rPr>
        <w:t>资金。</w:t>
      </w:r>
    </w:p>
    <w:p w14:paraId="48B45070">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经办人在办理生态安葬后可将相应材料交由定点公墓代为提交至市民政社会事务服务中心统一申请办理，也可自行提交至市民政社会事务服务中心申请。</w:t>
      </w:r>
    </w:p>
    <w:p w14:paraId="3E26001D">
      <w:pPr>
        <w:pStyle w:val="4"/>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b w:val="0"/>
          <w:bCs w:val="0"/>
          <w:i w:val="0"/>
          <w:iCs w:val="0"/>
          <w:caps w:val="0"/>
          <w:color w:val="auto"/>
          <w:spacing w:val="0"/>
          <w:kern w:val="0"/>
          <w:sz w:val="32"/>
          <w:szCs w:val="32"/>
          <w:shd w:val="clear" w:color="auto" w:fill="FFFFFF"/>
          <w:lang w:val="en-US" w:eastAsia="zh-CN" w:bidi="ar"/>
        </w:rPr>
      </w:pPr>
      <w:r>
        <w:rPr>
          <w:rFonts w:hint="eastAsia" w:ascii="黑体" w:hAnsi="黑体" w:eastAsia="黑体" w:cs="黑体"/>
          <w:b w:val="0"/>
          <w:bCs w:val="0"/>
          <w:i w:val="0"/>
          <w:iCs w:val="0"/>
          <w:caps w:val="0"/>
          <w:color w:val="auto"/>
          <w:spacing w:val="0"/>
          <w:kern w:val="0"/>
          <w:sz w:val="32"/>
          <w:szCs w:val="32"/>
          <w:shd w:val="clear" w:color="auto" w:fill="FFFFFF"/>
          <w:lang w:val="en-US" w:eastAsia="zh-CN" w:bidi="ar"/>
        </w:rPr>
        <w:t>五、相关要求</w:t>
      </w:r>
    </w:p>
    <w:p w14:paraId="711CD7D6">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一）各县区民政部门要加强节地生态安葬的组织领导，督促属地公墓优化设施、提升服务，指导具备节地生态安葬条件的公墓申报定点公墓；加大对节地生态安葬的宣传，引导社会公众自愿接受现代、文明的节地生态安葬理念；定期组织开展节地生态安葬活动，加大节地生态安葬公共服务供给，提高节地生态安葬服务水平。</w:t>
      </w:r>
    </w:p>
    <w:p w14:paraId="3778A966">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二）各县区民政部门要指导属地公墓规范节地生态安葬办理流程，建立完善档案资料。市民政社会事务服务中心要严格审核节地生态安葬补贴申请手续，建立资金发放和档案管理制度，及时将补贴资金打入申请人账户。对虚报冒领补贴的，或发现存在变样留坟、立碑、骨灰再装入棺等违反奖励政策的行为，应当责令个人退还相应费用，并依法追究相关人员的法律责任。</w:t>
      </w:r>
    </w:p>
    <w:p w14:paraId="62DC7FF9">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（三）市民政局要根据公墓运营管理情况定期动态更新节地生态安葬定点公墓名录；</w:t>
      </w:r>
      <w:r>
        <w:rPr>
          <w:rFonts w:hint="eastAsia" w:ascii="Times New Roman" w:hAnsi="Times New Roman" w:eastAsia="仿宋_GB2312" w:cs="仿宋_GB2312"/>
          <w:i w:val="0"/>
          <w:iCs w:val="0"/>
          <w:caps w:val="0"/>
          <w:strike w:val="0"/>
          <w:dstrike w:val="0"/>
          <w:color w:val="auto"/>
          <w:spacing w:val="8"/>
          <w:sz w:val="32"/>
          <w:szCs w:val="32"/>
          <w:highlight w:val="none"/>
          <w:shd w:val="clear" w:color="auto" w:fill="FFFFFF"/>
          <w:lang w:val="en-US" w:eastAsia="zh-CN"/>
        </w:rPr>
        <w:t>建立督查制度，</w:t>
      </w:r>
      <w:r>
        <w:rPr>
          <w:rFonts w:hint="eastAsia" w:ascii="Times New Roman" w:hAnsi="Times New Roman" w:eastAsia="仿宋_GB2312" w:cs="仿宋_GB2312"/>
          <w:i w:val="0"/>
          <w:iCs w:val="0"/>
          <w:caps w:val="0"/>
          <w:color w:val="auto"/>
          <w:spacing w:val="8"/>
          <w:sz w:val="32"/>
          <w:szCs w:val="32"/>
          <w:shd w:val="clear" w:color="auto" w:fill="FFFFFF"/>
          <w:lang w:val="en-US" w:eastAsia="zh-CN"/>
        </w:rPr>
        <w:t>定期监督节地生态安葬补贴资金发放和档案管理情况，及时发现和纠正问题。</w:t>
      </w:r>
    </w:p>
    <w:p w14:paraId="296FFB84">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（四）各县及偃师区、孟津区可参照本办法制定落实节地生态安葬奖励机制，所需资金由同级财政负担。</w:t>
      </w:r>
    </w:p>
    <w:p w14:paraId="46AD9940">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default" w:ascii="Times New Roman" w:hAnsi="Times New Roman" w:eastAsia="仿宋_GB2312" w:cs="仿宋_GB2312"/>
          <w:i w:val="0"/>
          <w:iCs w:val="0"/>
          <w:caps w:val="0"/>
          <w:color w:val="auto"/>
          <w:spacing w:val="8"/>
          <w:sz w:val="32"/>
          <w:szCs w:val="32"/>
          <w:shd w:val="clear" w:color="auto" w:fill="FFFFFF"/>
          <w:lang w:val="en-US" w:eastAsia="zh-CN"/>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（五）本办法自2025年3月1日起实行，有效期二年。期满根据我市殡葬改革状况和经济社会发展情况进行调整。</w:t>
      </w:r>
    </w:p>
    <w:p w14:paraId="15128477">
      <w:pPr>
        <w:pStyle w:val="4"/>
        <w:keepNext w:val="0"/>
        <w:keepLines w:val="0"/>
        <w:pageBreakBefore w:val="0"/>
        <w:widowControl w:val="0"/>
        <w:kinsoku/>
        <w:wordWrap/>
        <w:overflowPunct/>
        <w:topLinePunct w:val="0"/>
        <w:autoSpaceDE/>
        <w:autoSpaceDN/>
        <w:bidi w:val="0"/>
        <w:adjustRightInd/>
        <w:snapToGrid/>
        <w:spacing w:line="600" w:lineRule="exact"/>
        <w:ind w:firstLine="672" w:firstLineChars="200"/>
        <w:textAlignment w:val="auto"/>
        <w:rPr>
          <w:rFonts w:hint="eastAsia" w:ascii="仿宋_GB2312" w:hAnsi="仿宋_GB2312" w:eastAsia="仿宋_GB2312" w:cs="仿宋_GB2312"/>
          <w:i w:val="0"/>
          <w:iCs w:val="0"/>
          <w:caps w:val="0"/>
          <w:color w:val="auto"/>
          <w:spacing w:val="8"/>
          <w:sz w:val="32"/>
          <w:szCs w:val="32"/>
          <w:shd w:val="clear" w:color="auto" w:fill="FFFFFF"/>
          <w:lang w:val="en-US" w:eastAsia="zh-CN"/>
        </w:rPr>
      </w:pPr>
    </w:p>
    <w:p w14:paraId="57458922">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72" w:firstLineChars="200"/>
        <w:jc w:val="both"/>
        <w:textAlignment w:val="auto"/>
        <w:rPr>
          <w:rFonts w:hint="eastAsia" w:ascii="Times New Roman" w:hAnsi="Times New Roman" w:eastAsia="仿宋_GB2312" w:cs="仿宋_GB2312"/>
          <w:i w:val="0"/>
          <w:iCs w:val="0"/>
          <w:caps w:val="0"/>
          <w:color w:val="auto"/>
          <w:spacing w:val="8"/>
          <w:sz w:val="32"/>
          <w:szCs w:val="32"/>
          <w:shd w:val="clear" w:color="auto" w:fill="FFFFFF"/>
        </w:rPr>
      </w:pPr>
      <w:r>
        <w:rPr>
          <w:rFonts w:hint="eastAsia" w:ascii="Times New Roman" w:hAnsi="Times New Roman" w:eastAsia="仿宋_GB2312" w:cs="仿宋_GB2312"/>
          <w:i w:val="0"/>
          <w:iCs w:val="0"/>
          <w:caps w:val="0"/>
          <w:color w:val="auto"/>
          <w:spacing w:val="8"/>
          <w:sz w:val="32"/>
          <w:szCs w:val="32"/>
          <w:shd w:val="clear" w:color="auto" w:fill="FFFFFF"/>
          <w:lang w:val="en-US" w:eastAsia="zh-CN"/>
        </w:rPr>
        <w:t>附件：洛阳</w:t>
      </w:r>
      <w:r>
        <w:rPr>
          <w:rFonts w:hint="eastAsia" w:ascii="Times New Roman" w:hAnsi="Times New Roman" w:eastAsia="仿宋_GB2312" w:cs="仿宋_GB2312"/>
          <w:i w:val="0"/>
          <w:iCs w:val="0"/>
          <w:caps w:val="0"/>
          <w:color w:val="auto"/>
          <w:spacing w:val="8"/>
          <w:sz w:val="32"/>
          <w:szCs w:val="32"/>
          <w:shd w:val="clear" w:color="auto" w:fill="FFFFFF"/>
          <w:lang w:val="en-US" w:eastAsia="en-US"/>
        </w:rPr>
        <w:t>市节地生态安葬补贴申请表</w:t>
      </w:r>
      <w:r>
        <w:rPr>
          <w:rFonts w:hint="eastAsia" w:ascii="Times New Roman" w:hAnsi="Times New Roman" w:eastAsia="仿宋_GB2312" w:cs="仿宋_GB2312"/>
          <w:i w:val="0"/>
          <w:iCs w:val="0"/>
          <w:caps w:val="0"/>
          <w:color w:val="auto"/>
          <w:spacing w:val="8"/>
          <w:kern w:val="2"/>
          <w:sz w:val="32"/>
          <w:szCs w:val="32"/>
          <w:shd w:val="clear" w:color="auto" w:fill="FFFFFF"/>
          <w:lang w:val="en-US" w:eastAsia="zh-CN" w:bidi="ar-SA"/>
        </w:rPr>
        <w:t xml:space="preserve">  </w:t>
      </w:r>
    </w:p>
    <w:p w14:paraId="5CDECDFE">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72" w:firstLineChars="200"/>
        <w:jc w:val="both"/>
        <w:textAlignment w:val="auto"/>
        <w:rPr>
          <w:rFonts w:hint="eastAsia" w:ascii="Times New Roman" w:hAnsi="Times New Roman" w:eastAsia="仿宋_GB2312" w:cs="仿宋_GB2312"/>
          <w:i w:val="0"/>
          <w:iCs w:val="0"/>
          <w:caps w:val="0"/>
          <w:color w:val="auto"/>
          <w:spacing w:val="8"/>
          <w:sz w:val="32"/>
          <w:szCs w:val="32"/>
          <w:shd w:val="clear" w:color="auto" w:fill="FFFFFF"/>
          <w:lang w:eastAsia="zh-CN"/>
        </w:rPr>
      </w:pPr>
    </w:p>
    <w:p w14:paraId="459E2520">
      <w:pPr>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br w:type="page"/>
      </w:r>
    </w:p>
    <w:p w14:paraId="3D39A237">
      <w:pPr>
        <w:rPr>
          <w:rFonts w:hint="eastAsia" w:ascii="方正小标宋简体" w:hAnsi="方正小标宋简体" w:eastAsia="方正小标宋简体" w:cs="方正小标宋简体"/>
          <w:snapToGrid w:val="0"/>
          <w:color w:val="000000"/>
          <w:spacing w:val="-13"/>
          <w:kern w:val="0"/>
          <w:sz w:val="32"/>
          <w:szCs w:val="32"/>
          <w:lang w:val="en-US" w:eastAsia="zh-CN"/>
        </w:rPr>
      </w:pPr>
      <w:r>
        <w:rPr>
          <w:rFonts w:hint="eastAsia" w:ascii="黑体" w:hAnsi="黑体" w:eastAsia="黑体" w:cs="黑体"/>
          <w:sz w:val="28"/>
          <w:szCs w:val="28"/>
          <w:lang w:val="en-US" w:eastAsia="en-US"/>
        </w:rPr>
        <w:t>附件</w:t>
      </w:r>
    </w:p>
    <w:p w14:paraId="02C4AA06">
      <w:pPr>
        <w:keepNext w:val="0"/>
        <w:keepLines w:val="0"/>
        <w:pageBreakBefore w:val="0"/>
        <w:widowControl/>
        <w:kinsoku w:val="0"/>
        <w:wordWrap/>
        <w:overflowPunct/>
        <w:topLinePunct w:val="0"/>
        <w:autoSpaceDE w:val="0"/>
        <w:autoSpaceDN w:val="0"/>
        <w:bidi w:val="0"/>
        <w:adjustRightInd w:val="0"/>
        <w:snapToGrid w:val="0"/>
        <w:spacing w:before="1" w:line="540" w:lineRule="exact"/>
        <w:ind w:left="1374"/>
        <w:jc w:val="left"/>
        <w:textAlignment w:val="baseline"/>
        <w:outlineLvl w:val="0"/>
        <w:rPr>
          <w:rFonts w:ascii="方正小标宋简体" w:hAnsi="方正小标宋简体" w:eastAsia="方正小标宋简体" w:cs="方正小标宋简体"/>
          <w:snapToGrid w:val="0"/>
          <w:color w:val="000000"/>
          <w:spacing w:val="-13"/>
          <w:kern w:val="0"/>
          <w:sz w:val="44"/>
          <w:szCs w:val="44"/>
          <w:lang w:eastAsia="en-US"/>
        </w:rPr>
      </w:pPr>
      <w:r>
        <w:rPr>
          <w:rFonts w:hint="eastAsia" w:ascii="方正小标宋简体" w:hAnsi="方正小标宋简体" w:eastAsia="方正小标宋简体" w:cs="方正小标宋简体"/>
          <w:snapToGrid w:val="0"/>
          <w:color w:val="000000"/>
          <w:spacing w:val="-13"/>
          <w:kern w:val="0"/>
          <w:sz w:val="44"/>
          <w:szCs w:val="44"/>
          <w:lang w:val="en-US" w:eastAsia="zh-CN"/>
        </w:rPr>
        <w:t>洛阳</w:t>
      </w:r>
      <w:r>
        <w:rPr>
          <w:rFonts w:ascii="方正小标宋简体" w:hAnsi="方正小标宋简体" w:eastAsia="方正小标宋简体" w:cs="方正小标宋简体"/>
          <w:snapToGrid w:val="0"/>
          <w:color w:val="000000"/>
          <w:spacing w:val="-13"/>
          <w:kern w:val="0"/>
          <w:sz w:val="44"/>
          <w:szCs w:val="44"/>
          <w:lang w:eastAsia="en-US"/>
        </w:rPr>
        <w:t>市节地生态安葬补贴申请表</w:t>
      </w:r>
    </w:p>
    <w:p w14:paraId="030AC549">
      <w:pPr>
        <w:keepNext w:val="0"/>
        <w:keepLines w:val="0"/>
        <w:pageBreakBefore w:val="0"/>
        <w:widowControl/>
        <w:kinsoku w:val="0"/>
        <w:wordWrap/>
        <w:overflowPunct/>
        <w:topLinePunct w:val="0"/>
        <w:autoSpaceDE w:val="0"/>
        <w:autoSpaceDN w:val="0"/>
        <w:bidi w:val="0"/>
        <w:adjustRightInd w:val="0"/>
        <w:snapToGrid w:val="0"/>
        <w:spacing w:before="1" w:line="240" w:lineRule="exact"/>
        <w:ind w:left="1372"/>
        <w:jc w:val="left"/>
        <w:textAlignment w:val="baseline"/>
        <w:outlineLvl w:val="0"/>
        <w:rPr>
          <w:rFonts w:ascii="方正小标宋简体" w:hAnsi="方正小标宋简体" w:eastAsia="方正小标宋简体" w:cs="方正小标宋简体"/>
          <w:snapToGrid w:val="0"/>
          <w:color w:val="000000"/>
          <w:spacing w:val="-13"/>
          <w:kern w:val="0"/>
          <w:sz w:val="44"/>
          <w:szCs w:val="44"/>
          <w:lang w:eastAsia="en-US"/>
        </w:rPr>
      </w:pPr>
    </w:p>
    <w:tbl>
      <w:tblPr>
        <w:tblStyle w:val="16"/>
        <w:tblW w:w="84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8"/>
        <w:gridCol w:w="1609"/>
        <w:gridCol w:w="1392"/>
        <w:gridCol w:w="712"/>
        <w:gridCol w:w="650"/>
        <w:gridCol w:w="1088"/>
        <w:gridCol w:w="1918"/>
      </w:tblGrid>
      <w:tr w14:paraId="00123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1128" w:type="dxa"/>
            <w:vMerge w:val="restart"/>
            <w:tcBorders>
              <w:bottom w:val="nil"/>
            </w:tcBorders>
            <w:noWrap w:val="0"/>
            <w:vAlign w:val="center"/>
          </w:tcPr>
          <w:p w14:paraId="5D4231F6">
            <w:pPr>
              <w:keepNext w:val="0"/>
              <w:keepLines w:val="0"/>
              <w:pageBreakBefore w:val="0"/>
              <w:widowControl/>
              <w:kinsoku w:val="0"/>
              <w:wordWrap/>
              <w:overflowPunct/>
              <w:topLinePunct w:val="0"/>
              <w:autoSpaceDE w:val="0"/>
              <w:autoSpaceDN w:val="0"/>
              <w:bidi w:val="0"/>
              <w:adjustRightInd w:val="0"/>
              <w:snapToGrid w:val="0"/>
              <w:spacing w:before="78" w:line="360" w:lineRule="exact"/>
              <w:jc w:val="center"/>
              <w:textAlignment w:val="baseline"/>
              <w:rPr>
                <w:rFonts w:ascii="黑体" w:hAnsi="黑体" w:eastAsia="黑体" w:cs="黑体"/>
                <w:snapToGrid w:val="0"/>
                <w:color w:val="000000"/>
                <w:kern w:val="0"/>
                <w:sz w:val="24"/>
                <w:szCs w:val="24"/>
                <w:lang w:eastAsia="en-US"/>
              </w:rPr>
            </w:pPr>
            <w:r>
              <w:rPr>
                <w:rFonts w:ascii="黑体" w:hAnsi="黑体" w:eastAsia="黑体" w:cs="黑体"/>
                <w:snapToGrid w:val="0"/>
                <w:color w:val="000000"/>
                <w:spacing w:val="-4"/>
                <w:kern w:val="0"/>
                <w:sz w:val="24"/>
                <w:szCs w:val="24"/>
                <w:lang w:eastAsia="en-US"/>
              </w:rPr>
              <w:t>逝者</w:t>
            </w:r>
          </w:p>
          <w:p w14:paraId="1284C9FB">
            <w:pPr>
              <w:keepNext w:val="0"/>
              <w:keepLines w:val="0"/>
              <w:pageBreakBefore w:val="0"/>
              <w:widowControl/>
              <w:kinsoku w:val="0"/>
              <w:wordWrap/>
              <w:overflowPunct/>
              <w:topLinePunct w:val="0"/>
              <w:autoSpaceDE w:val="0"/>
              <w:autoSpaceDN w:val="0"/>
              <w:bidi w:val="0"/>
              <w:adjustRightInd w:val="0"/>
              <w:snapToGrid w:val="0"/>
              <w:spacing w:before="20" w:line="360" w:lineRule="exact"/>
              <w:jc w:val="center"/>
              <w:textAlignment w:val="baseline"/>
              <w:rPr>
                <w:rFonts w:ascii="黑体" w:hAnsi="黑体" w:eastAsia="黑体" w:cs="黑体"/>
                <w:snapToGrid w:val="0"/>
                <w:color w:val="000000"/>
                <w:kern w:val="0"/>
                <w:sz w:val="24"/>
                <w:szCs w:val="24"/>
                <w:lang w:eastAsia="en-US"/>
              </w:rPr>
            </w:pPr>
            <w:r>
              <w:rPr>
                <w:rFonts w:ascii="黑体" w:hAnsi="黑体" w:eastAsia="黑体" w:cs="黑体"/>
                <w:snapToGrid w:val="0"/>
                <w:color w:val="000000"/>
                <w:spacing w:val="-9"/>
                <w:kern w:val="0"/>
                <w:sz w:val="24"/>
                <w:szCs w:val="24"/>
                <w:lang w:eastAsia="en-US"/>
              </w:rPr>
              <w:t>资料</w:t>
            </w:r>
          </w:p>
        </w:tc>
        <w:tc>
          <w:tcPr>
            <w:tcW w:w="1609" w:type="dxa"/>
            <w:noWrap w:val="0"/>
            <w:vAlign w:val="center"/>
          </w:tcPr>
          <w:p w14:paraId="24A1FB6F">
            <w:pPr>
              <w:jc w:val="center"/>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姓名</w:t>
            </w:r>
          </w:p>
        </w:tc>
        <w:tc>
          <w:tcPr>
            <w:tcW w:w="2104" w:type="dxa"/>
            <w:gridSpan w:val="2"/>
            <w:noWrap w:val="0"/>
            <w:vAlign w:val="center"/>
          </w:tcPr>
          <w:p w14:paraId="202F67F3">
            <w:pPr>
              <w:jc w:val="center"/>
              <w:rPr>
                <w:rFonts w:hint="eastAsia" w:ascii="仿宋_GB2312" w:hAnsi="仿宋_GB2312" w:eastAsia="仿宋_GB2312" w:cs="仿宋_GB2312"/>
                <w:sz w:val="24"/>
                <w:szCs w:val="24"/>
                <w:lang w:eastAsia="en-US"/>
              </w:rPr>
            </w:pPr>
          </w:p>
        </w:tc>
        <w:tc>
          <w:tcPr>
            <w:tcW w:w="1738" w:type="dxa"/>
            <w:gridSpan w:val="2"/>
            <w:noWrap w:val="0"/>
            <w:vAlign w:val="center"/>
          </w:tcPr>
          <w:p w14:paraId="46595792">
            <w:pPr>
              <w:jc w:val="center"/>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性别</w:t>
            </w:r>
          </w:p>
        </w:tc>
        <w:tc>
          <w:tcPr>
            <w:tcW w:w="1918" w:type="dxa"/>
            <w:noWrap w:val="0"/>
            <w:vAlign w:val="center"/>
          </w:tcPr>
          <w:p w14:paraId="534E4967">
            <w:pPr>
              <w:jc w:val="center"/>
              <w:rPr>
                <w:rFonts w:hint="eastAsia" w:ascii="仿宋_GB2312" w:hAnsi="仿宋_GB2312" w:eastAsia="仿宋_GB2312" w:cs="仿宋_GB2312"/>
                <w:sz w:val="24"/>
                <w:szCs w:val="24"/>
                <w:lang w:eastAsia="en-US"/>
              </w:rPr>
            </w:pPr>
          </w:p>
        </w:tc>
      </w:tr>
      <w:tr w14:paraId="12A42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1128" w:type="dxa"/>
            <w:vMerge w:val="continue"/>
            <w:tcBorders>
              <w:top w:val="nil"/>
              <w:bottom w:val="nil"/>
            </w:tcBorders>
            <w:noWrap w:val="0"/>
            <w:vAlign w:val="top"/>
          </w:tcPr>
          <w:p w14:paraId="7C6910F7">
            <w:pPr>
              <w:widowControl/>
              <w:kinsoku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9" w:type="dxa"/>
            <w:noWrap w:val="0"/>
            <w:vAlign w:val="center"/>
          </w:tcPr>
          <w:p w14:paraId="34271F4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en-US"/>
              </w:rPr>
              <w:t>死亡时间</w:t>
            </w:r>
          </w:p>
        </w:tc>
        <w:tc>
          <w:tcPr>
            <w:tcW w:w="2104" w:type="dxa"/>
            <w:gridSpan w:val="2"/>
            <w:noWrap w:val="0"/>
            <w:vAlign w:val="center"/>
          </w:tcPr>
          <w:p w14:paraId="2C41F9F3">
            <w:pPr>
              <w:jc w:val="center"/>
              <w:rPr>
                <w:rFonts w:hint="eastAsia" w:ascii="仿宋_GB2312" w:hAnsi="仿宋_GB2312" w:eastAsia="仿宋_GB2312" w:cs="仿宋_GB2312"/>
                <w:sz w:val="24"/>
                <w:szCs w:val="24"/>
                <w:lang w:val="en-US" w:eastAsia="en-US"/>
              </w:rPr>
            </w:pPr>
          </w:p>
        </w:tc>
        <w:tc>
          <w:tcPr>
            <w:tcW w:w="1738" w:type="dxa"/>
            <w:gridSpan w:val="2"/>
            <w:noWrap w:val="0"/>
            <w:vAlign w:val="center"/>
          </w:tcPr>
          <w:p w14:paraId="2879A7ED">
            <w:pPr>
              <w:jc w:val="center"/>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zh-CN"/>
              </w:rPr>
              <w:t>火化</w:t>
            </w:r>
            <w:r>
              <w:rPr>
                <w:rFonts w:hint="eastAsia" w:ascii="仿宋_GB2312" w:hAnsi="仿宋_GB2312" w:eastAsia="仿宋_GB2312" w:cs="仿宋_GB2312"/>
                <w:sz w:val="24"/>
                <w:szCs w:val="24"/>
                <w:lang w:val="en-US" w:eastAsia="en-US"/>
              </w:rPr>
              <w:t>时间</w:t>
            </w:r>
          </w:p>
        </w:tc>
        <w:tc>
          <w:tcPr>
            <w:tcW w:w="1918" w:type="dxa"/>
            <w:noWrap w:val="0"/>
            <w:vAlign w:val="center"/>
          </w:tcPr>
          <w:p w14:paraId="6D3F8D76">
            <w:pPr>
              <w:jc w:val="center"/>
              <w:rPr>
                <w:rFonts w:hint="eastAsia" w:ascii="仿宋_GB2312" w:hAnsi="仿宋_GB2312" w:eastAsia="仿宋_GB2312" w:cs="仿宋_GB2312"/>
                <w:sz w:val="24"/>
                <w:szCs w:val="24"/>
                <w:lang w:eastAsia="en-US"/>
              </w:rPr>
            </w:pPr>
          </w:p>
        </w:tc>
      </w:tr>
      <w:tr w14:paraId="53F76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128" w:type="dxa"/>
            <w:vMerge w:val="continue"/>
            <w:tcBorders>
              <w:top w:val="nil"/>
              <w:bottom w:val="nil"/>
            </w:tcBorders>
            <w:noWrap w:val="0"/>
            <w:vAlign w:val="top"/>
          </w:tcPr>
          <w:p w14:paraId="39C975C0">
            <w:pPr>
              <w:widowControl/>
              <w:kinsoku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9" w:type="dxa"/>
            <w:noWrap w:val="0"/>
            <w:vAlign w:val="center"/>
          </w:tcPr>
          <w:p w14:paraId="73482013">
            <w:pPr>
              <w:jc w:val="center"/>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身份证号码</w:t>
            </w:r>
          </w:p>
        </w:tc>
        <w:tc>
          <w:tcPr>
            <w:tcW w:w="5760" w:type="dxa"/>
            <w:gridSpan w:val="5"/>
            <w:noWrap w:val="0"/>
            <w:vAlign w:val="center"/>
          </w:tcPr>
          <w:p w14:paraId="662DDB90">
            <w:pPr>
              <w:jc w:val="center"/>
              <w:rPr>
                <w:rFonts w:hint="eastAsia" w:ascii="仿宋_GB2312" w:hAnsi="仿宋_GB2312" w:eastAsia="仿宋_GB2312" w:cs="仿宋_GB2312"/>
                <w:sz w:val="24"/>
                <w:szCs w:val="24"/>
                <w:lang w:eastAsia="en-US"/>
              </w:rPr>
            </w:pPr>
          </w:p>
        </w:tc>
      </w:tr>
      <w:tr w14:paraId="6E39A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36" w:hRule="atLeast"/>
        </w:trPr>
        <w:tc>
          <w:tcPr>
            <w:tcW w:w="1128" w:type="dxa"/>
            <w:vMerge w:val="continue"/>
            <w:tcBorders>
              <w:top w:val="nil"/>
              <w:bottom w:val="nil"/>
            </w:tcBorders>
            <w:noWrap w:val="0"/>
            <w:vAlign w:val="top"/>
          </w:tcPr>
          <w:p w14:paraId="031E7578">
            <w:pPr>
              <w:widowControl/>
              <w:kinsoku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9" w:type="dxa"/>
            <w:noWrap w:val="0"/>
            <w:vAlign w:val="center"/>
          </w:tcPr>
          <w:p w14:paraId="7F036108">
            <w:pPr>
              <w:jc w:val="center"/>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户籍地址</w:t>
            </w:r>
          </w:p>
        </w:tc>
        <w:tc>
          <w:tcPr>
            <w:tcW w:w="5760" w:type="dxa"/>
            <w:gridSpan w:val="5"/>
            <w:noWrap w:val="0"/>
            <w:vAlign w:val="center"/>
          </w:tcPr>
          <w:p w14:paraId="3898FD08">
            <w:pPr>
              <w:jc w:val="center"/>
              <w:rPr>
                <w:rFonts w:hint="eastAsia" w:ascii="仿宋_GB2312" w:hAnsi="仿宋_GB2312" w:eastAsia="仿宋_GB2312" w:cs="仿宋_GB2312"/>
                <w:sz w:val="24"/>
                <w:szCs w:val="24"/>
                <w:lang w:eastAsia="en-US"/>
              </w:rPr>
            </w:pPr>
          </w:p>
        </w:tc>
      </w:tr>
      <w:tr w14:paraId="7BE13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1128" w:type="dxa"/>
            <w:vMerge w:val="continue"/>
            <w:tcBorders>
              <w:top w:val="nil"/>
            </w:tcBorders>
            <w:noWrap w:val="0"/>
            <w:vAlign w:val="top"/>
          </w:tcPr>
          <w:p w14:paraId="1A530A29">
            <w:pPr>
              <w:widowControl/>
              <w:kinsoku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9" w:type="dxa"/>
            <w:noWrap w:val="0"/>
            <w:vAlign w:val="top"/>
          </w:tcPr>
          <w:p w14:paraId="0A31F0A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安葬方式</w:t>
            </w:r>
          </w:p>
        </w:tc>
        <w:tc>
          <w:tcPr>
            <w:tcW w:w="2104" w:type="dxa"/>
            <w:gridSpan w:val="2"/>
            <w:tcBorders>
              <w:right w:val="single" w:color="auto" w:sz="4" w:space="0"/>
            </w:tcBorders>
            <w:noWrap w:val="0"/>
            <w:vAlign w:val="top"/>
          </w:tcPr>
          <w:p w14:paraId="6260A04A">
            <w:pPr>
              <w:jc w:val="center"/>
              <w:rPr>
                <w:rFonts w:hint="eastAsia" w:ascii="仿宋_GB2312" w:hAnsi="仿宋_GB2312" w:eastAsia="仿宋_GB2312" w:cs="仿宋_GB2312"/>
                <w:sz w:val="24"/>
                <w:szCs w:val="24"/>
                <w:lang w:val="en-US" w:eastAsia="en-US"/>
              </w:rPr>
            </w:pPr>
          </w:p>
        </w:tc>
        <w:tc>
          <w:tcPr>
            <w:tcW w:w="1738" w:type="dxa"/>
            <w:gridSpan w:val="2"/>
            <w:tcBorders>
              <w:left w:val="single" w:color="auto" w:sz="4" w:space="0"/>
              <w:right w:val="single" w:color="auto" w:sz="4" w:space="0"/>
            </w:tcBorders>
            <w:noWrap w:val="0"/>
            <w:vAlign w:val="top"/>
          </w:tcPr>
          <w:p w14:paraId="70DC93A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安葬时间</w:t>
            </w:r>
          </w:p>
        </w:tc>
        <w:tc>
          <w:tcPr>
            <w:tcW w:w="1918" w:type="dxa"/>
            <w:tcBorders>
              <w:left w:val="single" w:color="auto" w:sz="4" w:space="0"/>
            </w:tcBorders>
            <w:noWrap w:val="0"/>
            <w:vAlign w:val="top"/>
          </w:tcPr>
          <w:p w14:paraId="433CF835">
            <w:pPr>
              <w:jc w:val="center"/>
              <w:rPr>
                <w:rFonts w:hint="eastAsia" w:ascii="仿宋_GB2312" w:hAnsi="仿宋_GB2312" w:eastAsia="仿宋_GB2312" w:cs="仿宋_GB2312"/>
                <w:sz w:val="24"/>
                <w:szCs w:val="24"/>
                <w:lang w:val="en-US" w:eastAsia="en-US"/>
              </w:rPr>
            </w:pPr>
          </w:p>
        </w:tc>
      </w:tr>
      <w:tr w14:paraId="04AEED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28" w:type="dxa"/>
            <w:vMerge w:val="restart"/>
            <w:tcBorders>
              <w:bottom w:val="nil"/>
            </w:tcBorders>
            <w:noWrap w:val="0"/>
            <w:vAlign w:val="center"/>
          </w:tcPr>
          <w:p w14:paraId="03EA040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sz w:val="24"/>
                <w:szCs w:val="24"/>
                <w:lang w:eastAsia="en-US"/>
              </w:rPr>
            </w:pPr>
            <w:r>
              <w:rPr>
                <w:rFonts w:hint="eastAsia" w:ascii="黑体" w:hAnsi="黑体" w:eastAsia="黑体" w:cs="黑体"/>
                <w:sz w:val="24"/>
                <w:szCs w:val="24"/>
                <w:lang w:eastAsia="en-US"/>
              </w:rPr>
              <w:t>申请人</w:t>
            </w:r>
          </w:p>
          <w:p w14:paraId="278BE26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黑体" w:hAnsi="黑体" w:eastAsia="黑体" w:cs="黑体"/>
                <w:snapToGrid w:val="0"/>
                <w:color w:val="000000"/>
                <w:kern w:val="0"/>
                <w:sz w:val="24"/>
                <w:szCs w:val="24"/>
                <w:lang w:eastAsia="en-US"/>
              </w:rPr>
            </w:pPr>
            <w:r>
              <w:rPr>
                <w:rFonts w:hint="eastAsia" w:ascii="黑体" w:hAnsi="黑体" w:eastAsia="黑体" w:cs="黑体"/>
                <w:sz w:val="24"/>
                <w:szCs w:val="24"/>
                <w:lang w:eastAsia="en-US"/>
              </w:rPr>
              <w:t>资料</w:t>
            </w:r>
          </w:p>
        </w:tc>
        <w:tc>
          <w:tcPr>
            <w:tcW w:w="1609" w:type="dxa"/>
            <w:noWrap w:val="0"/>
            <w:vAlign w:val="top"/>
          </w:tcPr>
          <w:p w14:paraId="7EF4EF85">
            <w:pPr>
              <w:jc w:val="center"/>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姓名</w:t>
            </w:r>
          </w:p>
        </w:tc>
        <w:tc>
          <w:tcPr>
            <w:tcW w:w="2104" w:type="dxa"/>
            <w:gridSpan w:val="2"/>
            <w:noWrap w:val="0"/>
            <w:vAlign w:val="top"/>
          </w:tcPr>
          <w:p w14:paraId="19343C53">
            <w:pPr>
              <w:jc w:val="center"/>
              <w:rPr>
                <w:rFonts w:hint="eastAsia" w:ascii="仿宋_GB2312" w:hAnsi="仿宋_GB2312" w:eastAsia="仿宋_GB2312" w:cs="仿宋_GB2312"/>
                <w:sz w:val="24"/>
                <w:szCs w:val="24"/>
                <w:lang w:eastAsia="en-US"/>
              </w:rPr>
            </w:pPr>
          </w:p>
        </w:tc>
        <w:tc>
          <w:tcPr>
            <w:tcW w:w="1738" w:type="dxa"/>
            <w:gridSpan w:val="2"/>
            <w:noWrap w:val="0"/>
            <w:vAlign w:val="top"/>
          </w:tcPr>
          <w:p w14:paraId="6C709A5B">
            <w:pPr>
              <w:jc w:val="center"/>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与逝者关系</w:t>
            </w:r>
          </w:p>
        </w:tc>
        <w:tc>
          <w:tcPr>
            <w:tcW w:w="1918" w:type="dxa"/>
            <w:noWrap w:val="0"/>
            <w:vAlign w:val="top"/>
          </w:tcPr>
          <w:p w14:paraId="45E1D418">
            <w:pPr>
              <w:jc w:val="center"/>
              <w:rPr>
                <w:rFonts w:hint="eastAsia" w:ascii="仿宋_GB2312" w:hAnsi="仿宋_GB2312" w:eastAsia="仿宋_GB2312" w:cs="仿宋_GB2312"/>
                <w:sz w:val="24"/>
                <w:szCs w:val="24"/>
                <w:lang w:eastAsia="en-US"/>
              </w:rPr>
            </w:pPr>
          </w:p>
        </w:tc>
      </w:tr>
      <w:tr w14:paraId="27A3A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28" w:type="dxa"/>
            <w:vMerge w:val="continue"/>
            <w:tcBorders>
              <w:top w:val="nil"/>
              <w:bottom w:val="nil"/>
            </w:tcBorders>
            <w:noWrap w:val="0"/>
            <w:vAlign w:val="top"/>
          </w:tcPr>
          <w:p w14:paraId="6EAF9BC1">
            <w:pPr>
              <w:widowControl/>
              <w:kinsoku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9" w:type="dxa"/>
            <w:noWrap w:val="0"/>
            <w:vAlign w:val="top"/>
          </w:tcPr>
          <w:p w14:paraId="68D77753">
            <w:pPr>
              <w:jc w:val="center"/>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身份证号码</w:t>
            </w:r>
          </w:p>
        </w:tc>
        <w:tc>
          <w:tcPr>
            <w:tcW w:w="5760" w:type="dxa"/>
            <w:gridSpan w:val="5"/>
            <w:noWrap w:val="0"/>
            <w:vAlign w:val="top"/>
          </w:tcPr>
          <w:p w14:paraId="1BD0E56A">
            <w:pPr>
              <w:jc w:val="center"/>
              <w:rPr>
                <w:rFonts w:hint="eastAsia" w:ascii="仿宋_GB2312" w:hAnsi="仿宋_GB2312" w:eastAsia="仿宋_GB2312" w:cs="仿宋_GB2312"/>
                <w:sz w:val="24"/>
                <w:szCs w:val="24"/>
                <w:lang w:eastAsia="en-US"/>
              </w:rPr>
            </w:pPr>
          </w:p>
        </w:tc>
      </w:tr>
      <w:tr w14:paraId="6672E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28" w:type="dxa"/>
            <w:vMerge w:val="continue"/>
            <w:tcBorders>
              <w:top w:val="nil"/>
              <w:bottom w:val="nil"/>
            </w:tcBorders>
            <w:noWrap w:val="0"/>
            <w:vAlign w:val="top"/>
          </w:tcPr>
          <w:p w14:paraId="3A8F4F02">
            <w:pPr>
              <w:widowControl/>
              <w:kinsoku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9" w:type="dxa"/>
            <w:noWrap w:val="0"/>
            <w:vAlign w:val="top"/>
          </w:tcPr>
          <w:p w14:paraId="12AF3F7F">
            <w:pPr>
              <w:jc w:val="center"/>
              <w:rPr>
                <w:rFonts w:hint="eastAsia" w:ascii="Times New Roman" w:hAnsi="Times New Roman" w:eastAsia="仿宋_GB2312" w:cs="仿宋_GB2312"/>
                <w:sz w:val="24"/>
                <w:szCs w:val="24"/>
                <w:lang w:val="en-US" w:eastAsia="en-US"/>
              </w:rPr>
            </w:pPr>
            <w:r>
              <w:rPr>
                <w:rFonts w:hint="eastAsia" w:ascii="Times New Roman" w:hAnsi="Times New Roman" w:eastAsia="仿宋_GB2312" w:cs="仿宋_GB2312"/>
                <w:sz w:val="24"/>
                <w:szCs w:val="24"/>
                <w:lang w:val="en-US" w:eastAsia="en-US"/>
              </w:rPr>
              <w:t>申领金额</w:t>
            </w:r>
          </w:p>
        </w:tc>
        <w:tc>
          <w:tcPr>
            <w:tcW w:w="5760" w:type="dxa"/>
            <w:gridSpan w:val="5"/>
            <w:noWrap w:val="0"/>
            <w:vAlign w:val="top"/>
          </w:tcPr>
          <w:p w14:paraId="12FEF254">
            <w:pPr>
              <w:jc w:val="center"/>
              <w:rPr>
                <w:rFonts w:hint="eastAsia" w:ascii="Times New Roman" w:hAnsi="Times New Roman" w:eastAsia="仿宋_GB2312" w:cs="仿宋_GB2312"/>
                <w:sz w:val="24"/>
                <w:szCs w:val="24"/>
                <w:lang w:val="en-US" w:eastAsia="en-US"/>
              </w:rPr>
            </w:pPr>
            <w:r>
              <w:rPr>
                <w:rFonts w:hint="eastAsia" w:ascii="Times New Roman" w:hAnsi="Times New Roman" w:eastAsia="仿宋_GB2312" w:cs="仿宋_GB2312"/>
                <w:sz w:val="24"/>
                <w:szCs w:val="24"/>
                <w:lang w:val="en-US" w:eastAsia="en-US"/>
              </w:rPr>
              <w:t>1000 元</w:t>
            </w:r>
          </w:p>
        </w:tc>
      </w:tr>
      <w:tr w14:paraId="4EF19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28" w:type="dxa"/>
            <w:vMerge w:val="continue"/>
            <w:tcBorders>
              <w:top w:val="nil"/>
              <w:bottom w:val="nil"/>
            </w:tcBorders>
            <w:noWrap w:val="0"/>
            <w:vAlign w:val="top"/>
          </w:tcPr>
          <w:p w14:paraId="2E747D8C">
            <w:pPr>
              <w:widowControl/>
              <w:kinsoku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9" w:type="dxa"/>
            <w:noWrap w:val="0"/>
            <w:vAlign w:val="top"/>
          </w:tcPr>
          <w:p w14:paraId="3D8613DF">
            <w:pPr>
              <w:jc w:val="center"/>
              <w:rPr>
                <w:rFonts w:hint="eastAsia" w:ascii="Times New Roman" w:hAnsi="Times New Roman" w:eastAsia="仿宋_GB2312" w:cs="仿宋_GB2312"/>
                <w:sz w:val="24"/>
                <w:szCs w:val="24"/>
                <w:lang w:val="en-US" w:eastAsia="en-US"/>
              </w:rPr>
            </w:pPr>
            <w:r>
              <w:rPr>
                <w:rFonts w:hint="eastAsia" w:ascii="Times New Roman" w:hAnsi="Times New Roman" w:eastAsia="仿宋_GB2312" w:cs="仿宋_GB2312"/>
                <w:sz w:val="24"/>
                <w:szCs w:val="24"/>
                <w:lang w:val="en-US" w:eastAsia="en-US"/>
              </w:rPr>
              <w:t>开户银行</w:t>
            </w:r>
          </w:p>
        </w:tc>
        <w:tc>
          <w:tcPr>
            <w:tcW w:w="5760" w:type="dxa"/>
            <w:gridSpan w:val="5"/>
            <w:noWrap w:val="0"/>
            <w:vAlign w:val="top"/>
          </w:tcPr>
          <w:p w14:paraId="777C3545">
            <w:pPr>
              <w:jc w:val="center"/>
              <w:rPr>
                <w:rFonts w:hint="eastAsia" w:ascii="Times New Roman" w:hAnsi="Times New Roman" w:eastAsia="仿宋_GB2312" w:cs="仿宋_GB2312"/>
                <w:sz w:val="24"/>
                <w:szCs w:val="24"/>
                <w:lang w:eastAsia="en-US"/>
              </w:rPr>
            </w:pPr>
          </w:p>
        </w:tc>
      </w:tr>
      <w:tr w14:paraId="1046F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28" w:type="dxa"/>
            <w:vMerge w:val="continue"/>
            <w:tcBorders>
              <w:top w:val="nil"/>
              <w:bottom w:val="nil"/>
            </w:tcBorders>
            <w:noWrap w:val="0"/>
            <w:vAlign w:val="top"/>
          </w:tcPr>
          <w:p w14:paraId="4BA29204">
            <w:pPr>
              <w:widowControl/>
              <w:kinsoku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9" w:type="dxa"/>
            <w:noWrap w:val="0"/>
            <w:vAlign w:val="top"/>
          </w:tcPr>
          <w:p w14:paraId="1B1AB5E8">
            <w:pPr>
              <w:jc w:val="center"/>
              <w:rPr>
                <w:rFonts w:hint="eastAsia" w:ascii="Times New Roman" w:hAnsi="Times New Roman" w:eastAsia="仿宋_GB2312" w:cs="仿宋_GB2312"/>
                <w:sz w:val="24"/>
                <w:szCs w:val="24"/>
                <w:lang w:val="en-US" w:eastAsia="en-US"/>
              </w:rPr>
            </w:pPr>
            <w:r>
              <w:rPr>
                <w:rFonts w:hint="eastAsia" w:ascii="Times New Roman" w:hAnsi="Times New Roman" w:eastAsia="仿宋_GB2312" w:cs="仿宋_GB2312"/>
                <w:sz w:val="24"/>
                <w:szCs w:val="24"/>
                <w:lang w:val="en-US" w:eastAsia="en-US"/>
              </w:rPr>
              <w:t>银行账号</w:t>
            </w:r>
          </w:p>
        </w:tc>
        <w:tc>
          <w:tcPr>
            <w:tcW w:w="5760" w:type="dxa"/>
            <w:gridSpan w:val="5"/>
            <w:noWrap w:val="0"/>
            <w:vAlign w:val="top"/>
          </w:tcPr>
          <w:p w14:paraId="54C3DC39">
            <w:pPr>
              <w:jc w:val="center"/>
              <w:rPr>
                <w:rFonts w:hint="eastAsia" w:ascii="Times New Roman" w:hAnsi="Times New Roman" w:eastAsia="仿宋_GB2312" w:cs="仿宋_GB2312"/>
                <w:sz w:val="24"/>
                <w:szCs w:val="24"/>
                <w:lang w:eastAsia="en-US"/>
              </w:rPr>
            </w:pPr>
          </w:p>
        </w:tc>
      </w:tr>
      <w:tr w14:paraId="2FA7B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128" w:type="dxa"/>
            <w:vMerge w:val="continue"/>
            <w:tcBorders>
              <w:top w:val="nil"/>
              <w:bottom w:val="nil"/>
            </w:tcBorders>
            <w:noWrap w:val="0"/>
            <w:vAlign w:val="top"/>
          </w:tcPr>
          <w:p w14:paraId="110467E6">
            <w:pPr>
              <w:widowControl/>
              <w:kinsoku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9" w:type="dxa"/>
            <w:noWrap w:val="0"/>
            <w:vAlign w:val="top"/>
          </w:tcPr>
          <w:p w14:paraId="3BB152A0">
            <w:pPr>
              <w:jc w:val="center"/>
              <w:rPr>
                <w:rFonts w:hint="eastAsia" w:ascii="Times New Roman" w:hAnsi="Times New Roman" w:eastAsia="仿宋_GB2312" w:cs="仿宋_GB2312"/>
                <w:sz w:val="24"/>
                <w:szCs w:val="24"/>
                <w:lang w:val="en-US" w:eastAsia="en-US"/>
              </w:rPr>
            </w:pPr>
            <w:r>
              <w:rPr>
                <w:rFonts w:hint="eastAsia" w:ascii="Times New Roman" w:hAnsi="Times New Roman" w:eastAsia="仿宋_GB2312" w:cs="仿宋_GB2312"/>
                <w:sz w:val="24"/>
                <w:szCs w:val="24"/>
                <w:lang w:val="en-US" w:eastAsia="en-US"/>
              </w:rPr>
              <w:t>联系电话</w:t>
            </w:r>
          </w:p>
        </w:tc>
        <w:tc>
          <w:tcPr>
            <w:tcW w:w="5760" w:type="dxa"/>
            <w:gridSpan w:val="5"/>
            <w:noWrap w:val="0"/>
            <w:vAlign w:val="top"/>
          </w:tcPr>
          <w:p w14:paraId="2BF2B9C6">
            <w:pPr>
              <w:jc w:val="center"/>
              <w:rPr>
                <w:rFonts w:hint="eastAsia" w:ascii="Times New Roman" w:hAnsi="Times New Roman" w:eastAsia="仿宋_GB2312" w:cs="仿宋_GB2312"/>
                <w:sz w:val="24"/>
                <w:szCs w:val="24"/>
                <w:lang w:eastAsia="en-US"/>
              </w:rPr>
            </w:pPr>
          </w:p>
        </w:tc>
      </w:tr>
      <w:tr w14:paraId="71C4A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8" w:hRule="atLeast"/>
        </w:trPr>
        <w:tc>
          <w:tcPr>
            <w:tcW w:w="1128" w:type="dxa"/>
            <w:vMerge w:val="continue"/>
            <w:tcBorders>
              <w:top w:val="nil"/>
              <w:bottom w:val="single" w:color="auto" w:sz="4" w:space="0"/>
            </w:tcBorders>
            <w:noWrap w:val="0"/>
            <w:vAlign w:val="top"/>
          </w:tcPr>
          <w:p w14:paraId="5A8DC907">
            <w:pPr>
              <w:widowControl/>
              <w:kinsoku w:val="0"/>
              <w:autoSpaceDE w:val="0"/>
              <w:autoSpaceDN w:val="0"/>
              <w:bidi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369" w:type="dxa"/>
            <w:gridSpan w:val="6"/>
            <w:noWrap w:val="0"/>
            <w:vAlign w:val="top"/>
          </w:tcPr>
          <w:p w14:paraId="665E0D6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申请人申明：</w:t>
            </w:r>
          </w:p>
          <w:p w14:paraId="400F1BE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en-US"/>
              </w:rPr>
            </w:pPr>
            <w:r>
              <w:rPr>
                <w:rFonts w:hint="eastAsia" w:ascii="仿宋_GB2312" w:hAnsi="仿宋_GB2312" w:eastAsia="仿宋_GB2312" w:cs="仿宋_GB2312"/>
                <w:sz w:val="24"/>
                <w:szCs w:val="24"/>
                <w:lang w:val="en-US" w:eastAsia="en-US"/>
              </w:rPr>
              <w:t>本人承诺所提交全部材料真实有效，自愿参与骨灰节地生态安葬。逝者近亲属、法定监护人对本人办理和申领补贴无异议。</w:t>
            </w:r>
          </w:p>
          <w:p w14:paraId="4147FDD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en-US"/>
              </w:rPr>
            </w:pPr>
          </w:p>
          <w:p w14:paraId="220D3880">
            <w:pPr>
              <w:kinsoku w:val="0"/>
              <w:autoSpaceDE w:val="0"/>
              <w:autoSpaceDN w:val="0"/>
              <w:adjustRightInd w:val="0"/>
              <w:snapToGrid w:val="0"/>
              <w:spacing w:before="78" w:line="216" w:lineRule="auto"/>
              <w:ind w:left="1716" w:firstLine="480" w:firstLineChars="200"/>
              <w:jc w:val="left"/>
              <w:textAlignment w:val="baseline"/>
              <w:rPr>
                <w:rFonts w:hint="eastAsia" w:ascii="FangSong_GB2312" w:hAnsi="FangSong_GB2312" w:eastAsia="FangSong_GB2312" w:cs="FangSong_GB2312"/>
                <w:snapToGrid w:val="0"/>
                <w:color w:val="000000"/>
                <w:kern w:val="0"/>
                <w:sz w:val="24"/>
                <w:szCs w:val="24"/>
                <w:lang w:val="en-US" w:eastAsia="zh-CN" w:bidi="ar-SA"/>
              </w:rPr>
            </w:pPr>
            <w:r>
              <w:rPr>
                <w:rFonts w:hint="eastAsia" w:ascii="仿宋_GB2312" w:hAnsi="仿宋_GB2312" w:eastAsia="仿宋_GB2312" w:cs="仿宋_GB2312"/>
                <w:sz w:val="24"/>
                <w:szCs w:val="24"/>
                <w:lang w:val="en-US" w:eastAsia="en-US"/>
              </w:rPr>
              <w:t>签名：                 日期</w:t>
            </w:r>
            <w:r>
              <w:rPr>
                <w:rFonts w:hint="eastAsia" w:ascii="仿宋_GB2312" w:hAnsi="仿宋_GB2312" w:eastAsia="仿宋_GB2312" w:cs="仿宋_GB2312"/>
                <w:sz w:val="24"/>
                <w:szCs w:val="24"/>
                <w:lang w:val="en-US" w:eastAsia="zh-CN"/>
              </w:rPr>
              <w:t>：</w:t>
            </w:r>
          </w:p>
        </w:tc>
      </w:tr>
      <w:tr w14:paraId="04FAC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24" w:hRule="atLeast"/>
        </w:trPr>
        <w:tc>
          <w:tcPr>
            <w:tcW w:w="1128" w:type="dxa"/>
            <w:tcBorders>
              <w:top w:val="single" w:color="auto" w:sz="4" w:space="0"/>
            </w:tcBorders>
            <w:noWrap w:val="0"/>
            <w:vAlign w:val="center"/>
          </w:tcPr>
          <w:p w14:paraId="515CCA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Arial" w:hAnsi="Arial" w:eastAsia="Arial" w:cs="Arial"/>
                <w:snapToGrid w:val="0"/>
                <w:color w:val="000000"/>
                <w:kern w:val="0"/>
                <w:sz w:val="21"/>
                <w:szCs w:val="21"/>
                <w:lang w:eastAsia="en-US"/>
              </w:rPr>
            </w:pPr>
            <w:r>
              <w:rPr>
                <w:rFonts w:hint="eastAsia" w:ascii="黑体" w:hAnsi="黑体" w:eastAsia="黑体" w:cs="黑体"/>
                <w:sz w:val="24"/>
                <w:szCs w:val="24"/>
                <w:lang w:val="en-US" w:eastAsia="en-US"/>
              </w:rPr>
              <w:t>节地生态安葬定点公墓</w:t>
            </w:r>
          </w:p>
        </w:tc>
        <w:tc>
          <w:tcPr>
            <w:tcW w:w="3001" w:type="dxa"/>
            <w:gridSpan w:val="2"/>
            <w:tcBorders>
              <w:right w:val="single" w:color="auto" w:sz="4" w:space="0"/>
            </w:tcBorders>
            <w:noWrap w:val="0"/>
            <w:vAlign w:val="top"/>
          </w:tcPr>
          <w:p w14:paraId="799E2B66">
            <w:pPr>
              <w:kinsoku w:val="0"/>
              <w:autoSpaceDE w:val="0"/>
              <w:autoSpaceDN w:val="0"/>
              <w:adjustRightInd w:val="0"/>
              <w:snapToGrid w:val="0"/>
              <w:spacing w:before="78" w:line="216" w:lineRule="auto"/>
              <w:jc w:val="left"/>
              <w:textAlignment w:val="baseline"/>
              <w:rPr>
                <w:rFonts w:hint="default" w:ascii="FangSong_GB2312" w:hAnsi="FangSong_GB2312" w:eastAsia="FangSong_GB2312" w:cs="FangSong_GB2312"/>
                <w:snapToGrid w:val="0"/>
                <w:color w:val="000000"/>
                <w:spacing w:val="-18"/>
                <w:kern w:val="0"/>
                <w:sz w:val="24"/>
                <w:szCs w:val="24"/>
                <w:lang w:val="en-US" w:eastAsia="zh-CN" w:bidi="ar-SA"/>
              </w:rPr>
            </w:pPr>
          </w:p>
          <w:p w14:paraId="74C56434">
            <w:pPr>
              <w:kinsoku w:val="0"/>
              <w:autoSpaceDE w:val="0"/>
              <w:autoSpaceDN w:val="0"/>
              <w:adjustRightInd w:val="0"/>
              <w:snapToGrid w:val="0"/>
              <w:spacing w:before="78" w:line="216" w:lineRule="auto"/>
              <w:jc w:val="left"/>
              <w:textAlignment w:val="baseline"/>
              <w:rPr>
                <w:rFonts w:hint="eastAsia" w:ascii="FangSong_GB2312" w:hAnsi="FangSong_GB2312" w:eastAsia="FangSong_GB2312" w:cs="FangSong_GB2312"/>
                <w:snapToGrid w:val="0"/>
                <w:color w:val="000000"/>
                <w:spacing w:val="-18"/>
                <w:kern w:val="0"/>
                <w:sz w:val="24"/>
                <w:szCs w:val="24"/>
                <w:lang w:val="en-US" w:eastAsia="zh-CN" w:bidi="ar-SA"/>
              </w:rPr>
            </w:pPr>
            <w:r>
              <w:rPr>
                <w:rFonts w:hint="eastAsia" w:ascii="FangSong_GB2312" w:hAnsi="FangSong_GB2312" w:eastAsia="FangSong_GB2312" w:cs="FangSong_GB2312"/>
                <w:snapToGrid w:val="0"/>
                <w:color w:val="000000"/>
                <w:spacing w:val="-18"/>
                <w:kern w:val="0"/>
                <w:sz w:val="24"/>
                <w:szCs w:val="24"/>
                <w:lang w:val="en-US" w:eastAsia="zh-CN" w:bidi="ar-SA"/>
              </w:rPr>
              <w:t xml:space="preserve">         年    月    日在我公墓以      葬形式安葬。</w:t>
            </w:r>
          </w:p>
          <w:p w14:paraId="33260A6D">
            <w:pPr>
              <w:kinsoku w:val="0"/>
              <w:autoSpaceDE w:val="0"/>
              <w:autoSpaceDN w:val="0"/>
              <w:adjustRightInd w:val="0"/>
              <w:snapToGrid w:val="0"/>
              <w:spacing w:before="78" w:line="216" w:lineRule="auto"/>
              <w:jc w:val="left"/>
              <w:textAlignment w:val="baseline"/>
              <w:rPr>
                <w:rFonts w:hint="default" w:ascii="FangSong_GB2312" w:hAnsi="FangSong_GB2312" w:eastAsia="FangSong_GB2312" w:cs="FangSong_GB2312"/>
                <w:snapToGrid w:val="0"/>
                <w:color w:val="000000"/>
                <w:spacing w:val="-18"/>
                <w:kern w:val="0"/>
                <w:sz w:val="24"/>
                <w:szCs w:val="24"/>
                <w:lang w:val="en-US" w:eastAsia="zh-CN" w:bidi="ar-SA"/>
              </w:rPr>
            </w:pPr>
            <w:r>
              <w:rPr>
                <w:rFonts w:hint="eastAsia" w:ascii="FangSong_GB2312" w:hAnsi="FangSong_GB2312" w:eastAsia="FangSong_GB2312" w:cs="FangSong_GB2312"/>
                <w:snapToGrid w:val="0"/>
                <w:color w:val="000000"/>
                <w:spacing w:val="-18"/>
                <w:kern w:val="0"/>
                <w:sz w:val="24"/>
                <w:szCs w:val="24"/>
                <w:lang w:val="en-US" w:eastAsia="zh-CN" w:bidi="ar-SA"/>
              </w:rPr>
              <w:t xml:space="preserve"> </w:t>
            </w:r>
          </w:p>
          <w:p w14:paraId="0FB3AA53">
            <w:pPr>
              <w:keepNext w:val="0"/>
              <w:keepLines w:val="0"/>
              <w:pageBreakBefore w:val="0"/>
              <w:widowControl/>
              <w:kinsoku w:val="0"/>
              <w:wordWrap/>
              <w:overflowPunct/>
              <w:topLinePunct w:val="0"/>
              <w:autoSpaceDE w:val="0"/>
              <w:autoSpaceDN w:val="0"/>
              <w:bidi w:val="0"/>
              <w:adjustRightInd w:val="0"/>
              <w:snapToGrid w:val="0"/>
              <w:spacing w:before="78" w:line="240" w:lineRule="auto"/>
              <w:ind w:firstLine="2040" w:firstLineChars="1000"/>
              <w:jc w:val="both"/>
              <w:textAlignment w:val="baseline"/>
              <w:rPr>
                <w:rFonts w:hint="eastAsia" w:ascii="仿宋_GB2312" w:hAnsi="仿宋_GB2312" w:eastAsia="仿宋_GB2312" w:cs="仿宋_GB2312"/>
                <w:snapToGrid w:val="0"/>
                <w:color w:val="000000"/>
                <w:spacing w:val="-18"/>
                <w:kern w:val="0"/>
                <w:sz w:val="24"/>
                <w:szCs w:val="24"/>
                <w:lang w:val="en-US" w:eastAsia="zh-CN" w:bidi="ar-SA"/>
              </w:rPr>
            </w:pPr>
            <w:r>
              <w:rPr>
                <w:rFonts w:hint="eastAsia" w:ascii="仿宋_GB2312" w:hAnsi="仿宋_GB2312" w:eastAsia="仿宋_GB2312" w:cs="仿宋_GB2312"/>
                <w:snapToGrid w:val="0"/>
                <w:color w:val="000000"/>
                <w:spacing w:val="-18"/>
                <w:kern w:val="0"/>
                <w:sz w:val="24"/>
                <w:szCs w:val="24"/>
                <w:lang w:val="en-US" w:eastAsia="zh-CN" w:bidi="ar-SA"/>
              </w:rPr>
              <w:t>盖章</w:t>
            </w:r>
          </w:p>
          <w:p w14:paraId="081A5F95">
            <w:pPr>
              <w:keepNext w:val="0"/>
              <w:keepLines w:val="0"/>
              <w:pageBreakBefore w:val="0"/>
              <w:widowControl/>
              <w:kinsoku w:val="0"/>
              <w:wordWrap/>
              <w:overflowPunct/>
              <w:topLinePunct w:val="0"/>
              <w:autoSpaceDE w:val="0"/>
              <w:autoSpaceDN w:val="0"/>
              <w:bidi w:val="0"/>
              <w:adjustRightInd w:val="0"/>
              <w:snapToGrid w:val="0"/>
              <w:spacing w:before="78" w:line="240" w:lineRule="auto"/>
              <w:ind w:firstLine="1632" w:firstLineChars="800"/>
              <w:jc w:val="both"/>
              <w:textAlignment w:val="baseline"/>
              <w:rPr>
                <w:rFonts w:hint="default" w:ascii="FangSong_GB2312" w:hAnsi="FangSong_GB2312" w:eastAsia="FangSong_GB2312" w:cs="FangSong_GB2312"/>
                <w:snapToGrid w:val="0"/>
                <w:color w:val="000000"/>
                <w:spacing w:val="-18"/>
                <w:kern w:val="0"/>
                <w:sz w:val="32"/>
                <w:szCs w:val="32"/>
                <w:lang w:val="en-US" w:eastAsia="zh-CN" w:bidi="ar-SA"/>
              </w:rPr>
            </w:pPr>
            <w:r>
              <w:rPr>
                <w:rFonts w:hint="eastAsia" w:ascii="仿宋_GB2312" w:hAnsi="仿宋_GB2312" w:eastAsia="仿宋_GB2312" w:cs="仿宋_GB2312"/>
                <w:snapToGrid w:val="0"/>
                <w:color w:val="000000"/>
                <w:spacing w:val="-18"/>
                <w:kern w:val="0"/>
                <w:sz w:val="24"/>
                <w:szCs w:val="24"/>
                <w:lang w:val="en-US" w:eastAsia="zh-CN" w:bidi="ar-SA"/>
              </w:rPr>
              <w:t>年</w:t>
            </w:r>
            <w:r>
              <w:rPr>
                <w:rFonts w:hint="eastAsia" w:ascii="仿宋_GB2312" w:hAnsi="仿宋_GB2312" w:cs="仿宋_GB2312"/>
                <w:snapToGrid w:val="0"/>
                <w:color w:val="000000"/>
                <w:spacing w:val="-18"/>
                <w:kern w:val="0"/>
                <w:sz w:val="24"/>
                <w:szCs w:val="24"/>
                <w:lang w:val="en-US" w:eastAsia="zh-CN" w:bidi="ar-SA"/>
              </w:rPr>
              <w:t xml:space="preserve"> </w:t>
            </w:r>
            <w:r>
              <w:rPr>
                <w:rFonts w:hint="eastAsia" w:ascii="仿宋_GB2312" w:hAnsi="仿宋_GB2312" w:eastAsia="仿宋_GB2312" w:cs="仿宋_GB2312"/>
                <w:snapToGrid w:val="0"/>
                <w:color w:val="000000"/>
                <w:spacing w:val="-18"/>
                <w:kern w:val="0"/>
                <w:sz w:val="24"/>
                <w:szCs w:val="24"/>
                <w:lang w:val="en-US" w:eastAsia="zh-CN" w:bidi="ar-SA"/>
              </w:rPr>
              <w:t xml:space="preserve">   月  </w:t>
            </w:r>
            <w:r>
              <w:rPr>
                <w:rFonts w:hint="eastAsia" w:ascii="仿宋_GB2312" w:hAnsi="仿宋_GB2312" w:cs="仿宋_GB2312"/>
                <w:snapToGrid w:val="0"/>
                <w:color w:val="000000"/>
                <w:spacing w:val="-18"/>
                <w:kern w:val="0"/>
                <w:sz w:val="24"/>
                <w:szCs w:val="24"/>
                <w:lang w:val="en-US" w:eastAsia="zh-CN" w:bidi="ar-SA"/>
              </w:rPr>
              <w:t xml:space="preserve"> </w:t>
            </w:r>
            <w:r>
              <w:rPr>
                <w:rFonts w:hint="eastAsia" w:ascii="仿宋_GB2312" w:hAnsi="仿宋_GB2312" w:eastAsia="仿宋_GB2312" w:cs="仿宋_GB2312"/>
                <w:snapToGrid w:val="0"/>
                <w:color w:val="000000"/>
                <w:spacing w:val="-18"/>
                <w:kern w:val="0"/>
                <w:sz w:val="24"/>
                <w:szCs w:val="24"/>
                <w:lang w:val="en-US" w:eastAsia="zh-CN" w:bidi="ar-SA"/>
              </w:rPr>
              <w:t xml:space="preserve"> 日</w:t>
            </w:r>
          </w:p>
        </w:tc>
        <w:tc>
          <w:tcPr>
            <w:tcW w:w="1362" w:type="dxa"/>
            <w:gridSpan w:val="2"/>
            <w:tcBorders>
              <w:left w:val="single" w:color="auto" w:sz="4" w:space="0"/>
              <w:right w:val="single" w:color="auto" w:sz="4" w:space="0"/>
            </w:tcBorders>
            <w:noWrap w:val="0"/>
            <w:vAlign w:val="center"/>
          </w:tcPr>
          <w:p w14:paraId="20F859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Calibri" w:hAnsi="Calibri" w:eastAsia="仿宋_GB2312" w:cs="Times New Roman"/>
                <w:kern w:val="2"/>
                <w:sz w:val="32"/>
                <w:szCs w:val="24"/>
                <w:lang w:val="en-US" w:eastAsia="zh-CN" w:bidi="ar-SA"/>
              </w:rPr>
            </w:pPr>
            <w:r>
              <w:rPr>
                <w:rFonts w:hint="eastAsia" w:ascii="黑体" w:hAnsi="黑体" w:eastAsia="黑体" w:cs="黑体"/>
                <w:sz w:val="24"/>
                <w:szCs w:val="24"/>
                <w:lang w:val="en-US" w:eastAsia="zh-CN"/>
              </w:rPr>
              <w:t>市民政社会事务服务中心审核意见</w:t>
            </w:r>
          </w:p>
        </w:tc>
        <w:tc>
          <w:tcPr>
            <w:tcW w:w="3006" w:type="dxa"/>
            <w:gridSpan w:val="2"/>
            <w:tcBorders>
              <w:left w:val="single" w:color="auto" w:sz="4" w:space="0"/>
            </w:tcBorders>
            <w:noWrap w:val="0"/>
            <w:vAlign w:val="center"/>
          </w:tcPr>
          <w:p w14:paraId="5D005DD6">
            <w:pPr>
              <w:keepNext w:val="0"/>
              <w:keepLines w:val="0"/>
              <w:pageBreakBefore w:val="0"/>
              <w:widowControl/>
              <w:kinsoku w:val="0"/>
              <w:wordWrap/>
              <w:overflowPunct/>
              <w:topLinePunct w:val="0"/>
              <w:autoSpaceDE w:val="0"/>
              <w:autoSpaceDN w:val="0"/>
              <w:bidi w:val="0"/>
              <w:adjustRightInd w:val="0"/>
              <w:snapToGrid w:val="0"/>
              <w:spacing w:before="78" w:line="240" w:lineRule="auto"/>
              <w:ind w:firstLine="1832" w:firstLineChars="751"/>
              <w:jc w:val="left"/>
              <w:textAlignment w:val="baseline"/>
              <w:rPr>
                <w:rFonts w:hint="eastAsia" w:ascii="FangSong_GB2312" w:hAnsi="FangSong_GB2312" w:eastAsia="FangSong_GB2312" w:cs="FangSong_GB2312"/>
                <w:snapToGrid w:val="0"/>
                <w:color w:val="000000"/>
                <w:spacing w:val="-18"/>
                <w:kern w:val="0"/>
                <w:sz w:val="28"/>
                <w:szCs w:val="28"/>
                <w:lang w:val="en-US" w:eastAsia="zh-CN" w:bidi="ar-SA"/>
              </w:rPr>
            </w:pPr>
          </w:p>
          <w:p w14:paraId="750B0CC0">
            <w:pPr>
              <w:keepNext w:val="0"/>
              <w:keepLines w:val="0"/>
              <w:pageBreakBefore w:val="0"/>
              <w:widowControl/>
              <w:kinsoku w:val="0"/>
              <w:wordWrap/>
              <w:overflowPunct/>
              <w:topLinePunct w:val="0"/>
              <w:autoSpaceDE w:val="0"/>
              <w:autoSpaceDN w:val="0"/>
              <w:bidi w:val="0"/>
              <w:adjustRightInd w:val="0"/>
              <w:snapToGrid w:val="0"/>
              <w:spacing w:before="78" w:line="240" w:lineRule="auto"/>
              <w:ind w:firstLine="1832" w:firstLineChars="751"/>
              <w:jc w:val="left"/>
              <w:textAlignment w:val="baseline"/>
              <w:rPr>
                <w:rFonts w:hint="eastAsia" w:ascii="FangSong_GB2312" w:hAnsi="FangSong_GB2312" w:eastAsia="FangSong_GB2312" w:cs="FangSong_GB2312"/>
                <w:snapToGrid w:val="0"/>
                <w:color w:val="000000"/>
                <w:spacing w:val="-18"/>
                <w:kern w:val="0"/>
                <w:sz w:val="28"/>
                <w:szCs w:val="28"/>
                <w:lang w:val="en-US" w:eastAsia="zh-CN" w:bidi="ar-SA"/>
              </w:rPr>
            </w:pPr>
          </w:p>
          <w:p w14:paraId="25C95E62">
            <w:pPr>
              <w:keepNext w:val="0"/>
              <w:keepLines w:val="0"/>
              <w:pageBreakBefore w:val="0"/>
              <w:widowControl/>
              <w:kinsoku w:val="0"/>
              <w:wordWrap/>
              <w:overflowPunct/>
              <w:topLinePunct w:val="0"/>
              <w:autoSpaceDE w:val="0"/>
              <w:autoSpaceDN w:val="0"/>
              <w:bidi w:val="0"/>
              <w:adjustRightInd w:val="0"/>
              <w:snapToGrid w:val="0"/>
              <w:spacing w:before="78" w:line="240" w:lineRule="auto"/>
              <w:ind w:firstLine="1832" w:firstLineChars="751"/>
              <w:jc w:val="left"/>
              <w:textAlignment w:val="baseline"/>
              <w:rPr>
                <w:rFonts w:hint="eastAsia" w:ascii="FangSong_GB2312" w:hAnsi="FangSong_GB2312" w:eastAsia="FangSong_GB2312" w:cs="FangSong_GB2312"/>
                <w:snapToGrid w:val="0"/>
                <w:color w:val="000000"/>
                <w:spacing w:val="-18"/>
                <w:kern w:val="0"/>
                <w:sz w:val="28"/>
                <w:szCs w:val="28"/>
                <w:lang w:val="en-US" w:eastAsia="zh-CN" w:bidi="ar-SA"/>
              </w:rPr>
            </w:pPr>
          </w:p>
          <w:p w14:paraId="3C20FA4F">
            <w:pPr>
              <w:keepNext w:val="0"/>
              <w:keepLines w:val="0"/>
              <w:pageBreakBefore w:val="0"/>
              <w:widowControl/>
              <w:kinsoku w:val="0"/>
              <w:wordWrap/>
              <w:overflowPunct/>
              <w:topLinePunct w:val="0"/>
              <w:autoSpaceDE w:val="0"/>
              <w:autoSpaceDN w:val="0"/>
              <w:bidi w:val="0"/>
              <w:adjustRightInd w:val="0"/>
              <w:snapToGrid w:val="0"/>
              <w:spacing w:before="78" w:line="240" w:lineRule="auto"/>
              <w:ind w:firstLine="2040" w:firstLineChars="1000"/>
              <w:jc w:val="both"/>
              <w:textAlignment w:val="baseline"/>
              <w:rPr>
                <w:rFonts w:hint="eastAsia" w:ascii="仿宋_GB2312" w:hAnsi="仿宋_GB2312" w:eastAsia="仿宋_GB2312" w:cs="仿宋_GB2312"/>
                <w:snapToGrid w:val="0"/>
                <w:color w:val="000000"/>
                <w:spacing w:val="-18"/>
                <w:kern w:val="0"/>
                <w:sz w:val="24"/>
                <w:szCs w:val="24"/>
                <w:lang w:val="en-US" w:eastAsia="zh-CN" w:bidi="ar-SA"/>
              </w:rPr>
            </w:pPr>
            <w:r>
              <w:rPr>
                <w:rFonts w:hint="eastAsia" w:ascii="仿宋_GB2312" w:hAnsi="仿宋_GB2312" w:eastAsia="仿宋_GB2312" w:cs="仿宋_GB2312"/>
                <w:snapToGrid w:val="0"/>
                <w:color w:val="000000"/>
                <w:spacing w:val="-18"/>
                <w:kern w:val="0"/>
                <w:sz w:val="24"/>
                <w:szCs w:val="24"/>
                <w:lang w:val="en-US" w:eastAsia="zh-CN" w:bidi="ar-SA"/>
              </w:rPr>
              <w:t>盖章</w:t>
            </w:r>
          </w:p>
          <w:p w14:paraId="7488ABC0">
            <w:pPr>
              <w:keepNext w:val="0"/>
              <w:keepLines w:val="0"/>
              <w:pageBreakBefore w:val="0"/>
              <w:widowControl/>
              <w:kinsoku w:val="0"/>
              <w:wordWrap/>
              <w:overflowPunct/>
              <w:topLinePunct w:val="0"/>
              <w:autoSpaceDE w:val="0"/>
              <w:autoSpaceDN w:val="0"/>
              <w:bidi w:val="0"/>
              <w:adjustRightInd w:val="0"/>
              <w:snapToGrid w:val="0"/>
              <w:spacing w:before="78" w:line="240" w:lineRule="auto"/>
              <w:ind w:firstLine="1632" w:firstLineChars="800"/>
              <w:jc w:val="both"/>
              <w:textAlignment w:val="baseline"/>
              <w:rPr>
                <w:rFonts w:ascii="FangSong_GB2312" w:hAnsi="FangSong_GB2312" w:eastAsia="FangSong_GB2312" w:cs="FangSong_GB2312"/>
                <w:snapToGrid w:val="0"/>
                <w:color w:val="000000"/>
                <w:spacing w:val="-18"/>
                <w:kern w:val="0"/>
                <w:sz w:val="24"/>
                <w:szCs w:val="24"/>
                <w:lang w:val="en-US" w:eastAsia="en-US" w:bidi="ar-SA"/>
              </w:rPr>
            </w:pPr>
            <w:r>
              <w:rPr>
                <w:rFonts w:hint="eastAsia" w:ascii="仿宋_GB2312" w:hAnsi="仿宋_GB2312" w:eastAsia="仿宋_GB2312" w:cs="仿宋_GB2312"/>
                <w:snapToGrid w:val="0"/>
                <w:color w:val="000000"/>
                <w:spacing w:val="-18"/>
                <w:kern w:val="0"/>
                <w:sz w:val="24"/>
                <w:szCs w:val="24"/>
                <w:lang w:val="en-US" w:eastAsia="zh-CN" w:bidi="ar-SA"/>
              </w:rPr>
              <w:t>年</w:t>
            </w:r>
            <w:r>
              <w:rPr>
                <w:rFonts w:hint="eastAsia" w:ascii="仿宋_GB2312" w:hAnsi="仿宋_GB2312" w:cs="仿宋_GB2312"/>
                <w:snapToGrid w:val="0"/>
                <w:color w:val="000000"/>
                <w:spacing w:val="-18"/>
                <w:kern w:val="0"/>
                <w:sz w:val="24"/>
                <w:szCs w:val="24"/>
                <w:lang w:val="en-US" w:eastAsia="zh-CN" w:bidi="ar-SA"/>
              </w:rPr>
              <w:t xml:space="preserve"> </w:t>
            </w:r>
            <w:r>
              <w:rPr>
                <w:rFonts w:hint="eastAsia" w:ascii="仿宋_GB2312" w:hAnsi="仿宋_GB2312" w:eastAsia="仿宋_GB2312" w:cs="仿宋_GB2312"/>
                <w:snapToGrid w:val="0"/>
                <w:color w:val="000000"/>
                <w:spacing w:val="-18"/>
                <w:kern w:val="0"/>
                <w:sz w:val="24"/>
                <w:szCs w:val="24"/>
                <w:lang w:val="en-US" w:eastAsia="zh-CN" w:bidi="ar-SA"/>
              </w:rPr>
              <w:t xml:space="preserve">   月  </w:t>
            </w:r>
            <w:r>
              <w:rPr>
                <w:rFonts w:hint="eastAsia" w:ascii="仿宋_GB2312" w:hAnsi="仿宋_GB2312" w:cs="仿宋_GB2312"/>
                <w:snapToGrid w:val="0"/>
                <w:color w:val="000000"/>
                <w:spacing w:val="-18"/>
                <w:kern w:val="0"/>
                <w:sz w:val="24"/>
                <w:szCs w:val="24"/>
                <w:lang w:val="en-US" w:eastAsia="zh-CN" w:bidi="ar-SA"/>
              </w:rPr>
              <w:t xml:space="preserve"> </w:t>
            </w:r>
            <w:r>
              <w:rPr>
                <w:rFonts w:hint="eastAsia" w:ascii="仿宋_GB2312" w:hAnsi="仿宋_GB2312" w:eastAsia="仿宋_GB2312" w:cs="仿宋_GB2312"/>
                <w:snapToGrid w:val="0"/>
                <w:color w:val="000000"/>
                <w:spacing w:val="-18"/>
                <w:kern w:val="0"/>
                <w:sz w:val="24"/>
                <w:szCs w:val="24"/>
                <w:lang w:val="en-US" w:eastAsia="zh-CN" w:bidi="ar-SA"/>
              </w:rPr>
              <w:t xml:space="preserve"> 日</w:t>
            </w:r>
          </w:p>
        </w:tc>
      </w:tr>
    </w:tbl>
    <w:p w14:paraId="02A95CFC">
      <w:pPr>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lang w:val="en-US" w:eastAsia="zh-CN"/>
        </w:rPr>
        <w:br w:type="page"/>
      </w:r>
    </w:p>
    <w:p w14:paraId="1831ED81">
      <w:pPr>
        <w:keepNext w:val="0"/>
        <w:keepLines w:val="0"/>
        <w:pageBreakBefore w:val="0"/>
        <w:widowControl w:val="0"/>
        <w:numPr>
          <w:ilvl w:val="0"/>
          <w:numId w:val="0"/>
        </w:numPr>
        <w:kinsoku/>
        <w:wordWrap/>
        <w:overflowPunct/>
        <w:topLinePunct/>
        <w:autoSpaceDE/>
        <w:autoSpaceDN/>
        <w:bidi w:val="0"/>
        <w:adjustRightInd/>
        <w:snapToGrid/>
        <w:spacing w:line="600" w:lineRule="exact"/>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说明：1.本表一式2份，市民政社会事务服务中心和节地生态安葬定点公墓各存1份。</w:t>
      </w:r>
    </w:p>
    <w:p w14:paraId="0BBB3234">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2.安葬方式：树葬、花坛葬、草坪葬（根据实际情况选填）。</w:t>
      </w:r>
    </w:p>
    <w:p w14:paraId="08D1545C">
      <w:pPr>
        <w:keepNext w:val="0"/>
        <w:keepLines w:val="0"/>
        <w:pageBreakBefore w:val="0"/>
        <w:widowControl w:val="0"/>
        <w:numPr>
          <w:ilvl w:val="0"/>
          <w:numId w:val="0"/>
        </w:numPr>
        <w:kinsoku/>
        <w:wordWrap/>
        <w:overflowPunct/>
        <w:topLinePunct/>
        <w:autoSpaceDE/>
        <w:autoSpaceDN/>
        <w:bidi w:val="0"/>
        <w:adjustRightInd/>
        <w:snapToGrid/>
        <w:spacing w:line="600" w:lineRule="exact"/>
        <w:ind w:firstLine="640" w:firstLineChars="200"/>
        <w:jc w:val="both"/>
        <w:textAlignment w:val="auto"/>
        <w:rPr>
          <w:rFonts w:hint="eastAsia" w:ascii="Times New Roman" w:hAnsi="Times New Roman" w:eastAsia="仿宋_GB2312" w:cs="仿宋_GB2312"/>
          <w:color w:val="auto"/>
          <w:sz w:val="32"/>
          <w:szCs w:val="32"/>
          <w:lang w:eastAsia="zh-CN"/>
        </w:rPr>
      </w:pPr>
    </w:p>
    <w:p w14:paraId="01E307ED">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方正书宋简体" w:hAnsi="方正书宋简体" w:eastAsia="仿宋_GB2312"/>
          <w:color w:val="000000"/>
          <w:sz w:val="31"/>
          <w:szCs w:val="31"/>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NEU-BZ">
    <w:altName w:val="华文仿宋"/>
    <w:panose1 w:val="02010600010101010101"/>
    <w:charset w:val="86"/>
    <w:family w:val="auto"/>
    <w:pitch w:val="default"/>
    <w:sig w:usb0="00000000" w:usb1="00000000"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书宋简体">
    <w:altName w:val="方正书宋_GBK"/>
    <w:panose1 w:val="02010601030101010101"/>
    <w:charset w:val="86"/>
    <w:family w:val="script"/>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FangSong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69805">
    <w:pPr>
      <w:pStyle w:val="6"/>
      <w:ind w:left="5016"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B5AB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EFB5AB4">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3929B6A5">
    <w:pPr>
      <w:pStyle w:val="6"/>
      <w:wordWrap w:val="0"/>
      <w:ind w:left="895" w:leftChars="407" w:firstLine="10518" w:firstLineChars="3287"/>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ascii="宋体" w:hAnsi="宋体" w:cs="宋体"/>
        <w:b/>
        <w:bCs/>
        <w:color w:val="005192"/>
        <w:sz w:val="28"/>
        <w:szCs w:val="44"/>
        <w:lang w:val="en-US" w:eastAsia="zh-CN"/>
      </w:rPr>
      <w:t>洛洛阳市民政局</w:t>
    </w:r>
    <w:r>
      <w:rPr>
        <w:rFonts w:hint="eastAsia" w:ascii="宋体" w:hAnsi="宋体" w:eastAsia="宋体" w:cs="宋体"/>
        <w:b/>
        <w:bCs/>
        <w:color w:val="005192"/>
        <w:sz w:val="28"/>
        <w:szCs w:val="44"/>
        <w:lang w:val="en-US" w:eastAsia="zh-CN"/>
      </w:rPr>
      <w:t xml:space="preserve">发布    </w:t>
    </w:r>
  </w:p>
  <w:p w14:paraId="6E013B31">
    <w:pPr>
      <w:pStyle w:val="6"/>
      <w:wordWrap w:val="0"/>
      <w:ind w:left="5016"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A62AA">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14:paraId="09F1DEDC">
    <w:pPr>
      <w:pStyle w:val="6"/>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cs="宋体"/>
        <w:b/>
        <w:bCs/>
        <w:color w:val="005192"/>
        <w:sz w:val="32"/>
        <w:lang w:eastAsia="zh-CN"/>
      </w:rPr>
      <w:t>洛阳市民政</w:t>
    </w:r>
    <w:r>
      <w:rPr>
        <w:rFonts w:hint="eastAsia" w:ascii="宋体" w:hAnsi="宋体" w:cs="宋体"/>
        <w:b/>
        <w:bCs/>
        <w:color w:val="005192"/>
        <w:sz w:val="32"/>
        <w:szCs w:val="32"/>
        <w:lang w:val="en-US" w:eastAsia="zh-CN"/>
      </w:rPr>
      <w:t>局行政规范性文件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iZTQyZTY1N2IwODA3ZTNhNjc4NTExMTAzNzdhYjkifQ=="/>
  </w:docVars>
  <w:rsids>
    <w:rsidRoot w:val="7C9011D9"/>
    <w:rsid w:val="019E71BD"/>
    <w:rsid w:val="05440955"/>
    <w:rsid w:val="066E5641"/>
    <w:rsid w:val="06A67E67"/>
    <w:rsid w:val="080F63D8"/>
    <w:rsid w:val="09006E92"/>
    <w:rsid w:val="09341458"/>
    <w:rsid w:val="09553C02"/>
    <w:rsid w:val="0CE65B2C"/>
    <w:rsid w:val="0D5C5CF8"/>
    <w:rsid w:val="0ED818A4"/>
    <w:rsid w:val="101F0538"/>
    <w:rsid w:val="10254BD6"/>
    <w:rsid w:val="129E7932"/>
    <w:rsid w:val="13A23C39"/>
    <w:rsid w:val="152D2DCA"/>
    <w:rsid w:val="1C86388D"/>
    <w:rsid w:val="1E466CFF"/>
    <w:rsid w:val="22440422"/>
    <w:rsid w:val="23F13B42"/>
    <w:rsid w:val="287C616C"/>
    <w:rsid w:val="2FCE575A"/>
    <w:rsid w:val="2FFC7EDE"/>
    <w:rsid w:val="31A15F24"/>
    <w:rsid w:val="39A232A0"/>
    <w:rsid w:val="3A1C636B"/>
    <w:rsid w:val="3B5A6BBB"/>
    <w:rsid w:val="3BE16DE7"/>
    <w:rsid w:val="3E0E7999"/>
    <w:rsid w:val="3EDA13A6"/>
    <w:rsid w:val="3F5730EA"/>
    <w:rsid w:val="3FF39F44"/>
    <w:rsid w:val="3FF78062"/>
    <w:rsid w:val="3FF9D5BA"/>
    <w:rsid w:val="42F058B7"/>
    <w:rsid w:val="436109F6"/>
    <w:rsid w:val="441A38D4"/>
    <w:rsid w:val="474E2EF2"/>
    <w:rsid w:val="49B91357"/>
    <w:rsid w:val="4AEC52E8"/>
    <w:rsid w:val="4BC77339"/>
    <w:rsid w:val="4C9236C5"/>
    <w:rsid w:val="4E2A37E2"/>
    <w:rsid w:val="50414CBD"/>
    <w:rsid w:val="51E247E8"/>
    <w:rsid w:val="526F08CC"/>
    <w:rsid w:val="52F46F0B"/>
    <w:rsid w:val="55274B4C"/>
    <w:rsid w:val="55E064E0"/>
    <w:rsid w:val="5A4F3EF9"/>
    <w:rsid w:val="5D0D7ECB"/>
    <w:rsid w:val="608816D1"/>
    <w:rsid w:val="69D03F98"/>
    <w:rsid w:val="6A7F4576"/>
    <w:rsid w:val="6BF75DB0"/>
    <w:rsid w:val="6D0E3F22"/>
    <w:rsid w:val="6DEDCACC"/>
    <w:rsid w:val="6FFDAB0D"/>
    <w:rsid w:val="70AF1C83"/>
    <w:rsid w:val="714A2531"/>
    <w:rsid w:val="71C61E01"/>
    <w:rsid w:val="71E9213F"/>
    <w:rsid w:val="75AA717D"/>
    <w:rsid w:val="769D2EAA"/>
    <w:rsid w:val="7C9011D9"/>
    <w:rsid w:val="7CFB3184"/>
    <w:rsid w:val="7D963550"/>
    <w:rsid w:val="7DC651C5"/>
    <w:rsid w:val="7DFBC28B"/>
    <w:rsid w:val="7FCFD07A"/>
    <w:rsid w:val="7FED60B9"/>
    <w:rsid w:val="9A6F095D"/>
    <w:rsid w:val="AF7F4B14"/>
    <w:rsid w:val="D5F6BFC8"/>
    <w:rsid w:val="D6DD9B99"/>
    <w:rsid w:val="DACF7BFF"/>
    <w:rsid w:val="DBF4C527"/>
    <w:rsid w:val="DD9D4FD5"/>
    <w:rsid w:val="DEFF1FC4"/>
    <w:rsid w:val="EFF6FB22"/>
    <w:rsid w:val="F5F718B9"/>
    <w:rsid w:val="F7CE0210"/>
    <w:rsid w:val="FDB75BAD"/>
    <w:rsid w:val="FFDA27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NEU-BZ" w:eastAsia="宋体" w:cs="Times New Roman"/>
      <w:sz w:val="22"/>
      <w:szCs w:val="22"/>
      <w:lang w:val="en-US" w:eastAsia="zh-CN" w:bidi="ar-SA"/>
    </w:rPr>
  </w:style>
  <w:style w:type="paragraph" w:styleId="2">
    <w:name w:val="heading 2"/>
    <w:basedOn w:val="1"/>
    <w:next w:val="1"/>
    <w:qFormat/>
    <w:uiPriority w:val="0"/>
    <w:pPr>
      <w:keepNext/>
      <w:keepLines/>
      <w:spacing w:before="100" w:beforeLines="100" w:after="100" w:afterLines="100" w:line="600" w:lineRule="exact"/>
      <w:jc w:val="center"/>
      <w:outlineLvl w:val="1"/>
    </w:pPr>
    <w:rPr>
      <w:rFonts w:ascii="黑体" w:hAnsi="Arial" w:eastAsia="黑体"/>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jc w:val="center"/>
    </w:pPr>
    <w:rPr>
      <w:rFonts w:eastAsia="宋体"/>
      <w:sz w:val="44"/>
      <w:szCs w:val="20"/>
    </w:rPr>
  </w:style>
  <w:style w:type="paragraph" w:styleId="4">
    <w:name w:val="Plain Text"/>
    <w:basedOn w:val="1"/>
    <w:qFormat/>
    <w:uiPriority w:val="99"/>
    <w:rPr>
      <w:rFonts w:ascii="宋体" w:hAnsi="宋体" w:eastAsia="宋体" w:cs="宋体"/>
      <w:sz w:val="21"/>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page number"/>
    <w:basedOn w:val="9"/>
    <w:qFormat/>
    <w:uiPriority w:val="0"/>
  </w:style>
  <w:style w:type="paragraph" w:customStyle="1" w:styleId="11">
    <w:name w:val="15.5正文（仿宋GB）"/>
    <w:basedOn w:val="1"/>
    <w:qFormat/>
    <w:uiPriority w:val="0"/>
    <w:pPr>
      <w:ind w:firstLine="200" w:firstLineChars="200"/>
    </w:pPr>
    <w:rPr>
      <w:rFonts w:ascii="方正书宋简体" w:hAnsi="方正书宋简体" w:eastAsia="仿宋_GB2312"/>
      <w:color w:val="000000"/>
      <w:sz w:val="31"/>
      <w:szCs w:val="31"/>
    </w:rPr>
  </w:style>
  <w:style w:type="paragraph" w:customStyle="1" w:styleId="12">
    <w:name w:val="一级标题（二号小标宋）"/>
    <w:basedOn w:val="1"/>
    <w:link w:val="15"/>
    <w:qFormat/>
    <w:uiPriority w:val="0"/>
    <w:pPr>
      <w:jc w:val="center"/>
    </w:pPr>
    <w:rPr>
      <w:rFonts w:ascii="方正书宋简体" w:hAnsi="方正书宋简体" w:eastAsia="方正小标宋_GBK"/>
      <w:color w:val="000000"/>
      <w:sz w:val="42"/>
      <w:szCs w:val="42"/>
    </w:rPr>
  </w:style>
  <w:style w:type="paragraph" w:customStyle="1" w:styleId="13">
    <w:name w:val="15.5楷体（标题下楷体）"/>
    <w:basedOn w:val="1"/>
    <w:qFormat/>
    <w:uiPriority w:val="0"/>
    <w:pPr>
      <w:spacing w:before="105"/>
      <w:ind w:firstLine="200" w:firstLineChars="200"/>
      <w:jc w:val="center"/>
    </w:pPr>
    <w:rPr>
      <w:rFonts w:ascii="方正书宋简体" w:hAnsi="方正书宋简体" w:eastAsia="楷体_GB2312"/>
      <w:color w:val="000000"/>
      <w:sz w:val="31"/>
      <w:szCs w:val="31"/>
    </w:rPr>
  </w:style>
  <w:style w:type="paragraph" w:customStyle="1" w:styleId="14">
    <w:name w:val="样式3"/>
    <w:basedOn w:val="1"/>
    <w:qFormat/>
    <w:uiPriority w:val="0"/>
    <w:pPr>
      <w:widowControl w:val="0"/>
      <w:adjustRightInd w:val="0"/>
      <w:snapToGrid w:val="0"/>
      <w:spacing w:before="100" w:beforeLines="100" w:after="100" w:afterLines="100" w:line="600" w:lineRule="exact"/>
      <w:jc w:val="center"/>
    </w:pPr>
    <w:rPr>
      <w:rFonts w:ascii="方正书宋简体" w:hAnsi="方正书宋简体" w:eastAsia="楷体_GB2312"/>
      <w:color w:val="000000"/>
      <w:sz w:val="31"/>
      <w:szCs w:val="31"/>
    </w:rPr>
  </w:style>
  <w:style w:type="character" w:customStyle="1" w:styleId="15">
    <w:name w:val="一级标题（二号小标宋） Char"/>
    <w:basedOn w:val="9"/>
    <w:link w:val="12"/>
    <w:qFormat/>
    <w:uiPriority w:val="0"/>
    <w:rPr>
      <w:rFonts w:ascii="方正书宋简体" w:hAnsi="方正书宋简体" w:eastAsia="方正小标宋_GBK"/>
      <w:color w:val="000000"/>
      <w:sz w:val="42"/>
      <w:szCs w:val="42"/>
    </w:rPr>
  </w:style>
  <w:style w:type="table" w:customStyle="1" w:styleId="1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2720</Words>
  <Characters>2724</Characters>
  <Lines>0</Lines>
  <Paragraphs>0</Paragraphs>
  <TotalTime>0</TotalTime>
  <ScaleCrop>false</ScaleCrop>
  <LinksUpToDate>false</LinksUpToDate>
  <CharactersWithSpaces>2816</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2021-09-13T02:41:00Z</dcterms:created>
  <dc:creator>t</dc:creator>
  <cp:lastModifiedBy>仰山雪</cp:lastModifiedBy>
  <cp:lastPrinted>2024-03-20T11:33:00Z</cp:lastPrinted>
  <dcterms:modified xsi:type="dcterms:W3CDTF">2025-06-25T11:26:36Z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B2730C3DE4B44101801484FFB4A50383</vt:lpwstr>
  </property>
</Properties>
</file>