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wordWrap w:val="0"/>
        <w:overflowPunct w:val="0"/>
        <w:topLinePunct/>
        <w:spacing w:after="0" w:line="60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w:t>
      </w:r>
      <w:bookmarkStart w:id="0" w:name="_Hlk196603934"/>
      <w:r>
        <w:rPr>
          <w:rFonts w:hint="eastAsia" w:ascii="方正小标宋简体" w:hAnsi="方正小标宋简体" w:eastAsia="方正小标宋简体" w:cs="方正小标宋简体"/>
          <w:b w:val="0"/>
          <w:bCs w:val="0"/>
          <w:sz w:val="44"/>
          <w:szCs w:val="44"/>
        </w:rPr>
        <w:t>洛阳市社区体育公园管理运营办法</w:t>
      </w:r>
      <w:bookmarkEnd w:id="0"/>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eastAsia="zh-CN"/>
        </w:rPr>
        <w:t>征求意见稿</w:t>
      </w:r>
      <w:r>
        <w:rPr>
          <w:rFonts w:hint="eastAsia"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eastAsia="zh-CN"/>
        </w:rPr>
        <w:t>解读</w:t>
      </w:r>
    </w:p>
    <w:p>
      <w:pPr>
        <w:shd w:val="clear"/>
        <w:wordWrap w:val="0"/>
        <w:overflowPunct w:val="0"/>
        <w:topLinePunct/>
        <w:spacing w:line="600" w:lineRule="exact"/>
        <w:jc w:val="center"/>
        <w:rPr>
          <w:rFonts w:ascii="Times New Roman" w:hAnsi="Times New Roman" w:eastAsia="仿宋_GB2312" w:cs="Times New Roman"/>
          <w:color w:val="000000"/>
          <w:sz w:val="32"/>
          <w:szCs w:val="32"/>
        </w:rPr>
      </w:pPr>
      <w:r>
        <w:rPr>
          <w:rFonts w:hint="eastAsia" w:ascii="Times New Roman" w:hAnsi="Times New Roman" w:eastAsia="楷体_GB2312" w:cs="Times New Roman"/>
          <w:sz w:val="32"/>
          <w:szCs w:val="32"/>
          <w:lang w:eastAsia="zh-CN"/>
        </w:rPr>
        <w:t>洛阳</w:t>
      </w:r>
      <w:r>
        <w:rPr>
          <w:rFonts w:ascii="Times New Roman" w:hAnsi="Times New Roman" w:eastAsia="楷体_GB2312" w:cs="Times New Roman"/>
          <w:sz w:val="32"/>
          <w:szCs w:val="32"/>
        </w:rPr>
        <w:t>市体育局</w:t>
      </w:r>
    </w:p>
    <w:p>
      <w:pPr>
        <w:pStyle w:val="5"/>
        <w:shd w:val="clear"/>
        <w:wordWrap w:val="0"/>
        <w:overflowPunct w:val="0"/>
        <w:topLinePunct/>
        <w:spacing w:beforeAutospacing="0" w:after="0" w:afterAutospacing="0" w:line="600" w:lineRule="exact"/>
        <w:ind w:firstLine="640" w:firstLineChars="200"/>
        <w:rPr>
          <w:rFonts w:ascii="Times New Roman" w:hAnsi="Times New Roman" w:eastAsia="仿宋_GB2312"/>
          <w:color w:val="000000"/>
          <w:kern w:val="2"/>
          <w:sz w:val="32"/>
          <w:szCs w:val="32"/>
        </w:rPr>
      </w:pPr>
    </w:p>
    <w:p>
      <w:pPr>
        <w:shd w:val="clear"/>
        <w:wordWrap w:val="0"/>
        <w:overflowPunct w:val="0"/>
        <w:topLinePunct/>
        <w:spacing w:after="0" w:line="600" w:lineRule="exact"/>
        <w:ind w:left="841" w:leftChars="338" w:hanging="131" w:hangingChars="41"/>
        <w:jc w:val="left"/>
        <w:rPr>
          <w:rFonts w:ascii="Times New Roman" w:hAnsi="Times New Roman" w:eastAsia="黑体" w:cs="Times New Roman"/>
          <w:sz w:val="32"/>
          <w:szCs w:val="32"/>
        </w:rPr>
      </w:pPr>
      <w:r>
        <w:rPr>
          <w:rFonts w:ascii="Times New Roman" w:hAnsi="Times New Roman" w:eastAsia="黑体" w:cs="Times New Roman"/>
          <w:sz w:val="32"/>
          <w:szCs w:val="32"/>
        </w:rPr>
        <w:t>一、起草背景</w:t>
      </w:r>
    </w:p>
    <w:p>
      <w:pPr>
        <w:shd w:val="clear"/>
        <w:wordWrap w:val="0"/>
        <w:overflowPunct w:val="0"/>
        <w:topLinePunct/>
        <w:spacing w:after="0" w:line="600" w:lineRule="exact"/>
        <w:ind w:firstLine="640"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我市获得国家首批全民运动健身模范市荣誉称号后，大力推进社区体育公园建设，目前已取得一定成果，但社区体育公园的管理和运营工作尚缺乏统一的政策依据。为进一</w:t>
      </w:r>
      <w:bookmarkStart w:id="1" w:name="_GoBack"/>
      <w:bookmarkEnd w:id="1"/>
      <w:r>
        <w:rPr>
          <w:rFonts w:ascii="Times New Roman" w:hAnsi="Times New Roman" w:eastAsia="仿宋_GB2312" w:cs="Times New Roman"/>
          <w:color w:val="000000"/>
          <w:sz w:val="32"/>
          <w:szCs w:val="32"/>
        </w:rPr>
        <w:t>步规范全市社区体育公园的管理、运营工作，依据洛阳市人民政府《关于加快推进社区体育公园建设的意见》、市委深改委办公室《关于印发公共服务进社区工作方案的通知》、市体育局和市财政局联合印发的《洛阳市社区体育公园健身中心运营考核奖补资金管理办法》、市规划局制定的《洛阳市社区体育公园规划建设导则》等文件，结合《中华人民共和国体育法》</w:t>
      </w:r>
      <w:r>
        <w:rPr>
          <w:rFonts w:ascii="Times New Roman" w:hAnsi="Times New Roman" w:eastAsia="仿宋_GB2312" w:cs="Times New Roman"/>
          <w:sz w:val="32"/>
          <w:szCs w:val="32"/>
        </w:rPr>
        <w:t>《公共文化体育设施条例》</w:t>
      </w:r>
      <w:r>
        <w:rPr>
          <w:rFonts w:ascii="Times New Roman" w:hAnsi="Times New Roman" w:eastAsia="仿宋_GB2312" w:cs="Times New Roman"/>
          <w:color w:val="000000"/>
          <w:sz w:val="32"/>
          <w:szCs w:val="32"/>
        </w:rPr>
        <w:t>《全民健身条例》</w:t>
      </w:r>
      <w:r>
        <w:rPr>
          <w:rFonts w:ascii="Times New Roman" w:hAnsi="Times New Roman" w:eastAsia="仿宋_GB2312" w:cs="Times New Roman"/>
          <w:sz w:val="32"/>
          <w:szCs w:val="32"/>
        </w:rPr>
        <w:t>《关于推进体育公园建设的指导意见》</w:t>
      </w:r>
      <w:r>
        <w:rPr>
          <w:rFonts w:ascii="Times New Roman" w:hAnsi="Times New Roman" w:eastAsia="仿宋_GB2312" w:cs="Times New Roman"/>
          <w:color w:val="000000"/>
          <w:sz w:val="32"/>
          <w:szCs w:val="32"/>
        </w:rPr>
        <w:t>等国家法律法规及相关文件要求，结合我市实际情况，我局起草了《洛阳市社区体育公园管理运营办法》。</w:t>
      </w:r>
    </w:p>
    <w:p>
      <w:pPr>
        <w:shd w:val="clear" w:color="auto"/>
        <w:wordWrap w:val="0"/>
        <w:overflowPunct w:val="0"/>
        <w:topLinePunct/>
        <w:spacing w:after="0" w:line="600" w:lineRule="exact"/>
        <w:ind w:firstLine="645"/>
        <w:rPr>
          <w:rFonts w:ascii="Times New Roman" w:hAnsi="Times New Roman" w:eastAsia="黑体" w:cs="Times New Roman"/>
          <w:sz w:val="32"/>
          <w:szCs w:val="32"/>
        </w:rPr>
      </w:pPr>
      <w:r>
        <w:rPr>
          <w:rFonts w:ascii="Times New Roman" w:hAnsi="Times New Roman" w:eastAsia="黑体" w:cs="Times New Roman"/>
          <w:sz w:val="32"/>
          <w:szCs w:val="32"/>
        </w:rPr>
        <w:t>二、主要内容</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color w:val="000000"/>
          <w:kern w:val="2"/>
          <w:sz w:val="32"/>
          <w:szCs w:val="32"/>
        </w:rPr>
      </w:pPr>
      <w:r>
        <w:rPr>
          <w:rFonts w:ascii="Times New Roman" w:hAnsi="Times New Roman" w:eastAsia="仿宋_GB2312"/>
          <w:color w:val="000000"/>
          <w:sz w:val="32"/>
          <w:szCs w:val="32"/>
        </w:rPr>
        <w:t>《管理运营办法》共6章30条，</w:t>
      </w:r>
      <w:r>
        <w:rPr>
          <w:rFonts w:ascii="Times New Roman" w:hAnsi="Times New Roman" w:eastAsia="仿宋_GB2312"/>
          <w:color w:val="000000"/>
          <w:kern w:val="2"/>
          <w:sz w:val="32"/>
          <w:szCs w:val="32"/>
        </w:rPr>
        <w:t>主要包括总则、监管职责、社区体育公园管理、社区体育公园运营、法律责任、附则等内容，对政府有关部门履行社区体育公园监管的职责、社区体育公园管理单位和运营单位的职责及相关法律责任分别进行了明确。</w:t>
      </w:r>
    </w:p>
    <w:p>
      <w:pPr>
        <w:shd w:val="clear" w:color="auto"/>
        <w:wordWrap w:val="0"/>
        <w:overflowPunct w:val="0"/>
        <w:topLinePunct/>
        <w:spacing w:after="0" w:line="600" w:lineRule="exact"/>
        <w:ind w:firstLine="640" w:firstLineChars="200"/>
        <w:jc w:val="left"/>
        <w:rPr>
          <w:rFonts w:ascii="Times New Roman" w:hAnsi="Times New Roman" w:eastAsia="黑体" w:cs="Times New Roman"/>
          <w:color w:val="000000"/>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w:t>
      </w:r>
      <w:r>
        <w:rPr>
          <w:rFonts w:hint="eastAsia" w:ascii="Times New Roman" w:hAnsi="Times New Roman" w:eastAsia="黑体" w:cs="Times New Roman"/>
          <w:sz w:val="32"/>
          <w:szCs w:val="32"/>
        </w:rPr>
        <w:t>目的意义</w:t>
      </w:r>
    </w:p>
    <w:p>
      <w:pPr>
        <w:shd w:val="clear" w:color="auto"/>
        <w:wordWrap w:val="0"/>
        <w:overflowPunct w:val="0"/>
        <w:topLinePunct/>
        <w:spacing w:after="0" w:line="600" w:lineRule="exact"/>
        <w:ind w:firstLine="642" w:firstLineChars="200"/>
        <w:jc w:val="left"/>
        <w:rPr>
          <w:rFonts w:ascii="Times New Roman" w:hAnsi="Times New Roman" w:eastAsia="仿宋_GB2312" w:cs="Times New Roman"/>
          <w:color w:val="000000"/>
          <w:sz w:val="32"/>
          <w:szCs w:val="32"/>
        </w:rPr>
      </w:pPr>
      <w:r>
        <w:rPr>
          <w:rFonts w:ascii="Times New Roman" w:hAnsi="Times New Roman" w:eastAsia="仿宋_GB2312" w:cs="Times New Roman"/>
          <w:b/>
          <w:bCs/>
          <w:color w:val="000000"/>
          <w:sz w:val="32"/>
          <w:szCs w:val="32"/>
        </w:rPr>
        <w:t>一是</w:t>
      </w:r>
      <w:r>
        <w:rPr>
          <w:rFonts w:hint="eastAsia" w:ascii="Times New Roman" w:hAnsi="Times New Roman" w:eastAsia="仿宋_GB2312" w:cs="Times New Roman"/>
          <w:color w:val="000000"/>
          <w:sz w:val="32"/>
          <w:szCs w:val="32"/>
        </w:rPr>
        <w:t>坚持依法依规。</w:t>
      </w:r>
      <w:r>
        <w:rPr>
          <w:rFonts w:ascii="Times New Roman" w:hAnsi="Times New Roman" w:eastAsia="仿宋_GB2312" w:cs="Times New Roman"/>
          <w:color w:val="000000"/>
          <w:sz w:val="32"/>
          <w:szCs w:val="32"/>
        </w:rPr>
        <w:t>在充分结合我市社区体育公园顶层设计文件的基础上，根据《中华人民共和国体育法》《全民健身条例》《</w:t>
      </w:r>
      <w:r>
        <w:rPr>
          <w:rFonts w:ascii="Times New Roman" w:hAnsi="Times New Roman" w:eastAsia="仿宋_GB2312" w:cs="Times New Roman"/>
          <w:sz w:val="32"/>
          <w:szCs w:val="32"/>
        </w:rPr>
        <w:t>关于推进体育公园建设的指导意见</w:t>
      </w:r>
      <w:r>
        <w:rPr>
          <w:rFonts w:ascii="Times New Roman" w:hAnsi="Times New Roman" w:eastAsia="仿宋_GB2312" w:cs="Times New Roman"/>
          <w:color w:val="000000"/>
          <w:sz w:val="32"/>
          <w:szCs w:val="32"/>
        </w:rPr>
        <w:t>》（发改社会〔2021〕1497号）等系列法律、法规及政策进行科学编制</w:t>
      </w:r>
      <w:r>
        <w:rPr>
          <w:rFonts w:hint="eastAsia" w:ascii="Times New Roman" w:hAnsi="Times New Roman" w:eastAsia="仿宋_GB2312" w:cs="Times New Roman"/>
          <w:color w:val="000000"/>
          <w:sz w:val="32"/>
          <w:szCs w:val="32"/>
        </w:rPr>
        <w:t>，使体育公园的管理有法可依</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b/>
          <w:bCs/>
          <w:color w:val="000000"/>
          <w:sz w:val="32"/>
          <w:szCs w:val="32"/>
        </w:rPr>
        <w:t>二是</w:t>
      </w:r>
      <w:r>
        <w:rPr>
          <w:rFonts w:hint="eastAsia" w:ascii="Times New Roman" w:hAnsi="Times New Roman" w:eastAsia="仿宋_GB2312" w:cs="Times New Roman"/>
          <w:color w:val="000000"/>
          <w:sz w:val="32"/>
          <w:szCs w:val="32"/>
        </w:rPr>
        <w:t>明确监管职责。《办法》结合体育公园在管理运营方面的实践，从监督、管理、运营方面明确了市直机关单位监管责任，辖区政府的属地责任，投资建设单位的主体责任，运营单位的管理及社会责任，形成边界清晰、权责利益统一的管理体制。</w:t>
      </w:r>
      <w:r>
        <w:rPr>
          <w:rFonts w:hint="eastAsia" w:ascii="Times New Roman" w:hAnsi="Times New Roman" w:eastAsia="仿宋_GB2312" w:cs="Times New Roman"/>
          <w:b/>
          <w:bCs/>
          <w:color w:val="000000"/>
          <w:sz w:val="32"/>
          <w:szCs w:val="32"/>
        </w:rPr>
        <w:t>三</w:t>
      </w:r>
      <w:r>
        <w:rPr>
          <w:rFonts w:ascii="Times New Roman" w:hAnsi="Times New Roman" w:eastAsia="仿宋_GB2312" w:cs="Times New Roman"/>
          <w:b/>
          <w:bCs/>
          <w:color w:val="000000"/>
          <w:sz w:val="32"/>
          <w:szCs w:val="32"/>
        </w:rPr>
        <w:t>是</w:t>
      </w:r>
      <w:r>
        <w:rPr>
          <w:rFonts w:hint="eastAsia" w:ascii="Times New Roman" w:hAnsi="Times New Roman" w:eastAsia="仿宋_GB2312" w:cs="Times New Roman"/>
          <w:color w:val="000000"/>
          <w:sz w:val="32"/>
          <w:szCs w:val="32"/>
        </w:rPr>
        <w:t>突出</w:t>
      </w:r>
      <w:r>
        <w:rPr>
          <w:rFonts w:ascii="Times New Roman" w:hAnsi="Times New Roman" w:eastAsia="仿宋_GB2312" w:cs="Times New Roman"/>
          <w:color w:val="000000"/>
          <w:sz w:val="32"/>
          <w:szCs w:val="32"/>
        </w:rPr>
        <w:t>以人为本</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《办法》以满足和保障社区居民体育健身需求为出发点，优先保障社区体育公园的公益属性，在此基础上，通过个性化服务和增值服务拓宽服务群众的维度</w:t>
      </w:r>
      <w:r>
        <w:rPr>
          <w:rFonts w:hint="eastAsia" w:ascii="Times New Roman" w:hAnsi="Times New Roman" w:eastAsia="仿宋_GB2312" w:cs="Times New Roman"/>
          <w:color w:val="000000"/>
          <w:sz w:val="32"/>
          <w:szCs w:val="32"/>
        </w:rPr>
        <w:t>，更好的满足人民日益增长的对健身生活的需求</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b/>
          <w:bCs/>
          <w:color w:val="000000"/>
          <w:sz w:val="32"/>
          <w:szCs w:val="32"/>
        </w:rPr>
        <w:t>四</w:t>
      </w:r>
      <w:r>
        <w:rPr>
          <w:rFonts w:ascii="Times New Roman" w:hAnsi="Times New Roman" w:eastAsia="仿宋_GB2312" w:cs="Times New Roman"/>
          <w:b/>
          <w:bCs/>
          <w:color w:val="000000"/>
          <w:sz w:val="32"/>
          <w:szCs w:val="32"/>
        </w:rPr>
        <w:t>是</w:t>
      </w:r>
      <w:r>
        <w:rPr>
          <w:rFonts w:ascii="Times New Roman" w:hAnsi="Times New Roman" w:eastAsia="仿宋_GB2312" w:cs="Times New Roman"/>
          <w:color w:val="000000"/>
          <w:sz w:val="32"/>
          <w:szCs w:val="32"/>
        </w:rPr>
        <w:t>鼓励创新运营</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倡导管理和运营</w:t>
      </w:r>
      <w:r>
        <w:rPr>
          <w:rFonts w:hint="eastAsia" w:ascii="Times New Roman" w:hAnsi="Times New Roman" w:eastAsia="仿宋_GB2312" w:cs="Times New Roman"/>
          <w:color w:val="000000"/>
          <w:sz w:val="32"/>
          <w:szCs w:val="32"/>
        </w:rPr>
        <w:t>中强化市场化运营</w:t>
      </w:r>
      <w:r>
        <w:rPr>
          <w:rFonts w:ascii="Times New Roman" w:hAnsi="Times New Roman" w:eastAsia="仿宋_GB2312" w:cs="Times New Roman"/>
          <w:color w:val="000000"/>
          <w:sz w:val="32"/>
          <w:szCs w:val="32"/>
        </w:rPr>
        <w:t>从“政府主导”向“政府主导+市场参与”的方式转变，鼓励管理和运营单位引入专业机构开展市场化运作，提升数字化服务水平，实现体育设施管理的创新</w:t>
      </w:r>
      <w:r>
        <w:rPr>
          <w:rFonts w:hint="eastAsia" w:ascii="Times New Roman" w:hAnsi="Times New Roman" w:eastAsia="仿宋_GB2312" w:cs="Times New Roman"/>
          <w:color w:val="000000"/>
          <w:sz w:val="32"/>
          <w:szCs w:val="32"/>
        </w:rPr>
        <w:t>科学</w:t>
      </w:r>
      <w:r>
        <w:rPr>
          <w:rFonts w:ascii="Times New Roman" w:hAnsi="Times New Roman" w:eastAsia="仿宋_GB2312" w:cs="Times New Roman"/>
          <w:color w:val="000000"/>
          <w:sz w:val="32"/>
          <w:szCs w:val="32"/>
        </w:rPr>
        <w:t>发展。</w:t>
      </w:r>
    </w:p>
    <w:p>
      <w:pPr>
        <w:shd w:val="clear" w:color="auto"/>
        <w:wordWrap w:val="0"/>
        <w:overflowPunct w:val="0"/>
        <w:topLinePunct/>
        <w:spacing w:after="0" w:line="600" w:lineRule="exact"/>
        <w:ind w:firstLine="640" w:firstLineChars="200"/>
        <w:jc w:val="left"/>
        <w:rPr>
          <w:rFonts w:ascii="Times New Roman" w:hAnsi="Times New Roman" w:eastAsia="仿宋" w:cs="Times New Roman"/>
          <w:sz w:val="32"/>
          <w:szCs w:val="32"/>
        </w:rPr>
      </w:pPr>
      <w:r>
        <w:rPr>
          <w:rFonts w:ascii="Times New Roman" w:hAnsi="Times New Roman" w:eastAsia="仿宋_GB2312" w:cs="Times New Roman"/>
          <w:color w:val="000000"/>
          <w:sz w:val="32"/>
          <w:szCs w:val="32"/>
        </w:rPr>
        <w:t>下一步，我局将根据审议意见进一步修改完善。</w:t>
      </w:r>
    </w:p>
    <w:sectPr>
      <w:footerReference r:id="rId5" w:type="default"/>
      <w:pgSz w:w="11906" w:h="16838"/>
      <w:pgMar w:top="1701" w:right="1417" w:bottom="1701" w:left="1417" w:header="850"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327"/>
      <w:rPr>
        <w:rFonts w:ascii="Arial" w:hAnsi="Arial" w:eastAsia="Arial" w:cs="Arial"/>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FAAAAAgAh07iQIoUZjzRAAAAlAEAAAsAAAAAAAAAAQAgAAAA&#10;rwMAAF9yZWxzLy5yZWxzUEsBAhQAFAAAAAgAh07iQLNJWO7QAAAABQEAAA8AAAAAAAAAAQAgAAAA&#10;OAAAAGRycy9kb3ducmV2LnhtbFBLAQIUABQAAAAIAIdO4kCM1w58KgIAAFUEAAAOAAAAAAAAAAEA&#10;IAAAADUBAABkcnMvZTJvRG9jLnhtbFBLAQIUAAoAAAAAAIdO4kAAAAAAAAAAAAAAAAAEAAAAAAAA&#10;AAAAEAAAABYAAABkcnMvUEsBAhQACgAAAAAAh07iQAAAAAAAAAAAAAAAAAYAAAAAAAAAAAAQAAAA&#10;iwMAAF9yZWxzL1BLBQYAAAAABgAGAFkBAADRBQAAAAA=&#10;">
              <v:fill on="f" focussize="0,0"/>
              <v:stroke on="f" weight="0.5pt"/>
              <v:imagedata o:title=""/>
              <o:lock v:ext="edit" aspectratio="f"/>
              <v:textbox inset="0mm,0mm,0mm,0mm" style="mso-fit-shape-to-text:t;">
                <w:txbxContent>
                  <w:p>
                    <w:pPr>
                      <w:pStyle w:val="3"/>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OTAxZGJhZjExMGJhYjc2MWFhZjJhNzNmMmExNzMifQ=="/>
  </w:docVars>
  <w:rsids>
    <w:rsidRoot w:val="0D5F1FC4"/>
    <w:rsid w:val="00026084"/>
    <w:rsid w:val="000D12C4"/>
    <w:rsid w:val="001F2936"/>
    <w:rsid w:val="002023C6"/>
    <w:rsid w:val="00305926"/>
    <w:rsid w:val="00315A3F"/>
    <w:rsid w:val="003B6EB4"/>
    <w:rsid w:val="003F242F"/>
    <w:rsid w:val="004B195E"/>
    <w:rsid w:val="004B24FF"/>
    <w:rsid w:val="004F7505"/>
    <w:rsid w:val="00570945"/>
    <w:rsid w:val="006033EA"/>
    <w:rsid w:val="006209EE"/>
    <w:rsid w:val="006220F2"/>
    <w:rsid w:val="00665E62"/>
    <w:rsid w:val="006A46F3"/>
    <w:rsid w:val="007664CB"/>
    <w:rsid w:val="0078262C"/>
    <w:rsid w:val="007E0869"/>
    <w:rsid w:val="007F6240"/>
    <w:rsid w:val="008316DC"/>
    <w:rsid w:val="009B5F1E"/>
    <w:rsid w:val="009C4A74"/>
    <w:rsid w:val="009E23C9"/>
    <w:rsid w:val="00A21535"/>
    <w:rsid w:val="00A30D9D"/>
    <w:rsid w:val="00A55462"/>
    <w:rsid w:val="00A834F8"/>
    <w:rsid w:val="00B01FBF"/>
    <w:rsid w:val="00B86985"/>
    <w:rsid w:val="00BB79A1"/>
    <w:rsid w:val="00BE23A6"/>
    <w:rsid w:val="00C54132"/>
    <w:rsid w:val="00CC5A80"/>
    <w:rsid w:val="00CF1C0A"/>
    <w:rsid w:val="00D03696"/>
    <w:rsid w:val="00E75355"/>
    <w:rsid w:val="00EC4EF3"/>
    <w:rsid w:val="00F574D8"/>
    <w:rsid w:val="00F717D0"/>
    <w:rsid w:val="00F95292"/>
    <w:rsid w:val="00F95C19"/>
    <w:rsid w:val="0D5F1FC4"/>
    <w:rsid w:val="0EE000F6"/>
    <w:rsid w:val="1E9385E1"/>
    <w:rsid w:val="2379FFC7"/>
    <w:rsid w:val="27DF5B4E"/>
    <w:rsid w:val="28A41A44"/>
    <w:rsid w:val="34721597"/>
    <w:rsid w:val="38F72E5D"/>
    <w:rsid w:val="3A9CB02C"/>
    <w:rsid w:val="3EDFF47C"/>
    <w:rsid w:val="3F8FE5B5"/>
    <w:rsid w:val="46FE806C"/>
    <w:rsid w:val="4D015129"/>
    <w:rsid w:val="4E9F9CB4"/>
    <w:rsid w:val="4EFEC705"/>
    <w:rsid w:val="54A36792"/>
    <w:rsid w:val="57EB9602"/>
    <w:rsid w:val="58BECFFC"/>
    <w:rsid w:val="5CF5BD4F"/>
    <w:rsid w:val="5F6BECAC"/>
    <w:rsid w:val="66FD0264"/>
    <w:rsid w:val="676FCFBB"/>
    <w:rsid w:val="68D74FE5"/>
    <w:rsid w:val="6A70A3E9"/>
    <w:rsid w:val="6DA65361"/>
    <w:rsid w:val="6DBBDEA7"/>
    <w:rsid w:val="6FAF6467"/>
    <w:rsid w:val="71A439BB"/>
    <w:rsid w:val="71B62C90"/>
    <w:rsid w:val="72977AB7"/>
    <w:rsid w:val="73EF362F"/>
    <w:rsid w:val="73EF4A7B"/>
    <w:rsid w:val="752F07D3"/>
    <w:rsid w:val="77EE8E66"/>
    <w:rsid w:val="786FF192"/>
    <w:rsid w:val="7A7F4EB5"/>
    <w:rsid w:val="7BC55848"/>
    <w:rsid w:val="7BED8433"/>
    <w:rsid w:val="7C7F11AD"/>
    <w:rsid w:val="7CFF7D6B"/>
    <w:rsid w:val="7D7D4F66"/>
    <w:rsid w:val="7DBE31DB"/>
    <w:rsid w:val="7DBFBE4C"/>
    <w:rsid w:val="7E3BF7DC"/>
    <w:rsid w:val="7EDFA9F7"/>
    <w:rsid w:val="7F5F83AB"/>
    <w:rsid w:val="7F7FBC85"/>
    <w:rsid w:val="7FBFA840"/>
    <w:rsid w:val="7FFD1645"/>
    <w:rsid w:val="8FDF0B01"/>
    <w:rsid w:val="9C822955"/>
    <w:rsid w:val="9DFF842E"/>
    <w:rsid w:val="AF8FAC24"/>
    <w:rsid w:val="AFEE1A6A"/>
    <w:rsid w:val="B5FCC532"/>
    <w:rsid w:val="B5FEFF86"/>
    <w:rsid w:val="B7F3F7DB"/>
    <w:rsid w:val="B7FFDD66"/>
    <w:rsid w:val="BE7E7F84"/>
    <w:rsid w:val="BFBF942B"/>
    <w:rsid w:val="C7FDF0DB"/>
    <w:rsid w:val="CBF74E10"/>
    <w:rsid w:val="DDDE2B20"/>
    <w:rsid w:val="DF7B8157"/>
    <w:rsid w:val="DF7E135F"/>
    <w:rsid w:val="E79FEFB4"/>
    <w:rsid w:val="E7FDBE7A"/>
    <w:rsid w:val="EBF7E74C"/>
    <w:rsid w:val="ECCBFB3A"/>
    <w:rsid w:val="EDA57D0A"/>
    <w:rsid w:val="EDFDE441"/>
    <w:rsid w:val="EEE3BA9A"/>
    <w:rsid w:val="EFBBCAFF"/>
    <w:rsid w:val="EFD7B03F"/>
    <w:rsid w:val="EFFFA112"/>
    <w:rsid w:val="F12FE8BE"/>
    <w:rsid w:val="F4FF9731"/>
    <w:rsid w:val="F7F2F102"/>
    <w:rsid w:val="F9F7F397"/>
    <w:rsid w:val="FB5FD678"/>
    <w:rsid w:val="FB7469A7"/>
    <w:rsid w:val="FB7F6347"/>
    <w:rsid w:val="FBBF8271"/>
    <w:rsid w:val="FD3B38B5"/>
    <w:rsid w:val="FD9FD09D"/>
    <w:rsid w:val="FDBA3404"/>
    <w:rsid w:val="FE5AA64F"/>
    <w:rsid w:val="FECFF43C"/>
    <w:rsid w:val="FF7E53E7"/>
    <w:rsid w:val="FFDDA7E2"/>
    <w:rsid w:val="FFDF72AE"/>
    <w:rsid w:val="FFF3B9B8"/>
    <w:rsid w:val="FFFD0AAE"/>
    <w:rsid w:val="FFFDE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eastAsia="en-US"/>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2345</Words>
  <Characters>2345</Characters>
  <Lines>111</Lines>
  <Paragraphs>85</Paragraphs>
  <TotalTime>29</TotalTime>
  <ScaleCrop>false</ScaleCrop>
  <LinksUpToDate>false</LinksUpToDate>
  <CharactersWithSpaces>4605</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2024-02-10T13:15:00Z</dcterms:created>
  <dc:creator>子雨一</dc:creator>
  <cp:lastModifiedBy>greatwall</cp:lastModifiedBy>
  <cp:lastPrinted>2024-03-19T09:18:00Z</cp:lastPrinted>
  <dcterms:modified xsi:type="dcterms:W3CDTF">2025-06-16T17:51:49Z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1BB2940A7B3944D0B08618DB11DE2009_13</vt:lpwstr>
  </property>
</Properties>
</file>