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kinsoku/>
        <w:wordWrap/>
        <w:overflowPunct/>
        <w:topLinePunct w:val="0"/>
        <w:autoSpaceDE/>
        <w:autoSpaceDN/>
        <w:bidi w:val="0"/>
        <w:adjustRightInd/>
        <w:snapToGrid/>
        <w:spacing w:line="600" w:lineRule="exact"/>
        <w:jc w:val="center"/>
        <w:textAlignment w:val="auto"/>
        <w:rPr>
          <w:rFonts w:hint="eastAsia" w:ascii="方正小标宋简体" w:hAnsi="方正小标宋简体" w:eastAsia="方正小标宋简体" w:cs="方正小标宋简体"/>
          <w:sz w:val="44"/>
          <w:szCs w:val="44"/>
          <w:lang w:val="en-US" w:eastAsia="zh-CN"/>
        </w:rPr>
      </w:pPr>
      <w:bookmarkStart w:id="0" w:name="_GoBack"/>
      <w:r>
        <w:rPr>
          <w:rFonts w:hint="eastAsia" w:ascii="方正小标宋简体" w:hAnsi="方正小标宋简体" w:eastAsia="方正小标宋简体" w:cs="方正小标宋简体"/>
          <w:sz w:val="44"/>
          <w:szCs w:val="44"/>
          <w:lang w:val="en-US" w:eastAsia="zh-CN"/>
        </w:rPr>
        <w:t>实施黄河孟津段险工及控导除险加固工程</w:t>
      </w:r>
    </w:p>
    <w:bookmarkEnd w:id="0"/>
    <w:p>
      <w:pPr>
        <w:keepNext w:val="0"/>
        <w:keepLines w:val="0"/>
        <w:pageBreakBefore w:val="0"/>
        <w:kinsoku/>
        <w:wordWrap/>
        <w:overflowPunct/>
        <w:topLinePunct w:val="0"/>
        <w:autoSpaceDE/>
        <w:autoSpaceDN/>
        <w:bidi w:val="0"/>
        <w:adjustRightInd/>
        <w:snapToGrid/>
        <w:spacing w:line="600" w:lineRule="exact"/>
        <w:jc w:val="center"/>
        <w:textAlignment w:val="auto"/>
        <w:rPr>
          <w:rFonts w:hint="eastAsia" w:ascii="楷体_GB2312" w:hAnsi="楷体_GB2312" w:eastAsia="楷体_GB2312" w:cs="楷体_GB2312"/>
          <w:i w:val="0"/>
          <w:iCs w:val="0"/>
          <w:caps w:val="0"/>
          <w:color w:val="121212"/>
          <w:spacing w:val="0"/>
          <w:sz w:val="32"/>
          <w:szCs w:val="32"/>
          <w:lang w:val="en-US" w:eastAsia="zh-CN"/>
        </w:rPr>
      </w:pPr>
      <w:r>
        <w:rPr>
          <w:rFonts w:hint="eastAsia" w:ascii="楷体_GB2312" w:hAnsi="楷体_GB2312" w:eastAsia="楷体_GB2312" w:cs="楷体_GB2312"/>
          <w:sz w:val="32"/>
          <w:szCs w:val="32"/>
          <w:lang w:val="en-US" w:eastAsia="zh-CN"/>
        </w:rPr>
        <w:t>（征求意见稿）</w:t>
      </w:r>
    </w:p>
    <w:p>
      <w:pPr>
        <w:keepNext w:val="0"/>
        <w:keepLines w:val="0"/>
        <w:pageBreakBefore w:val="0"/>
        <w:numPr>
          <w:ilvl w:val="0"/>
          <w:numId w:val="0"/>
        </w:numPr>
        <w:kinsoku/>
        <w:wordWrap/>
        <w:overflowPunct/>
        <w:topLinePunct w:val="0"/>
        <w:autoSpaceDE/>
        <w:autoSpaceDN/>
        <w:bidi w:val="0"/>
        <w:adjustRightInd/>
        <w:snapToGrid/>
        <w:spacing w:line="600" w:lineRule="exact"/>
        <w:textAlignment w:val="auto"/>
        <w:rPr>
          <w:rFonts w:hint="eastAsia" w:ascii="Arial" w:hAnsi="Arial" w:cs="Arial"/>
          <w:i w:val="0"/>
          <w:iCs w:val="0"/>
          <w:caps w:val="0"/>
          <w:color w:val="121212"/>
          <w:spacing w:val="0"/>
          <w:sz w:val="32"/>
          <w:szCs w:val="32"/>
          <w:lang w:val="en-US" w:eastAsia="zh-CN"/>
        </w:rPr>
      </w:pPr>
    </w:p>
    <w:p>
      <w:pPr>
        <w:pStyle w:val="2"/>
        <w:keepNext w:val="0"/>
        <w:keepLines w:val="0"/>
        <w:pageBreakBefore w:val="0"/>
        <w:kinsoku/>
        <w:wordWrap/>
        <w:overflowPunct/>
        <w:topLinePunct w:val="0"/>
        <w:autoSpaceDE/>
        <w:autoSpaceDN/>
        <w:bidi w:val="0"/>
        <w:adjustRightInd/>
        <w:snapToGrid/>
        <w:spacing w:line="600" w:lineRule="exact"/>
        <w:textAlignment w:val="auto"/>
        <w:rPr>
          <w:rFonts w:hint="eastAsia"/>
          <w:b w:val="0"/>
          <w:bCs w:val="0"/>
          <w:lang w:val="en-US" w:eastAsia="zh-CN"/>
        </w:rPr>
      </w:pPr>
      <w:r>
        <w:rPr>
          <w:rFonts w:hint="eastAsia"/>
          <w:b w:val="0"/>
          <w:bCs w:val="0"/>
          <w:lang w:val="en-US" w:eastAsia="zh-CN"/>
        </w:rPr>
        <w:t>项目选址</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lang w:val="en-US" w:eastAsia="zh-CN"/>
        </w:rPr>
      </w:pPr>
      <w:r>
        <w:rPr>
          <w:rFonts w:hint="eastAsia"/>
          <w:lang w:val="en-US" w:eastAsia="zh-CN"/>
        </w:rPr>
        <w:t>该项目位于黄河干流孟津段（西霞院水库下游）。</w:t>
      </w:r>
    </w:p>
    <w:p>
      <w:pPr>
        <w:pStyle w:val="2"/>
        <w:keepNext w:val="0"/>
        <w:keepLines w:val="0"/>
        <w:pageBreakBefore w:val="0"/>
        <w:kinsoku/>
        <w:wordWrap/>
        <w:overflowPunct/>
        <w:topLinePunct w:val="0"/>
        <w:autoSpaceDE/>
        <w:autoSpaceDN/>
        <w:bidi w:val="0"/>
        <w:adjustRightInd/>
        <w:snapToGrid/>
        <w:spacing w:line="600" w:lineRule="exact"/>
        <w:textAlignment w:val="auto"/>
        <w:rPr>
          <w:rFonts w:hint="default"/>
          <w:lang w:val="en-US" w:eastAsia="zh-CN"/>
        </w:rPr>
      </w:pPr>
      <w:r>
        <w:rPr>
          <w:rFonts w:hint="eastAsia"/>
          <w:b w:val="0"/>
          <w:bCs w:val="0"/>
          <w:lang w:val="en-US" w:eastAsia="zh-CN"/>
        </w:rPr>
        <w:t>项目建设</w:t>
      </w:r>
      <w:r>
        <w:rPr>
          <w:rFonts w:hint="eastAsia"/>
          <w:b w:val="0"/>
          <w:bCs w:val="0"/>
          <w:lang w:val="en-US" w:eastAsia="zh-CN"/>
        </w:rPr>
        <w:t>必要性</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lang w:val="en-US" w:eastAsia="zh-CN"/>
        </w:rPr>
      </w:pPr>
      <w:r>
        <w:rPr>
          <w:rFonts w:hint="default"/>
          <w:lang w:val="en-US" w:eastAsia="zh-CN"/>
        </w:rPr>
        <w:t>黄河险工及控导工程是确保堤防不决口的最重要屏障和最后一道防线。小浪底水库投入运用后，西霞院以下河段主河槽平均下切</w:t>
      </w:r>
      <w:r>
        <w:rPr>
          <w:rFonts w:hint="eastAsia"/>
          <w:lang w:val="en-US" w:eastAsia="zh-CN"/>
        </w:rPr>
        <w:t>3.1</w:t>
      </w:r>
      <w:r>
        <w:rPr>
          <w:rFonts w:hint="default"/>
          <w:lang w:val="en-US" w:eastAsia="zh-CN"/>
        </w:rPr>
        <w:t>米左右，本就在泥沙基础上修建起来的坝垛出现根石深度不足、工程稳定性降低等问题</w:t>
      </w:r>
      <w:r>
        <w:rPr>
          <w:rFonts w:hint="eastAsia"/>
          <w:lang w:val="en-US" w:eastAsia="zh-CN"/>
        </w:rPr>
        <w:t>，</w:t>
      </w:r>
      <w:r>
        <w:rPr>
          <w:rFonts w:hint="default"/>
          <w:lang w:val="en-US" w:eastAsia="zh-CN"/>
        </w:rPr>
        <w:t>险工及控导工程极易出险。着眼保障黄河长治久安、实现高水平安全、护航高质量发展</w:t>
      </w:r>
      <w:r>
        <w:rPr>
          <w:rFonts w:hint="eastAsia"/>
          <w:lang w:val="en-US" w:eastAsia="zh-CN"/>
        </w:rPr>
        <w:t>，</w:t>
      </w:r>
      <w:r>
        <w:rPr>
          <w:rFonts w:hint="default"/>
          <w:lang w:val="en-US" w:eastAsia="zh-CN"/>
        </w:rPr>
        <w:t>开展重要河段的险工及控导工程加固十分必要。</w:t>
      </w:r>
    </w:p>
    <w:p>
      <w:pPr>
        <w:pStyle w:val="2"/>
        <w:keepNext w:val="0"/>
        <w:keepLines w:val="0"/>
        <w:pageBreakBefore w:val="0"/>
        <w:kinsoku/>
        <w:wordWrap/>
        <w:overflowPunct/>
        <w:topLinePunct w:val="0"/>
        <w:autoSpaceDE/>
        <w:autoSpaceDN/>
        <w:bidi w:val="0"/>
        <w:adjustRightInd/>
        <w:snapToGrid/>
        <w:spacing w:line="600" w:lineRule="exact"/>
        <w:textAlignment w:val="auto"/>
        <w:rPr>
          <w:rFonts w:hint="eastAsia"/>
          <w:b w:val="0"/>
          <w:bCs w:val="0"/>
          <w:lang w:val="en-US" w:eastAsia="zh-CN"/>
        </w:rPr>
      </w:pPr>
      <w:r>
        <w:rPr>
          <w:rFonts w:hint="eastAsia"/>
          <w:b w:val="0"/>
          <w:bCs w:val="0"/>
          <w:lang w:val="en-US" w:eastAsia="zh-CN"/>
        </w:rPr>
        <w:t>项目内容和规模</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Arial" w:hAnsi="Arial" w:cs="Arial"/>
          <w:i w:val="0"/>
          <w:iCs w:val="0"/>
          <w:caps w:val="0"/>
          <w:color w:val="121212"/>
          <w:spacing w:val="0"/>
          <w:sz w:val="32"/>
          <w:szCs w:val="32"/>
          <w:lang w:val="en-US" w:eastAsia="zh-CN"/>
        </w:rPr>
      </w:pPr>
      <w:r>
        <w:rPr>
          <w:rFonts w:hint="eastAsia" w:ascii="Times New Roman" w:hAnsi="Times New Roman" w:cs="Times New Roman"/>
          <w:color w:val="auto"/>
          <w:sz w:val="32"/>
          <w:szCs w:val="32"/>
          <w:lang w:eastAsia="zh-CN"/>
        </w:rPr>
        <w:t>按照河南黄河河务局组织编制的《黄河孟津段险工及控导工程除险加固实施方案》，</w:t>
      </w:r>
      <w:r>
        <w:rPr>
          <w:rFonts w:hint="default" w:ascii="Times New Roman" w:hAnsi="Times New Roman" w:eastAsia="仿宋_GB2312" w:cs="Times New Roman"/>
          <w:color w:val="auto"/>
          <w:sz w:val="32"/>
          <w:szCs w:val="32"/>
        </w:rPr>
        <w:t>孟津段试点工程包括5处工程</w:t>
      </w:r>
      <w:r>
        <w:rPr>
          <w:rFonts w:hint="eastAsia" w:ascii="Times New Roman" w:hAnsi="Times New Roman" w:cs="Times New Roman"/>
          <w:color w:val="auto"/>
          <w:sz w:val="32"/>
          <w:szCs w:val="32"/>
          <w:lang w:eastAsia="zh-CN"/>
        </w:rPr>
        <w:t>、</w:t>
      </w:r>
      <w:r>
        <w:rPr>
          <w:rFonts w:hint="default" w:ascii="Times New Roman" w:hAnsi="Times New Roman" w:eastAsia="仿宋_GB2312" w:cs="Times New Roman"/>
          <w:color w:val="auto"/>
          <w:sz w:val="32"/>
          <w:szCs w:val="32"/>
        </w:rPr>
        <w:t>6</w:t>
      </w:r>
      <w:r>
        <w:rPr>
          <w:rFonts w:hint="eastAsia" w:ascii="Times New Roman" w:hAnsi="Times New Roman" w:cs="Times New Roman"/>
          <w:color w:val="auto"/>
          <w:sz w:val="32"/>
          <w:szCs w:val="32"/>
          <w:lang w:val="en-US" w:eastAsia="zh-CN"/>
        </w:rPr>
        <w:t>6</w:t>
      </w:r>
      <w:r>
        <w:rPr>
          <w:rFonts w:hint="default" w:ascii="Times New Roman" w:hAnsi="Times New Roman" w:eastAsia="仿宋_GB2312" w:cs="Times New Roman"/>
          <w:color w:val="auto"/>
          <w:sz w:val="32"/>
          <w:szCs w:val="32"/>
        </w:rPr>
        <w:t>道坝垛</w:t>
      </w:r>
      <w:r>
        <w:rPr>
          <w:rFonts w:hint="eastAsia" w:ascii="Times New Roman" w:hAnsi="Times New Roman" w:cs="Times New Roman"/>
          <w:color w:val="auto"/>
          <w:sz w:val="32"/>
          <w:szCs w:val="32"/>
          <w:lang w:eastAsia="zh-CN"/>
        </w:rPr>
        <w:t>、</w:t>
      </w:r>
      <w:r>
        <w:rPr>
          <w:rFonts w:hint="default" w:ascii="Times New Roman" w:hAnsi="Times New Roman" w:eastAsia="仿宋_GB2312" w:cs="Times New Roman"/>
          <w:color w:val="auto"/>
          <w:sz w:val="32"/>
          <w:szCs w:val="32"/>
          <w:u w:val="none"/>
        </w:rPr>
        <w:t>加固长度9.5千米</w:t>
      </w:r>
      <w:r>
        <w:rPr>
          <w:rFonts w:hint="default" w:ascii="Times New Roman" w:hAnsi="Times New Roman" w:eastAsia="仿宋_GB2312" w:cs="Times New Roman"/>
          <w:color w:val="auto"/>
          <w:sz w:val="32"/>
          <w:szCs w:val="32"/>
        </w:rPr>
        <w:t>，</w:t>
      </w:r>
      <w:r>
        <w:rPr>
          <w:rFonts w:hint="eastAsia" w:ascii="Times New Roman" w:hAnsi="Times New Roman" w:cs="Times New Roman"/>
          <w:color w:val="auto"/>
          <w:sz w:val="32"/>
          <w:szCs w:val="32"/>
          <w:lang w:eastAsia="zh-CN"/>
        </w:rPr>
        <w:t>其中铁谢险工</w:t>
      </w:r>
      <w:r>
        <w:rPr>
          <w:rFonts w:hint="eastAsia" w:ascii="Times New Roman" w:hAnsi="Times New Roman" w:cs="Times New Roman"/>
          <w:color w:val="auto"/>
          <w:sz w:val="32"/>
          <w:szCs w:val="32"/>
          <w:lang w:val="en-US" w:eastAsia="zh-CN"/>
        </w:rPr>
        <w:t>1处、23处坝垛、长度4.5千米，控导工程4处</w:t>
      </w:r>
      <w:r>
        <w:rPr>
          <w:rFonts w:hint="eastAsia" w:ascii="楷体" w:hAnsi="楷体" w:eastAsia="楷体" w:cs="楷体"/>
          <w:color w:val="auto"/>
          <w:sz w:val="32"/>
          <w:szCs w:val="32"/>
          <w:u w:val="none"/>
          <w:lang w:val="en-US" w:eastAsia="zh-CN"/>
        </w:rPr>
        <w:t>（白鹤控导、白坡控导、花园镇控导及高家庄护滩）</w:t>
      </w:r>
      <w:r>
        <w:rPr>
          <w:rFonts w:hint="eastAsia" w:ascii="Times New Roman" w:hAnsi="Times New Roman" w:cs="Times New Roman"/>
          <w:color w:val="auto"/>
          <w:sz w:val="32"/>
          <w:szCs w:val="32"/>
          <w:lang w:val="en-US" w:eastAsia="zh-CN"/>
        </w:rPr>
        <w:t>、43处坝垛、长度约5千米。</w:t>
      </w:r>
      <w:r>
        <w:rPr>
          <w:rFonts w:hint="default" w:ascii="Times New Roman" w:hAnsi="Times New Roman" w:eastAsia="仿宋_GB2312" w:cs="Times New Roman"/>
          <w:color w:val="auto"/>
          <w:sz w:val="32"/>
          <w:szCs w:val="32"/>
          <w:u w:val="none"/>
        </w:rPr>
        <w:t>工程</w:t>
      </w:r>
      <w:r>
        <w:rPr>
          <w:rFonts w:hint="eastAsia" w:ascii="Times New Roman" w:hAnsi="Times New Roman" w:cs="Times New Roman"/>
          <w:color w:val="auto"/>
          <w:sz w:val="32"/>
          <w:szCs w:val="32"/>
          <w:u w:val="none"/>
          <w:lang w:eastAsia="zh-CN"/>
        </w:rPr>
        <w:t>匡算</w:t>
      </w:r>
      <w:r>
        <w:rPr>
          <w:rFonts w:hint="default" w:ascii="Times New Roman" w:hAnsi="Times New Roman" w:eastAsia="仿宋_GB2312" w:cs="Times New Roman"/>
          <w:color w:val="auto"/>
          <w:sz w:val="32"/>
          <w:szCs w:val="32"/>
          <w:u w:val="none"/>
        </w:rPr>
        <w:t>总投资2.81亿元</w:t>
      </w:r>
      <w:r>
        <w:rPr>
          <w:rFonts w:hint="eastAsia" w:ascii="楷体" w:hAnsi="楷体" w:eastAsia="楷体" w:cs="楷体"/>
          <w:color w:val="auto"/>
          <w:sz w:val="32"/>
          <w:szCs w:val="32"/>
          <w:u w:val="none"/>
          <w:lang w:eastAsia="zh-CN"/>
        </w:rPr>
        <w:t>（其中铁谢段</w:t>
      </w:r>
      <w:r>
        <w:rPr>
          <w:rFonts w:hint="default" w:ascii="Times New Roman" w:hAnsi="Times New Roman" w:eastAsia="楷体" w:cs="Times New Roman"/>
          <w:color w:val="auto"/>
          <w:sz w:val="32"/>
          <w:szCs w:val="32"/>
          <w:u w:val="none"/>
          <w:lang w:val="en-US" w:eastAsia="zh-CN"/>
        </w:rPr>
        <w:t>1.34</w:t>
      </w:r>
      <w:r>
        <w:rPr>
          <w:rFonts w:hint="eastAsia" w:ascii="楷体" w:hAnsi="楷体" w:eastAsia="楷体" w:cs="楷体"/>
          <w:color w:val="auto"/>
          <w:sz w:val="32"/>
          <w:szCs w:val="32"/>
          <w:u w:val="none"/>
          <w:lang w:val="en-US" w:eastAsia="zh-CN"/>
        </w:rPr>
        <w:t>亿元）</w:t>
      </w:r>
      <w:r>
        <w:rPr>
          <w:rFonts w:hint="default" w:ascii="Times New Roman" w:hAnsi="Times New Roman" w:eastAsia="仿宋_GB2312" w:cs="Times New Roman"/>
          <w:color w:val="auto"/>
          <w:sz w:val="32"/>
          <w:szCs w:val="32"/>
          <w:u w:val="none"/>
        </w:rPr>
        <w:t>。</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altName w:val="DejaVu Sans"/>
    <w:panose1 w:val="020F0502020204030204"/>
    <w:charset w:val="00"/>
    <w:family w:val="swiss"/>
    <w:pitch w:val="default"/>
    <w:sig w:usb0="00000000" w:usb1="00000000" w:usb2="00000001" w:usb3="00000000" w:csb0="0000019F" w:csb1="00000000"/>
  </w:font>
  <w:font w:name="DejaVu Sans">
    <w:panose1 w:val="020B0603030804020204"/>
    <w:charset w:val="00"/>
    <w:family w:val="auto"/>
    <w:pitch w:val="default"/>
    <w:sig w:usb0="E7006EFF" w:usb1="D200FDFF" w:usb2="0A246029" w:usb3="0400200C" w:csb0="600001FF" w:csb1="DFFF0000"/>
  </w:font>
  <w:font w:name="仿宋_GB2312">
    <w:panose1 w:val="02010609030101010101"/>
    <w:charset w:val="86"/>
    <w:family w:val="auto"/>
    <w:pitch w:val="default"/>
    <w:sig w:usb0="00000001" w:usb1="080E0000" w:usb2="00000000" w:usb3="00000000" w:csb0="00040000" w:csb1="00000000"/>
  </w:font>
  <w:font w:name="楷体">
    <w:panose1 w:val="02010609060101010101"/>
    <w:charset w:val="86"/>
    <w:family w:val="auto"/>
    <w:pitch w:val="default"/>
    <w:sig w:usb0="800002BF" w:usb1="38CF7CFA" w:usb2="00000016" w:usb3="00000000" w:csb0="00040001" w:csb1="00000000"/>
  </w:font>
  <w:font w:name="方正小标宋简体">
    <w:panose1 w:val="03000509000000000000"/>
    <w:charset w:val="86"/>
    <w:family w:val="auto"/>
    <w:pitch w:val="default"/>
    <w:sig w:usb0="00000001" w:usb1="080E0000" w:usb2="00000000" w:usb3="00000000" w:csb0="00040000" w:csb1="00000000"/>
  </w:font>
  <w:font w:name="方正书宋_GBK">
    <w:panose1 w:val="02000000000000000000"/>
    <w:charset w:val="86"/>
    <w:family w:val="auto"/>
    <w:pitch w:val="default"/>
    <w:sig w:usb0="A00002BF" w:usb1="38CF7CFA" w:usb2="00082016" w:usb3="00000000" w:csb0="00040001" w:csb1="00000000"/>
  </w:font>
  <w:font w:name="华文新魏">
    <w:panose1 w:val="02010800040101010101"/>
    <w:charset w:val="86"/>
    <w:family w:val="auto"/>
    <w:pitch w:val="default"/>
    <w:sig w:usb0="00000001" w:usb1="080F0000" w:usb2="00000000" w:usb3="00000000" w:csb0="00040000" w:csb1="00000000"/>
  </w:font>
  <w:font w:name="楷体_GB2312">
    <w:panose1 w:val="02010609030101010101"/>
    <w:charset w:val="86"/>
    <w:family w:val="auto"/>
    <w:pitch w:val="default"/>
    <w:sig w:usb0="00000001" w:usb1="080E0000" w:usb2="00000000" w:usb3="00000000" w:csb0="0004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9B0D42B"/>
    <w:multiLevelType w:val="multilevel"/>
    <w:tmpl w:val="89B0D42B"/>
    <w:lvl w:ilvl="0" w:tentative="0">
      <w:start w:val="1"/>
      <w:numFmt w:val="chineseCounting"/>
      <w:pStyle w:val="2"/>
      <w:suff w:val="nothing"/>
      <w:lvlText w:val="%1、"/>
      <w:lvlJc w:val="left"/>
      <w:pPr>
        <w:ind w:left="0" w:firstLine="0"/>
      </w:pPr>
      <w:rPr>
        <w:rFonts w:hint="eastAsia"/>
        <w:b w:val="0"/>
        <w:bCs w:val="0"/>
      </w:rPr>
    </w:lvl>
    <w:lvl w:ilvl="1" w:tentative="0">
      <w:start w:val="1"/>
      <w:numFmt w:val="chineseCounting"/>
      <w:pStyle w:val="3"/>
      <w:suff w:val="nothing"/>
      <w:lvlText w:val="（%2）"/>
      <w:lvlJc w:val="left"/>
      <w:pPr>
        <w:ind w:left="0" w:firstLine="0"/>
      </w:pPr>
      <w:rPr>
        <w:rFonts w:hint="eastAsia"/>
      </w:rPr>
    </w:lvl>
    <w:lvl w:ilvl="2" w:tentative="0">
      <w:start w:val="1"/>
      <w:numFmt w:val="decimal"/>
      <w:pStyle w:val="4"/>
      <w:suff w:val="nothing"/>
      <w:lvlText w:val="%3．"/>
      <w:lvlJc w:val="left"/>
      <w:pPr>
        <w:ind w:left="0" w:firstLine="400"/>
      </w:pPr>
      <w:rPr>
        <w:rFonts w:hint="eastAsia"/>
      </w:rPr>
    </w:lvl>
    <w:lvl w:ilvl="3" w:tentative="0">
      <w:start w:val="1"/>
      <w:numFmt w:val="decimal"/>
      <w:pStyle w:val="5"/>
      <w:suff w:val="nothing"/>
      <w:lvlText w:val="（%4）"/>
      <w:lvlJc w:val="left"/>
      <w:pPr>
        <w:ind w:left="0" w:firstLine="402"/>
      </w:pPr>
      <w:rPr>
        <w:rFonts w:hint="eastAsia"/>
      </w:rPr>
    </w:lvl>
    <w:lvl w:ilvl="4" w:tentative="0">
      <w:start w:val="1"/>
      <w:numFmt w:val="decimalEnclosedCircleChinese"/>
      <w:pStyle w:val="6"/>
      <w:suff w:val="nothing"/>
      <w:lvlText w:val="%5"/>
      <w:lvlJc w:val="left"/>
      <w:pPr>
        <w:ind w:left="0" w:firstLine="402"/>
      </w:pPr>
      <w:rPr>
        <w:rFonts w:hint="eastAsia"/>
      </w:rPr>
    </w:lvl>
    <w:lvl w:ilvl="5" w:tentative="0">
      <w:start w:val="1"/>
      <w:numFmt w:val="decimal"/>
      <w:pStyle w:val="7"/>
      <w:suff w:val="nothing"/>
      <w:lvlText w:val="%6）"/>
      <w:lvlJc w:val="left"/>
      <w:pPr>
        <w:ind w:left="0" w:firstLine="402"/>
      </w:pPr>
      <w:rPr>
        <w:rFonts w:hint="eastAsia"/>
      </w:rPr>
    </w:lvl>
    <w:lvl w:ilvl="6" w:tentative="0">
      <w:start w:val="1"/>
      <w:numFmt w:val="lowerLetter"/>
      <w:pStyle w:val="8"/>
      <w:suff w:val="nothing"/>
      <w:lvlText w:val="%7．"/>
      <w:lvlJc w:val="left"/>
      <w:pPr>
        <w:ind w:left="0" w:firstLine="402"/>
      </w:pPr>
      <w:rPr>
        <w:rFonts w:hint="eastAsia"/>
      </w:rPr>
    </w:lvl>
    <w:lvl w:ilvl="7" w:tentative="0">
      <w:start w:val="1"/>
      <w:numFmt w:val="lowerLetter"/>
      <w:pStyle w:val="9"/>
      <w:suff w:val="nothing"/>
      <w:lvlText w:val="%8）"/>
      <w:lvlJc w:val="left"/>
      <w:pPr>
        <w:ind w:left="0" w:firstLine="402"/>
      </w:pPr>
      <w:rPr>
        <w:rFonts w:hint="eastAsia"/>
      </w:rPr>
    </w:lvl>
    <w:lvl w:ilvl="8" w:tentative="0">
      <w:start w:val="1"/>
      <w:numFmt w:val="lowerRoman"/>
      <w:pStyle w:val="10"/>
      <w:suff w:val="nothing"/>
      <w:lvlText w:val="%9 "/>
      <w:lvlJc w:val="left"/>
      <w:pPr>
        <w:ind w:left="0" w:firstLine="402"/>
      </w:pPr>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A451CC3"/>
    <w:rsid w:val="00FB6714"/>
    <w:rsid w:val="054B2058"/>
    <w:rsid w:val="1B2758C7"/>
    <w:rsid w:val="255A0F8D"/>
    <w:rsid w:val="2F042A0A"/>
    <w:rsid w:val="54C24B1C"/>
    <w:rsid w:val="5A451CC3"/>
    <w:rsid w:val="6F4502DF"/>
    <w:rsid w:val="CFFB0348"/>
    <w:rsid w:val="FFFD1F1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eastAsia="仿宋_GB2312" w:asciiTheme="minorAscii" w:hAnsiTheme="minorAscii" w:cstheme="minorBidi"/>
      <w:kern w:val="2"/>
      <w:sz w:val="32"/>
      <w:szCs w:val="24"/>
      <w:lang w:val="en-US" w:eastAsia="zh-CN" w:bidi="ar-SA"/>
    </w:rPr>
  </w:style>
  <w:style w:type="paragraph" w:styleId="2">
    <w:name w:val="heading 1"/>
    <w:basedOn w:val="1"/>
    <w:next w:val="1"/>
    <w:qFormat/>
    <w:uiPriority w:val="0"/>
    <w:pPr>
      <w:numPr>
        <w:ilvl w:val="0"/>
        <w:numId w:val="1"/>
      </w:numPr>
      <w:spacing w:before="0" w:beforeAutospacing="0" w:after="0" w:afterAutospacing="0"/>
      <w:ind w:firstLine="880" w:firstLineChars="200"/>
      <w:jc w:val="left"/>
      <w:outlineLvl w:val="0"/>
    </w:pPr>
    <w:rPr>
      <w:rFonts w:hint="eastAsia" w:ascii="宋体" w:hAnsi="宋体" w:eastAsia="黑体" w:cs="宋体"/>
      <w:b/>
      <w:bCs/>
      <w:kern w:val="44"/>
      <w:szCs w:val="48"/>
      <w:lang w:bidi="ar"/>
    </w:rPr>
  </w:style>
  <w:style w:type="paragraph" w:styleId="3">
    <w:name w:val="heading 2"/>
    <w:basedOn w:val="1"/>
    <w:next w:val="1"/>
    <w:semiHidden/>
    <w:unhideWhenUsed/>
    <w:qFormat/>
    <w:uiPriority w:val="0"/>
    <w:pPr>
      <w:keepNext/>
      <w:keepLines/>
      <w:numPr>
        <w:ilvl w:val="1"/>
        <w:numId w:val="1"/>
      </w:numPr>
      <w:spacing w:before="260" w:beforeLines="0" w:beforeAutospacing="0" w:after="260" w:afterLines="0" w:afterAutospacing="0" w:line="413" w:lineRule="auto"/>
      <w:outlineLvl w:val="1"/>
    </w:pPr>
    <w:rPr>
      <w:rFonts w:ascii="Arial" w:hAnsi="Arial" w:eastAsia="黑体"/>
      <w:b/>
      <w:sz w:val="32"/>
    </w:rPr>
  </w:style>
  <w:style w:type="paragraph" w:styleId="4">
    <w:name w:val="heading 3"/>
    <w:basedOn w:val="1"/>
    <w:next w:val="1"/>
    <w:semiHidden/>
    <w:unhideWhenUsed/>
    <w:qFormat/>
    <w:uiPriority w:val="0"/>
    <w:pPr>
      <w:keepNext/>
      <w:keepLines/>
      <w:numPr>
        <w:ilvl w:val="2"/>
        <w:numId w:val="1"/>
      </w:numPr>
      <w:spacing w:before="260" w:beforeLines="0" w:beforeAutospacing="0" w:after="260" w:afterLines="0" w:afterAutospacing="0" w:line="413" w:lineRule="auto"/>
      <w:ind w:firstLine="400"/>
      <w:outlineLvl w:val="2"/>
    </w:pPr>
    <w:rPr>
      <w:b/>
      <w:sz w:val="32"/>
    </w:rPr>
  </w:style>
  <w:style w:type="paragraph" w:styleId="5">
    <w:name w:val="heading 4"/>
    <w:basedOn w:val="1"/>
    <w:next w:val="1"/>
    <w:semiHidden/>
    <w:unhideWhenUsed/>
    <w:qFormat/>
    <w:uiPriority w:val="0"/>
    <w:pPr>
      <w:keepNext/>
      <w:keepLines/>
      <w:numPr>
        <w:ilvl w:val="3"/>
        <w:numId w:val="1"/>
      </w:numPr>
      <w:spacing w:before="280" w:beforeLines="0" w:beforeAutospacing="0" w:after="290" w:afterLines="0" w:afterAutospacing="0" w:line="372" w:lineRule="auto"/>
      <w:ind w:firstLine="402"/>
      <w:outlineLvl w:val="3"/>
    </w:pPr>
    <w:rPr>
      <w:rFonts w:ascii="Arial" w:hAnsi="Arial" w:eastAsia="黑体"/>
      <w:b/>
      <w:sz w:val="28"/>
    </w:rPr>
  </w:style>
  <w:style w:type="paragraph" w:styleId="6">
    <w:name w:val="heading 5"/>
    <w:basedOn w:val="1"/>
    <w:next w:val="1"/>
    <w:semiHidden/>
    <w:unhideWhenUsed/>
    <w:qFormat/>
    <w:uiPriority w:val="0"/>
    <w:pPr>
      <w:keepNext/>
      <w:keepLines/>
      <w:numPr>
        <w:ilvl w:val="4"/>
        <w:numId w:val="1"/>
      </w:numPr>
      <w:spacing w:before="280" w:beforeLines="0" w:beforeAutospacing="0" w:after="290" w:afterLines="0" w:afterAutospacing="0" w:line="372" w:lineRule="auto"/>
      <w:ind w:firstLine="402"/>
      <w:outlineLvl w:val="4"/>
    </w:pPr>
    <w:rPr>
      <w:b/>
      <w:sz w:val="28"/>
    </w:rPr>
  </w:style>
  <w:style w:type="paragraph" w:styleId="7">
    <w:name w:val="heading 6"/>
    <w:basedOn w:val="1"/>
    <w:next w:val="1"/>
    <w:semiHidden/>
    <w:unhideWhenUsed/>
    <w:qFormat/>
    <w:uiPriority w:val="0"/>
    <w:pPr>
      <w:keepNext/>
      <w:keepLines/>
      <w:numPr>
        <w:ilvl w:val="5"/>
        <w:numId w:val="1"/>
      </w:numPr>
      <w:spacing w:before="240" w:beforeLines="0" w:beforeAutospacing="0" w:after="64" w:afterLines="0" w:afterAutospacing="0" w:line="317" w:lineRule="auto"/>
      <w:ind w:firstLine="402"/>
      <w:outlineLvl w:val="5"/>
    </w:pPr>
    <w:rPr>
      <w:rFonts w:ascii="Arial" w:hAnsi="Arial" w:eastAsia="黑体"/>
      <w:b/>
      <w:sz w:val="24"/>
    </w:rPr>
  </w:style>
  <w:style w:type="paragraph" w:styleId="8">
    <w:name w:val="heading 7"/>
    <w:basedOn w:val="1"/>
    <w:next w:val="1"/>
    <w:semiHidden/>
    <w:unhideWhenUsed/>
    <w:qFormat/>
    <w:uiPriority w:val="0"/>
    <w:pPr>
      <w:keepNext/>
      <w:keepLines/>
      <w:numPr>
        <w:ilvl w:val="6"/>
        <w:numId w:val="1"/>
      </w:numPr>
      <w:spacing w:before="240" w:beforeLines="0" w:beforeAutospacing="0" w:after="64" w:afterLines="0" w:afterAutospacing="0" w:line="317" w:lineRule="auto"/>
      <w:ind w:firstLine="402"/>
      <w:outlineLvl w:val="6"/>
    </w:pPr>
    <w:rPr>
      <w:b/>
      <w:sz w:val="24"/>
    </w:rPr>
  </w:style>
  <w:style w:type="paragraph" w:styleId="9">
    <w:name w:val="heading 8"/>
    <w:basedOn w:val="1"/>
    <w:next w:val="1"/>
    <w:semiHidden/>
    <w:unhideWhenUsed/>
    <w:qFormat/>
    <w:uiPriority w:val="0"/>
    <w:pPr>
      <w:keepNext/>
      <w:keepLines/>
      <w:numPr>
        <w:ilvl w:val="7"/>
        <w:numId w:val="1"/>
      </w:numPr>
      <w:spacing w:before="240" w:beforeLines="0" w:beforeAutospacing="0" w:after="64" w:afterLines="0" w:afterAutospacing="0" w:line="317" w:lineRule="auto"/>
      <w:ind w:firstLine="402"/>
      <w:outlineLvl w:val="7"/>
    </w:pPr>
    <w:rPr>
      <w:rFonts w:ascii="Arial" w:hAnsi="Arial" w:eastAsia="黑体"/>
      <w:sz w:val="24"/>
    </w:rPr>
  </w:style>
  <w:style w:type="paragraph" w:styleId="10">
    <w:name w:val="heading 9"/>
    <w:basedOn w:val="1"/>
    <w:next w:val="1"/>
    <w:semiHidden/>
    <w:unhideWhenUsed/>
    <w:qFormat/>
    <w:uiPriority w:val="0"/>
    <w:pPr>
      <w:keepNext/>
      <w:keepLines/>
      <w:numPr>
        <w:ilvl w:val="8"/>
        <w:numId w:val="1"/>
      </w:numPr>
      <w:spacing w:before="240" w:beforeLines="0" w:beforeAutospacing="0" w:after="64" w:afterLines="0" w:afterAutospacing="0" w:line="317" w:lineRule="auto"/>
      <w:ind w:firstLine="402"/>
      <w:outlineLvl w:val="8"/>
    </w:pPr>
    <w:rPr>
      <w:rFonts w:ascii="Arial" w:hAnsi="Arial" w:eastAsia="黑体"/>
      <w:sz w:val="21"/>
    </w:rPr>
  </w:style>
  <w:style w:type="character" w:default="1" w:styleId="13">
    <w:name w:val="Default Paragraph Font"/>
    <w:semiHidden/>
    <w:qFormat/>
    <w:uiPriority w:val="0"/>
  </w:style>
  <w:style w:type="table" w:default="1" w:styleId="12">
    <w:name w:val="Normal Table"/>
    <w:semiHidden/>
    <w:qFormat/>
    <w:uiPriority w:val="0"/>
    <w:tblPr>
      <w:tblCellMar>
        <w:top w:w="0" w:type="dxa"/>
        <w:left w:w="108" w:type="dxa"/>
        <w:bottom w:w="0" w:type="dxa"/>
        <w:right w:w="108" w:type="dxa"/>
      </w:tblCellMar>
    </w:tblPr>
  </w:style>
  <w:style w:type="paragraph" w:styleId="11">
    <w:name w:val="Normal (Web)"/>
    <w:basedOn w:val="1"/>
    <w:qFormat/>
    <w:uiPriority w:val="0"/>
    <w:pPr>
      <w:spacing w:before="0" w:beforeAutospacing="1" w:after="0" w:afterAutospacing="1"/>
      <w:ind w:left="0" w:right="0"/>
      <w:jc w:val="left"/>
    </w:pPr>
    <w:rPr>
      <w:kern w:val="0"/>
      <w:sz w:val="24"/>
      <w:lang w:val="en-US" w:eastAsia="zh-CN" w:bidi="ar"/>
    </w:rPr>
  </w:style>
  <w:style w:type="character" w:styleId="14">
    <w:name w:val="Hyperlink"/>
    <w:basedOn w:val="13"/>
    <w:qFormat/>
    <w:uiPriority w:val="0"/>
    <w:rPr>
      <w:color w:val="0000FF"/>
      <w:u w:val="single"/>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305</Words>
  <Characters>343</Characters>
  <Lines>0</Lines>
  <Paragraphs>0</Paragraphs>
  <TotalTime>2</TotalTime>
  <ScaleCrop>false</ScaleCrop>
  <LinksUpToDate>false</LinksUpToDate>
  <CharactersWithSpaces>357</CharactersWithSpaces>
  <Application>WPS Office_11.1.0.11719_F1E327BC-269C-435d-A152-05C5408002CA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2025-04-16T02:10:00Z</dcterms:created>
  <dc:creator>Administrator</dc:creator>
  <cp:lastModifiedBy>greatwall</cp:lastModifiedBy>
  <cp:lastPrinted>2025-04-21T16:11:00Z</cp:lastPrinted>
  <dcterms:modified xsi:type="dcterms:W3CDTF">2025-04-21T10:42:29Z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2052-11.1.0.11719</vt:lpwstr>
  </property>
  <property fmtid="{D5CDD505-2E9C-101B-9397-08002B2CF9AE}" pid="3" name="ICV">
    <vt:lpwstr>CF1CE412D660410E9D907B192EB47995_11</vt:lpwstr>
  </property>
  <property fmtid="{D5CDD505-2E9C-101B-9397-08002B2CF9AE}" pid="4" name="KSOTemplateDocerSaveRecord">
    <vt:lpwstr>eyJoZGlkIjoiMzAzNjBjZjAyNDk5OTFiODhiMjgwMDVjYTU4ODM1ZmUiLCJ1c2VySWQiOiIxMDM0OTM5MTQ0In0=</vt:lpwstr>
  </property>
</Properties>
</file>