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95BC7C">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right="0" w:rightChars="0"/>
        <w:jc w:val="center"/>
        <w:textAlignment w:val="auto"/>
        <w:rPr>
          <w:rFonts w:hint="eastAsia" w:hAnsi="方正小标宋简体" w:cs="方正小标宋简体"/>
          <w:sz w:val="44"/>
          <w:szCs w:val="44"/>
          <w:lang w:val="en" w:eastAsia="zh-CN"/>
        </w:rPr>
      </w:pPr>
    </w:p>
    <w:p w14:paraId="640A339B">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80" w:lineRule="exact"/>
        <w:ind w:right="0" w:rightChars="0"/>
        <w:jc w:val="center"/>
        <w:textAlignment w:val="auto"/>
        <w:rPr>
          <w:rFonts w:hint="eastAsia" w:hAnsi="方正小标宋简体" w:cs="方正小标宋简体"/>
          <w:sz w:val="44"/>
          <w:szCs w:val="44"/>
          <w:lang w:val="en" w:eastAsia="zh-CN"/>
        </w:rPr>
      </w:pPr>
    </w:p>
    <w:p w14:paraId="2D856723">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80" w:lineRule="exact"/>
        <w:ind w:right="0" w:rightChars="0"/>
        <w:jc w:val="center"/>
        <w:textAlignment w:val="auto"/>
        <w:rPr>
          <w:rFonts w:hint="eastAsia" w:hAnsi="方正小标宋简体" w:cs="方正小标宋简体"/>
          <w:sz w:val="44"/>
          <w:szCs w:val="44"/>
          <w:lang w:val="en" w:eastAsia="zh-CN"/>
        </w:rPr>
      </w:pPr>
    </w:p>
    <w:p w14:paraId="41BF0809">
      <w:pPr>
        <w:keepNext w:val="0"/>
        <w:keepLines w:val="0"/>
        <w:pageBreakBefore w:val="0"/>
        <w:kinsoku/>
        <w:wordWrap/>
        <w:overflowPunct/>
        <w:topLinePunct w:val="0"/>
        <w:autoSpaceDE/>
        <w:autoSpaceDN/>
        <w:bidi w:val="0"/>
        <w:spacing w:line="580" w:lineRule="exact"/>
        <w:textAlignment w:val="auto"/>
        <w:rPr>
          <w:rFonts w:hint="eastAsia"/>
          <w:lang w:val="en" w:eastAsia="zh-CN"/>
        </w:rPr>
      </w:pPr>
    </w:p>
    <w:p w14:paraId="28E8160E">
      <w:pPr>
        <w:pStyle w:val="11"/>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80" w:lineRule="exact"/>
        <w:ind w:right="0" w:rightChars="0"/>
        <w:jc w:val="center"/>
        <w:textAlignment w:val="auto"/>
        <w:rPr>
          <w:rFonts w:hint="eastAsia" w:ascii="方正小标宋简体" w:hAnsi="仿宋_GB2312" w:eastAsia="方正小标宋简体" w:cs="Times New Roman"/>
          <w:sz w:val="44"/>
          <w:lang w:val="en-US" w:eastAsia="zh-CN"/>
        </w:rPr>
      </w:pPr>
      <w:r>
        <w:rPr>
          <w:rFonts w:hint="eastAsia" w:hAnsi="方正小标宋简体" w:cs="方正小标宋简体"/>
          <w:sz w:val="44"/>
          <w:szCs w:val="44"/>
          <w:lang w:val="en-US" w:eastAsia="zh-CN"/>
        </w:rPr>
        <w:t>栾川耕莘街道自建房“8·4”一般触电事故</w:t>
      </w:r>
      <w:r>
        <w:rPr>
          <w:rFonts w:hint="eastAsia" w:ascii="方正小标宋简体" w:hAnsi="仿宋_GB2312" w:eastAsia="方正小标宋简体" w:cs="Times New Roman"/>
          <w:sz w:val="44"/>
          <w:lang w:val="en-US" w:eastAsia="zh-CN"/>
        </w:rPr>
        <w:t>防范</w:t>
      </w:r>
      <w:r>
        <w:rPr>
          <w:rFonts w:hint="eastAsia" w:hAnsi="仿宋_GB2312" w:cs="Times New Roman"/>
          <w:sz w:val="44"/>
          <w:lang w:val="en-US" w:eastAsia="zh-CN"/>
        </w:rPr>
        <w:t>和整改措施</w:t>
      </w:r>
      <w:r>
        <w:rPr>
          <w:rFonts w:hint="eastAsia" w:ascii="方正小标宋简体" w:hAnsi="仿宋_GB2312" w:eastAsia="方正小标宋简体" w:cs="Times New Roman"/>
          <w:sz w:val="44"/>
          <w:lang w:val="en-US" w:eastAsia="zh-CN"/>
        </w:rPr>
        <w:t>落实情况评估报告</w:t>
      </w:r>
    </w:p>
    <w:p w14:paraId="500EDA3E">
      <w:pPr>
        <w:pStyle w:val="2"/>
        <w:keepNext w:val="0"/>
        <w:keepLines w:val="0"/>
        <w:pageBreakBefore w:val="0"/>
        <w:widowControl/>
        <w:kinsoku/>
        <w:wordWrap/>
        <w:topLinePunct w:val="0"/>
        <w:autoSpaceDE/>
        <w:autoSpaceDN/>
        <w:bidi w:val="0"/>
        <w:adjustRightInd w:val="0"/>
        <w:snapToGrid w:val="0"/>
        <w:spacing w:line="560" w:lineRule="exact"/>
        <w:ind w:left="0" w:leftChars="0" w:firstLine="0" w:firstLineChars="0"/>
        <w:jc w:val="center"/>
        <w:textAlignment w:val="auto"/>
        <w:rPr>
          <w:rStyle w:val="20"/>
          <w:rFonts w:hint="eastAsia" w:ascii="Times New Roman" w:hAnsi="Times New Roman" w:eastAsia="仿宋_GB2312" w:cs="仿宋_GB2312"/>
          <w:sz w:val="32"/>
          <w:szCs w:val="32"/>
        </w:rPr>
      </w:pPr>
      <w:r>
        <w:rPr>
          <w:rFonts w:hint="eastAsia" w:ascii="方正小标宋简体" w:hAnsi="仿宋_GB2312" w:eastAsia="方正小标宋简体" w:cs="Times New Roman"/>
          <w:sz w:val="32"/>
          <w:szCs w:val="32"/>
          <w:lang w:val="en-US" w:eastAsia="zh-CN"/>
        </w:rPr>
        <w:t>（网上公示稿）</w:t>
      </w:r>
    </w:p>
    <w:p w14:paraId="09B11B10">
      <w:pPr>
        <w:pStyle w:val="2"/>
        <w:keepNext w:val="0"/>
        <w:keepLines w:val="0"/>
        <w:pageBreakBefore w:val="0"/>
        <w:widowControl/>
        <w:kinsoku/>
        <w:wordWrap/>
        <w:overflowPunct/>
        <w:topLinePunct w:val="0"/>
        <w:autoSpaceDE/>
        <w:autoSpaceDN/>
        <w:bidi w:val="0"/>
        <w:adjustRightInd w:val="0"/>
        <w:snapToGrid w:val="0"/>
        <w:spacing w:line="580" w:lineRule="exact"/>
        <w:ind w:firstLine="640"/>
        <w:jc w:val="both"/>
        <w:textAlignment w:val="auto"/>
        <w:rPr>
          <w:rStyle w:val="20"/>
          <w:rFonts w:hint="eastAsia" w:ascii="Times New Roman" w:hAnsi="Times New Roman" w:eastAsia="仿宋_GB2312" w:cs="仿宋_GB2312"/>
          <w:sz w:val="32"/>
          <w:szCs w:val="32"/>
        </w:rPr>
      </w:pPr>
    </w:p>
    <w:p w14:paraId="002C1CD6">
      <w:pPr>
        <w:keepNext w:val="0"/>
        <w:keepLines w:val="0"/>
        <w:pageBreakBefore w:val="0"/>
        <w:kinsoku/>
        <w:wordWrap/>
        <w:overflowPunct/>
        <w:topLinePunct w:val="0"/>
        <w:autoSpaceDE/>
        <w:autoSpaceDN/>
        <w:bidi w:val="0"/>
        <w:adjustRightInd/>
        <w:snapToGrid/>
        <w:spacing w:line="580" w:lineRule="exact"/>
        <w:jc w:val="both"/>
        <w:textAlignment w:val="auto"/>
        <w:rPr>
          <w:rStyle w:val="20"/>
          <w:rFonts w:hint="eastAsia" w:ascii="仿宋_GB2312" w:hAnsi="仿宋_GB2312" w:eastAsia="仿宋_GB2312" w:cs="仿宋_GB2312"/>
          <w:sz w:val="32"/>
          <w:szCs w:val="32"/>
          <w:lang w:val="en-US" w:eastAsia="zh-CN"/>
        </w:rPr>
      </w:pPr>
      <w:r>
        <w:rPr>
          <w:rStyle w:val="20"/>
          <w:rFonts w:hint="eastAsia" w:ascii="Times New Roman" w:hAnsi="Times New Roman" w:cs="仿宋_GB2312"/>
          <w:sz w:val="32"/>
          <w:szCs w:val="32"/>
          <w:lang w:val="en-US" w:eastAsia="zh-CN"/>
        </w:rPr>
        <w:t xml:space="preserve"> </w:t>
      </w:r>
      <w:r>
        <w:rPr>
          <w:rStyle w:val="20"/>
          <w:rFonts w:hint="eastAsia" w:ascii="仿宋_GB2312" w:hAnsi="仿宋_GB2312" w:eastAsia="仿宋_GB2312" w:cs="仿宋_GB2312"/>
          <w:sz w:val="32"/>
          <w:szCs w:val="32"/>
          <w:lang w:val="en-US" w:eastAsia="zh-CN"/>
        </w:rPr>
        <w:t xml:space="preserve">   按照《生产安全事故防范和整改措施落实情况评估办法》要求，市安防委办公室组织市应急管理局、市住房和城乡建设局、市自然资源和规划局、市公安局、市总工会、栾川县人民政府成立了评估组，对栾川耕莘街道自建房“8·4”一般触电事故调查处理意见落实情况开展评估，现将评估情况报告如下：</w:t>
      </w:r>
    </w:p>
    <w:p w14:paraId="5FFFF1F8">
      <w:pPr>
        <w:keepNext w:val="0"/>
        <w:keepLines w:val="0"/>
        <w:pageBreakBefore w:val="0"/>
        <w:kinsoku/>
        <w:wordWrap/>
        <w:overflowPunct/>
        <w:topLinePunct w:val="0"/>
        <w:autoSpaceDE/>
        <w:autoSpaceDN/>
        <w:bidi w:val="0"/>
        <w:spacing w:line="580" w:lineRule="exact"/>
        <w:ind w:left="0" w:leftChars="0" w:firstLine="640" w:firstLineChars="200"/>
        <w:textAlignment w:val="auto"/>
        <w:rPr>
          <w:rFonts w:hint="eastAsia" w:eastAsia="黑体" w:cs="黑体"/>
          <w:bCs/>
          <w:sz w:val="32"/>
          <w:szCs w:val="32"/>
          <w:lang w:eastAsia="zh-CN" w:bidi="ar"/>
        </w:rPr>
      </w:pPr>
      <w:r>
        <w:rPr>
          <w:rFonts w:hint="eastAsia" w:eastAsia="黑体" w:cs="黑体"/>
          <w:bCs/>
          <w:sz w:val="32"/>
          <w:szCs w:val="32"/>
          <w:lang w:eastAsia="zh-CN" w:bidi="ar"/>
        </w:rPr>
        <w:t>一、评估工作开展情况</w:t>
      </w:r>
    </w:p>
    <w:p w14:paraId="5E9C8A3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Style w:val="20"/>
          <w:rFonts w:hint="eastAsia" w:ascii="仿宋_GB2312" w:hAnsi="仿宋_GB2312" w:eastAsia="仿宋_GB2312" w:cs="仿宋_GB2312"/>
          <w:sz w:val="32"/>
          <w:szCs w:val="32"/>
          <w:lang w:val="en-US" w:eastAsia="zh-CN"/>
        </w:rPr>
      </w:pPr>
      <w:r>
        <w:rPr>
          <w:rStyle w:val="20"/>
          <w:rFonts w:hint="eastAsia" w:ascii="仿宋_GB2312" w:hAnsi="仿宋_GB2312" w:eastAsia="仿宋_GB2312" w:cs="仿宋_GB2312"/>
          <w:sz w:val="32"/>
          <w:szCs w:val="32"/>
          <w:lang w:val="en-US" w:eastAsia="zh-CN"/>
        </w:rPr>
        <w:t>评估组制订了《栾川县“8·4”事故整改和防范措施落实情况评估方案》，并于2025年3月11日，对栾川耕莘街道自建房“8·4”一般触电事故调查处理意见落实情况进行了评估。</w:t>
      </w:r>
    </w:p>
    <w:p w14:paraId="73D9800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eastAsia="黑体" w:cs="黑体"/>
          <w:bCs/>
          <w:sz w:val="32"/>
          <w:szCs w:val="32"/>
          <w:lang w:eastAsia="zh-CN" w:bidi="ar"/>
        </w:rPr>
      </w:pPr>
      <w:r>
        <w:rPr>
          <w:rFonts w:hint="eastAsia" w:eastAsia="黑体" w:cs="黑体"/>
          <w:bCs/>
          <w:sz w:val="32"/>
          <w:szCs w:val="32"/>
          <w:lang w:eastAsia="zh-CN" w:bidi="ar"/>
        </w:rPr>
        <w:t>二、事故相关责任人员、责任单位均按照调查处理</w:t>
      </w:r>
      <w:r>
        <w:rPr>
          <w:rFonts w:hint="eastAsia" w:eastAsia="黑体" w:cs="黑体"/>
          <w:bCs/>
          <w:sz w:val="32"/>
          <w:szCs w:val="32"/>
          <w:lang w:val="en-US" w:eastAsia="zh-CN" w:bidi="ar"/>
        </w:rPr>
        <w:t>建议</w:t>
      </w:r>
      <w:r>
        <w:rPr>
          <w:rFonts w:hint="eastAsia" w:eastAsia="黑体" w:cs="黑体"/>
          <w:bCs/>
          <w:sz w:val="32"/>
          <w:szCs w:val="32"/>
          <w:lang w:eastAsia="zh-CN" w:bidi="ar"/>
        </w:rPr>
        <w:t>落实到位</w:t>
      </w:r>
    </w:p>
    <w:p w14:paraId="4066CE69">
      <w:pPr>
        <w:keepNext w:val="0"/>
        <w:keepLines w:val="0"/>
        <w:pageBreakBefore w:val="0"/>
        <w:widowControl w:val="0"/>
        <w:numPr>
          <w:ilvl w:val="0"/>
          <w:numId w:val="0"/>
        </w:numPr>
        <w:tabs>
          <w:tab w:val="left" w:pos="7701"/>
        </w:tabs>
        <w:kinsoku/>
        <w:wordWrap/>
        <w:overflowPunct w:val="0"/>
        <w:topLinePunct w:val="0"/>
        <w:autoSpaceDE/>
        <w:autoSpaceDN/>
        <w:bidi w:val="0"/>
        <w:adjustRightInd w:val="0"/>
        <w:snapToGrid w:val="0"/>
        <w:spacing w:line="600" w:lineRule="exact"/>
        <w:ind w:left="0" w:leftChars="0" w:right="0" w:rightChars="0" w:firstLine="684" w:firstLineChars="200"/>
        <w:jc w:val="both"/>
        <w:textAlignment w:val="auto"/>
        <w:outlineLvl w:val="9"/>
        <w:rPr>
          <w:rFonts w:hint="eastAsia" w:ascii="黑体" w:hAnsi="黑体" w:eastAsia="黑体" w:cs="黑体"/>
          <w:color w:val="000000" w:themeColor="text1"/>
          <w:spacing w:val="11"/>
          <w:kern w:val="2"/>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pacing w:val="11"/>
          <w:kern w:val="2"/>
          <w:sz w:val="32"/>
          <w:szCs w:val="32"/>
          <w:shd w:val="clear" w:color="auto" w:fill="FFFFFF"/>
          <w:lang w:val="en-US" w:eastAsia="zh-CN"/>
          <w14:textFill>
            <w14:solidFill>
              <w14:schemeClr w14:val="tx1"/>
            </w14:solidFill>
          </w14:textFill>
        </w:rPr>
        <w:t>三、问题整改和防范措施落实情况</w:t>
      </w:r>
      <w:r>
        <w:rPr>
          <w:rFonts w:hint="eastAsia" w:ascii="黑体" w:hAnsi="黑体" w:eastAsia="黑体" w:cs="黑体"/>
          <w:color w:val="000000" w:themeColor="text1"/>
          <w:spacing w:val="11"/>
          <w:kern w:val="2"/>
          <w:sz w:val="32"/>
          <w:szCs w:val="32"/>
          <w:shd w:val="clear" w:color="auto" w:fill="FFFFFF"/>
          <w:lang w:val="en-US" w:eastAsia="zh-CN"/>
          <w14:textFill>
            <w14:solidFill>
              <w14:schemeClr w14:val="tx1"/>
            </w14:solidFill>
          </w14:textFill>
        </w:rPr>
        <w:tab/>
      </w:r>
    </w:p>
    <w:p w14:paraId="26DDE1B1">
      <w:pPr>
        <w:pStyle w:val="2"/>
        <w:keepNext w:val="0"/>
        <w:keepLines w:val="0"/>
        <w:pageBreakBefore w:val="0"/>
        <w:kinsoku/>
        <w:wordWrap/>
        <w:topLinePunct w:val="0"/>
        <w:autoSpaceDE/>
        <w:autoSpaceDN/>
        <w:bidi w:val="0"/>
        <w:spacing w:line="600" w:lineRule="exact"/>
        <w:ind w:right="0" w:rightChars="0" w:firstLine="640"/>
        <w:textAlignment w:val="auto"/>
        <w:rPr>
          <w:rFonts w:hint="eastAsia" w:ascii="楷体_GB2312" w:hAnsi="楷体_GB2312" w:eastAsia="楷体_GB2312" w:cs="楷体_GB2312"/>
          <w:sz w:val="32"/>
          <w:szCs w:val="32"/>
        </w:rPr>
      </w:pPr>
      <w:r>
        <w:rPr>
          <w:rFonts w:hint="eastAsia" w:ascii="楷体_GB2312" w:hAnsi="楷体_GB2312" w:eastAsia="楷体_GB2312" w:cs="楷体_GB2312"/>
          <w:kern w:val="0"/>
          <w:sz w:val="32"/>
          <w:szCs w:val="32"/>
          <w:lang w:eastAsia="zh-CN" w:bidi="ar"/>
        </w:rPr>
        <w:t>（一）</w:t>
      </w:r>
      <w:r>
        <w:rPr>
          <w:rFonts w:hint="eastAsia" w:ascii="楷体_GB2312" w:hAnsi="楷体_GB2312" w:eastAsia="楷体_GB2312" w:cs="楷体_GB2312"/>
          <w:sz w:val="32"/>
          <w:szCs w:val="32"/>
          <w:lang w:val="en-US" w:eastAsia="zh-CN"/>
        </w:rPr>
        <w:t>栾川</w:t>
      </w:r>
      <w:r>
        <w:rPr>
          <w:rFonts w:hint="eastAsia" w:ascii="楷体_GB2312" w:hAnsi="楷体_GB2312" w:eastAsia="楷体_GB2312" w:cs="楷体_GB2312"/>
          <w:sz w:val="32"/>
          <w:szCs w:val="32"/>
        </w:rPr>
        <w:t>县人民政府</w:t>
      </w:r>
      <w:bookmarkStart w:id="0" w:name="_GoBack"/>
      <w:bookmarkEnd w:id="0"/>
    </w:p>
    <w:p w14:paraId="11123B7F">
      <w:pPr>
        <w:pStyle w:val="6"/>
        <w:keepNext w:val="0"/>
        <w:keepLines w:val="0"/>
        <w:pageBreakBefore w:val="0"/>
        <w:kinsoku/>
        <w:wordWrap/>
        <w:topLinePunct w:val="0"/>
        <w:autoSpaceDE/>
        <w:autoSpaceDN/>
        <w:bidi w:val="0"/>
        <w:spacing w:line="600" w:lineRule="exact"/>
        <w:ind w:right="0" w:rightChars="0" w:firstLine="640" w:firstLineChars="200"/>
        <w:jc w:val="left"/>
        <w:textAlignment w:val="auto"/>
        <w:rPr>
          <w:rFonts w:hint="eastAsia" w:ascii="仿宋_GB2312" w:hAnsi="仿宋_GB2312" w:cs="仿宋_GB2312"/>
          <w:color w:val="000000"/>
          <w:kern w:val="0"/>
          <w:sz w:val="32"/>
          <w:szCs w:val="32"/>
          <w:lang w:bidi="ar"/>
        </w:rPr>
      </w:pPr>
      <w:r>
        <w:rPr>
          <w:rFonts w:hint="eastAsia" w:ascii="仿宋_GB2312" w:hAnsi="仿宋_GB2312" w:cs="仿宋_GB2312"/>
          <w:color w:val="000000"/>
          <w:kern w:val="0"/>
          <w:sz w:val="32"/>
          <w:szCs w:val="32"/>
          <w:lang w:bidi="ar"/>
        </w:rPr>
        <w:t>5月11日</w:t>
      </w:r>
      <w:r>
        <w:rPr>
          <w:rFonts w:hint="eastAsia" w:ascii="仿宋_GB2312" w:hAnsi="仿宋_GB2312" w:cs="仿宋_GB2312"/>
          <w:color w:val="000000"/>
          <w:kern w:val="0"/>
          <w:sz w:val="32"/>
          <w:szCs w:val="32"/>
          <w:lang w:eastAsia="zh-CN" w:bidi="ar"/>
        </w:rPr>
        <w:t>，</w:t>
      </w:r>
      <w:r>
        <w:rPr>
          <w:rFonts w:hint="eastAsia" w:ascii="仿宋_GB2312" w:hAnsi="仿宋_GB2312" w:cs="仿宋_GB2312"/>
          <w:color w:val="000000"/>
          <w:kern w:val="0"/>
          <w:sz w:val="32"/>
          <w:szCs w:val="32"/>
          <w:lang w:val="en-US" w:eastAsia="zh-CN" w:bidi="ar"/>
        </w:rPr>
        <w:t>栾川县人民政府</w:t>
      </w:r>
      <w:r>
        <w:rPr>
          <w:rFonts w:hint="eastAsia" w:ascii="仿宋_GB2312" w:hAnsi="仿宋_GB2312" w:cs="仿宋_GB2312"/>
          <w:color w:val="000000"/>
          <w:kern w:val="0"/>
          <w:sz w:val="32"/>
          <w:szCs w:val="32"/>
          <w:lang w:bidi="ar"/>
        </w:rPr>
        <w:t>召开专题会议</w:t>
      </w:r>
      <w:r>
        <w:rPr>
          <w:rFonts w:hint="eastAsia" w:ascii="仿宋_GB2312" w:hAnsi="仿宋_GB2312" w:cs="仿宋_GB2312"/>
          <w:color w:val="000000"/>
          <w:kern w:val="0"/>
          <w:sz w:val="32"/>
          <w:szCs w:val="32"/>
          <w:lang w:eastAsia="zh-CN" w:bidi="ar"/>
        </w:rPr>
        <w:t>，</w:t>
      </w:r>
      <w:r>
        <w:rPr>
          <w:rFonts w:hint="eastAsia" w:ascii="仿宋_GB2312" w:hAnsi="仿宋_GB2312" w:cs="仿宋_GB2312"/>
          <w:color w:val="000000"/>
          <w:kern w:val="0"/>
          <w:sz w:val="32"/>
          <w:szCs w:val="32"/>
          <w:lang w:bidi="ar"/>
        </w:rPr>
        <w:t>通报</w:t>
      </w:r>
      <w:r>
        <w:rPr>
          <w:rFonts w:hint="eastAsia" w:ascii="仿宋_GB2312" w:hAnsi="仿宋_GB2312" w:cs="仿宋_GB2312"/>
          <w:color w:val="000000"/>
          <w:kern w:val="0"/>
          <w:sz w:val="32"/>
          <w:szCs w:val="32"/>
          <w:lang w:val="en-US" w:eastAsia="zh-CN" w:bidi="ar"/>
        </w:rPr>
        <w:t>了</w:t>
      </w:r>
      <w:r>
        <w:rPr>
          <w:rFonts w:hint="eastAsia" w:ascii="仿宋_GB2312" w:hAnsi="仿宋_GB2312" w:cs="仿宋_GB2312"/>
          <w:color w:val="000000"/>
          <w:kern w:val="0"/>
          <w:sz w:val="32"/>
          <w:szCs w:val="32"/>
          <w:lang w:bidi="ar"/>
        </w:rPr>
        <w:t>耕莘街道“8.4”一般触电事故</w:t>
      </w:r>
      <w:r>
        <w:rPr>
          <w:rFonts w:hint="eastAsia" w:ascii="仿宋_GB2312" w:hAnsi="仿宋_GB2312" w:cs="仿宋_GB2312"/>
          <w:color w:val="000000"/>
          <w:kern w:val="0"/>
          <w:sz w:val="32"/>
          <w:szCs w:val="32"/>
          <w:lang w:val="en-US" w:eastAsia="zh-CN" w:bidi="ar"/>
        </w:rPr>
        <w:t>情况</w:t>
      </w:r>
      <w:r>
        <w:rPr>
          <w:rFonts w:hint="eastAsia" w:ascii="仿宋_GB2312" w:hAnsi="仿宋_GB2312" w:cs="仿宋_GB2312"/>
          <w:color w:val="000000"/>
          <w:kern w:val="0"/>
          <w:sz w:val="32"/>
          <w:szCs w:val="32"/>
          <w:lang w:bidi="ar"/>
        </w:rPr>
        <w:t>，并要求各乡镇各单位严格按照安全生产“三管三必须”要求厘职明责，完善责任体系，加强全链条安全生产监督管理工作；强化统筹协调、调度指挥，提高监督指导质量，增强统筹推进工作质效；</w:t>
      </w:r>
      <w:r>
        <w:rPr>
          <w:rFonts w:hint="eastAsia" w:ascii="仿宋_GB2312" w:hAnsi="仿宋_GB2312" w:cs="仿宋_GB2312"/>
          <w:color w:val="000000"/>
          <w:kern w:val="0"/>
          <w:sz w:val="32"/>
          <w:szCs w:val="32"/>
          <w:lang w:eastAsia="zh-CN" w:bidi="ar"/>
        </w:rPr>
        <w:t>加大</w:t>
      </w:r>
      <w:r>
        <w:rPr>
          <w:rFonts w:hint="eastAsia" w:ascii="仿宋_GB2312" w:hAnsi="仿宋_GB2312" w:cs="仿宋_GB2312"/>
          <w:color w:val="000000"/>
          <w:kern w:val="0"/>
          <w:sz w:val="32"/>
          <w:szCs w:val="32"/>
          <w:lang w:bidi="ar"/>
        </w:rPr>
        <w:t>检查监管力度，深入开展安全“大排查、大起底、大整治”行动，针对性开展安全宣传和警示教育。</w:t>
      </w:r>
    </w:p>
    <w:p w14:paraId="3474AD92">
      <w:pPr>
        <w:pStyle w:val="6"/>
        <w:keepNext w:val="0"/>
        <w:keepLines w:val="0"/>
        <w:pageBreakBefore w:val="0"/>
        <w:kinsoku/>
        <w:wordWrap/>
        <w:topLinePunct w:val="0"/>
        <w:autoSpaceDE/>
        <w:autoSpaceDN/>
        <w:bidi w:val="0"/>
        <w:spacing w:line="600" w:lineRule="exact"/>
        <w:ind w:right="0" w:rightChars="0" w:firstLine="640" w:firstLineChars="200"/>
        <w:jc w:val="left"/>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栾川县自然资源局</w:t>
      </w:r>
    </w:p>
    <w:p w14:paraId="5E9BF1BD">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left="0" w:leftChars="0" w:right="0" w:rightChars="0" w:firstLine="640" w:firstLineChars="200"/>
        <w:jc w:val="both"/>
        <w:textAlignment w:val="auto"/>
        <w:outlineLvl w:val="9"/>
        <w:rPr>
          <w:rFonts w:hint="default" w:ascii="仿宋_GB2312" w:hAnsi="仿宋_GB2312" w:eastAsia="仿宋_GB2312" w:cs="仿宋_GB2312"/>
          <w:b w:val="0"/>
          <w:bCs w:val="0"/>
          <w:i w:val="0"/>
          <w:iCs w:val="0"/>
          <w:caps w:val="0"/>
          <w:color w:val="000000"/>
          <w:spacing w:val="0"/>
          <w:kern w:val="0"/>
          <w:sz w:val="32"/>
          <w:szCs w:val="32"/>
          <w:shd w:val="clear" w:fill="FFFFFF"/>
          <w:lang w:val="en-US" w:eastAsia="zh-CN" w:bidi="ar"/>
        </w:rPr>
      </w:pPr>
      <w:r>
        <w:rPr>
          <w:rFonts w:hint="eastAsia" w:ascii="仿宋_GB2312" w:hAnsi="仿宋_GB2312" w:cs="仿宋_GB2312"/>
          <w:b w:val="0"/>
          <w:bCs w:val="0"/>
          <w:i w:val="0"/>
          <w:iCs w:val="0"/>
          <w:caps w:val="0"/>
          <w:color w:val="000000"/>
          <w:spacing w:val="0"/>
          <w:kern w:val="0"/>
          <w:sz w:val="32"/>
          <w:szCs w:val="32"/>
          <w:shd w:val="clear" w:fill="FFFFFF"/>
          <w:lang w:val="en-US" w:eastAsia="zh-CN" w:bidi="ar"/>
        </w:rPr>
        <w:t>栾川</w:t>
      </w:r>
      <w:r>
        <w:rPr>
          <w:rFonts w:hint="eastAsia" w:ascii="仿宋_GB2312" w:hAnsi="仿宋_GB2312" w:eastAsia="仿宋_GB2312" w:cs="仿宋_GB2312"/>
          <w:b w:val="0"/>
          <w:bCs w:val="0"/>
          <w:i w:val="0"/>
          <w:iCs w:val="0"/>
          <w:caps w:val="0"/>
          <w:color w:val="000000"/>
          <w:spacing w:val="0"/>
          <w:kern w:val="0"/>
          <w:sz w:val="32"/>
          <w:szCs w:val="32"/>
          <w:shd w:val="clear" w:fill="FFFFFF"/>
          <w:lang w:val="en-US" w:eastAsia="zh-CN" w:bidi="ar"/>
        </w:rPr>
        <w:t>县自然资源局召开专项</w:t>
      </w:r>
      <w:r>
        <w:rPr>
          <w:rFonts w:hint="eastAsia" w:ascii="仿宋_GB2312" w:hAnsi="仿宋_GB2312" w:cs="仿宋_GB2312"/>
          <w:b w:val="0"/>
          <w:bCs w:val="0"/>
          <w:i w:val="0"/>
          <w:iCs w:val="0"/>
          <w:caps w:val="0"/>
          <w:color w:val="000000"/>
          <w:spacing w:val="0"/>
          <w:kern w:val="0"/>
          <w:sz w:val="32"/>
          <w:szCs w:val="32"/>
          <w:shd w:val="clear" w:fill="FFFFFF"/>
          <w:lang w:val="en-US" w:eastAsia="zh-CN" w:bidi="ar"/>
        </w:rPr>
        <w:t>党政班子会议，研究部署制定了工作方案</w:t>
      </w:r>
      <w:r>
        <w:rPr>
          <w:rFonts w:hint="eastAsia" w:ascii="仿宋_GB2312" w:hAnsi="仿宋_GB2312" w:eastAsia="仿宋_GB2312" w:cs="仿宋_GB2312"/>
          <w:b w:val="0"/>
          <w:bCs w:val="0"/>
          <w:i w:val="0"/>
          <w:iCs w:val="0"/>
          <w:caps w:val="0"/>
          <w:color w:val="000000"/>
          <w:spacing w:val="0"/>
          <w:kern w:val="0"/>
          <w:sz w:val="32"/>
          <w:szCs w:val="32"/>
          <w:shd w:val="clear" w:fill="FFFFFF"/>
          <w:lang w:val="en-US" w:eastAsia="zh-CN" w:bidi="ar"/>
        </w:rPr>
        <w:t>。</w:t>
      </w:r>
      <w:r>
        <w:rPr>
          <w:rFonts w:hint="eastAsia" w:ascii="仿宋_GB2312" w:hAnsi="仿宋_GB2312" w:cs="仿宋_GB2312"/>
          <w:b w:val="0"/>
          <w:bCs w:val="0"/>
          <w:i w:val="0"/>
          <w:iCs w:val="0"/>
          <w:caps w:val="0"/>
          <w:color w:val="000000"/>
          <w:spacing w:val="0"/>
          <w:kern w:val="0"/>
          <w:sz w:val="32"/>
          <w:szCs w:val="32"/>
          <w:shd w:val="clear" w:fill="FFFFFF"/>
          <w:lang w:val="en-US" w:eastAsia="zh-CN" w:bidi="ar"/>
        </w:rPr>
        <w:t>实行责任分包制度，各中队所负责分管的职责范围，对辖区内违法占地、违规建房、违法开采等自然资源领域违法违规行为依法依规进行查处。加强宣传教育，充分利用执法巡逻车、微信公众号、网络平台等媒体，对《栾川县城乡居民建房管理暂行办法的通知》进行宣传普及，增强城镇居民遵纪守法意识。</w:t>
      </w:r>
    </w:p>
    <w:p w14:paraId="09CAEFDB">
      <w:pPr>
        <w:pStyle w:val="6"/>
        <w:keepNext w:val="0"/>
        <w:keepLines w:val="0"/>
        <w:pageBreakBefore w:val="0"/>
        <w:kinsoku/>
        <w:wordWrap/>
        <w:topLinePunct w:val="0"/>
        <w:autoSpaceDE/>
        <w:autoSpaceDN/>
        <w:bidi w:val="0"/>
        <w:spacing w:line="600" w:lineRule="exact"/>
        <w:ind w:right="0" w:rightChars="0" w:firstLine="640" w:firstLineChars="200"/>
        <w:jc w:val="left"/>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栾川</w:t>
      </w:r>
      <w:r>
        <w:rPr>
          <w:rFonts w:hint="eastAsia" w:ascii="楷体_GB2312" w:hAnsi="楷体_GB2312" w:eastAsia="楷体_GB2312" w:cs="楷体_GB2312"/>
          <w:sz w:val="32"/>
          <w:szCs w:val="32"/>
        </w:rPr>
        <w:t>县住房和城乡建设局</w:t>
      </w:r>
    </w:p>
    <w:p w14:paraId="67C94B06">
      <w:pPr>
        <w:pStyle w:val="6"/>
        <w:keepNext w:val="0"/>
        <w:keepLines w:val="0"/>
        <w:pageBreakBefore w:val="0"/>
        <w:kinsoku/>
        <w:wordWrap/>
        <w:topLinePunct w:val="0"/>
        <w:autoSpaceDE/>
        <w:autoSpaceDN/>
        <w:bidi w:val="0"/>
        <w:spacing w:line="600" w:lineRule="exact"/>
        <w:ind w:right="0" w:rightChars="0" w:firstLine="640" w:firstLineChars="200"/>
        <w:jc w:val="left"/>
        <w:textAlignment w:val="auto"/>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1.建立完善全县自建房安全隐患常态化排查机制。印发《关于开展自建房安全隐患常态化排查整治工作的通知》（栾住建〔2024〕16号），组织各乡镇每月对辖区内自建房开展一次隐患排查。2.</w:t>
      </w:r>
      <w:r>
        <w:rPr>
          <w:rFonts w:hint="eastAsia" w:ascii="仿宋_GB2312" w:hAnsi="仿宋" w:cs="Times New Roman"/>
          <w:sz w:val="32"/>
          <w:szCs w:val="32"/>
          <w:lang w:val="en-US" w:eastAsia="zh-CN"/>
        </w:rPr>
        <w:t>加大</w:t>
      </w:r>
      <w:r>
        <w:rPr>
          <w:rFonts w:hint="eastAsia" w:ascii="仿宋_GB2312" w:hAnsi="仿宋" w:eastAsia="仿宋_GB2312" w:cs="Times New Roman"/>
          <w:sz w:val="32"/>
          <w:szCs w:val="32"/>
          <w:lang w:val="en-US" w:eastAsia="zh-CN"/>
        </w:rPr>
        <w:t>建筑工匠培训力度。</w:t>
      </w:r>
      <w:r>
        <w:rPr>
          <w:rFonts w:hint="eastAsia" w:ascii="仿宋_GB2312" w:hAnsi="仿宋" w:cs="Times New Roman"/>
          <w:sz w:val="32"/>
          <w:szCs w:val="32"/>
          <w:lang w:val="en-US" w:eastAsia="zh-CN"/>
        </w:rPr>
        <w:t>2024年</w:t>
      </w:r>
      <w:r>
        <w:rPr>
          <w:rFonts w:hint="eastAsia" w:ascii="仿宋_GB2312" w:hAnsi="仿宋" w:eastAsia="仿宋_GB2312" w:cs="Times New Roman"/>
          <w:sz w:val="32"/>
          <w:szCs w:val="32"/>
          <w:lang w:val="en-US" w:eastAsia="zh-CN"/>
        </w:rPr>
        <w:t>3月28日，举办了2024年栾川县乡村建设带头工匠培训班。全县15个乡镇（街道、示范区）的80余名农村建筑工匠参加培训，共有79名学员考核通过获得培训合格证明。3.开展全县土坯房安全评定及挂牌工作。</w:t>
      </w:r>
      <w:r>
        <w:rPr>
          <w:rFonts w:hint="eastAsia" w:ascii="仿宋_GB2312" w:hAnsi="仿宋" w:cs="Times New Roman"/>
          <w:sz w:val="32"/>
          <w:szCs w:val="32"/>
          <w:lang w:val="en-US" w:eastAsia="zh-CN"/>
        </w:rPr>
        <w:t>2024年</w:t>
      </w:r>
      <w:r>
        <w:rPr>
          <w:rFonts w:hint="eastAsia" w:ascii="仿宋_GB2312" w:hAnsi="仿宋" w:eastAsia="仿宋_GB2312" w:cs="Times New Roman"/>
          <w:sz w:val="32"/>
          <w:szCs w:val="32"/>
          <w:lang w:val="en-US" w:eastAsia="zh-CN"/>
        </w:rPr>
        <w:t>4月份起，县住建局组织各乡镇在全县范围内开展土坯房安全隐患专项排查整治工作，全县所有土坯房及地质灾害点范围房屋均已完成隐患排查，累计排查土坯房13977座，并同步建立台账。已纳入农村危房改造计划3座，计划拆除重建2座，修缮2座，剩余720座长期无人居住及非唯一住房隐患房屋均落锁、悬挂警示标识、落实管控措施。4.持续实施农村危房改造，确保全县农村低收入群体住房有保障。结合自建房隐患排查，及时将符合条</w:t>
      </w:r>
      <w:r>
        <w:rPr>
          <w:rFonts w:hint="eastAsia" w:ascii="仿宋_GB2312" w:hAnsi="仿宋" w:cs="Times New Roman"/>
          <w:sz w:val="32"/>
          <w:szCs w:val="32"/>
          <w:lang w:val="en-US" w:eastAsia="zh-CN"/>
        </w:rPr>
        <w:t>件的</w:t>
      </w:r>
      <w:r>
        <w:rPr>
          <w:rFonts w:hint="eastAsia" w:ascii="仿宋_GB2312" w:hAnsi="仿宋" w:eastAsia="仿宋_GB2312" w:cs="Times New Roman"/>
          <w:sz w:val="32"/>
          <w:szCs w:val="32"/>
          <w:lang w:val="en-US" w:eastAsia="zh-CN"/>
        </w:rPr>
        <w:t>农户住房纳入危房改造计划，共纳入危房改造58户。5.加大自建房安全宣传力度。通过融媒公众号播放《自建房安全整治宣传片》，并通过微信朋友圈、工作群转发等方式扩宽宣传范围。</w:t>
      </w:r>
    </w:p>
    <w:p w14:paraId="5A0E5A40">
      <w:pPr>
        <w:pStyle w:val="6"/>
        <w:keepNext w:val="0"/>
        <w:keepLines w:val="0"/>
        <w:pageBreakBefore w:val="0"/>
        <w:kinsoku/>
        <w:wordWrap/>
        <w:topLinePunct w:val="0"/>
        <w:autoSpaceDE/>
        <w:autoSpaceDN/>
        <w:bidi w:val="0"/>
        <w:spacing w:line="600" w:lineRule="exact"/>
        <w:ind w:right="0" w:rightChars="0" w:firstLine="640" w:firstLineChars="200"/>
        <w:jc w:val="left"/>
        <w:textAlignment w:val="auto"/>
        <w:rPr>
          <w:rFonts w:hint="default" w:ascii="楷体_GB2312" w:hAnsi="楷体_GB2312" w:eastAsia="楷体_GB2312" w:cs="楷体_GB2312"/>
          <w:sz w:val="32"/>
          <w:szCs w:val="32"/>
          <w:lang w:val="en-US"/>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栾川</w:t>
      </w:r>
      <w:r>
        <w:rPr>
          <w:rFonts w:hint="eastAsia" w:ascii="楷体_GB2312" w:hAnsi="楷体_GB2312" w:eastAsia="楷体_GB2312" w:cs="楷体_GB2312"/>
          <w:sz w:val="32"/>
          <w:szCs w:val="32"/>
          <w:lang w:eastAsia="zh-CN"/>
        </w:rPr>
        <w:t>县各</w:t>
      </w:r>
      <w:r>
        <w:rPr>
          <w:rFonts w:hint="eastAsia" w:ascii="楷体_GB2312" w:hAnsi="楷体_GB2312" w:eastAsia="楷体_GB2312" w:cs="楷体_GB2312"/>
          <w:sz w:val="32"/>
          <w:szCs w:val="32"/>
          <w:lang w:val="en-US" w:eastAsia="zh-CN"/>
        </w:rPr>
        <w:t>乡镇（街道办）</w:t>
      </w:r>
    </w:p>
    <w:p w14:paraId="4234EDF6">
      <w:pPr>
        <w:pStyle w:val="6"/>
        <w:keepNext w:val="0"/>
        <w:keepLines w:val="0"/>
        <w:pageBreakBefore w:val="0"/>
        <w:kinsoku/>
        <w:wordWrap/>
        <w:topLinePunct w:val="0"/>
        <w:autoSpaceDE/>
        <w:autoSpaceDN/>
        <w:bidi w:val="0"/>
        <w:spacing w:line="600" w:lineRule="exact"/>
        <w:ind w:right="0" w:rightChars="0" w:firstLine="640" w:firstLineChars="200"/>
        <w:jc w:val="left"/>
        <w:textAlignment w:val="auto"/>
        <w:rPr>
          <w:rFonts w:hint="eastAsia" w:ascii="仿宋_GB2312" w:hAnsi="仿宋" w:eastAsia="仿宋_GB2312" w:cs="Times New Roman"/>
          <w:color w:val="FF0000"/>
          <w:sz w:val="32"/>
          <w:szCs w:val="32"/>
          <w:lang w:val="en-US" w:eastAsia="zh-CN"/>
        </w:rPr>
      </w:pPr>
      <w:r>
        <w:rPr>
          <w:rFonts w:hint="eastAsia" w:ascii="仿宋_GB2312" w:hAnsi="仿宋" w:eastAsia="仿宋_GB2312" w:cs="Times New Roman"/>
          <w:color w:val="auto"/>
          <w:sz w:val="32"/>
          <w:szCs w:val="32"/>
          <w:lang w:val="en-US" w:eastAsia="zh-CN"/>
        </w:rPr>
        <w:t>1.耕莘街道召开多次会议，传达事故</w:t>
      </w:r>
      <w:r>
        <w:rPr>
          <w:rFonts w:hint="eastAsia" w:ascii="仿宋_GB2312" w:hAnsi="仿宋" w:cs="Times New Roman"/>
          <w:color w:val="auto"/>
          <w:sz w:val="32"/>
          <w:szCs w:val="32"/>
          <w:lang w:val="en-US" w:eastAsia="zh-CN"/>
        </w:rPr>
        <w:t>调查</w:t>
      </w:r>
      <w:r>
        <w:rPr>
          <w:rFonts w:hint="eastAsia" w:ascii="仿宋_GB2312" w:hAnsi="仿宋" w:eastAsia="仿宋_GB2312" w:cs="Times New Roman"/>
          <w:color w:val="auto"/>
          <w:sz w:val="32"/>
          <w:szCs w:val="32"/>
          <w:lang w:val="en-US" w:eastAsia="zh-CN"/>
        </w:rPr>
        <w:t>报告，</w:t>
      </w:r>
      <w:r>
        <w:rPr>
          <w:rFonts w:hint="eastAsia" w:ascii="仿宋_GB2312" w:hAnsi="仿宋" w:cs="Times New Roman"/>
          <w:color w:val="auto"/>
          <w:sz w:val="32"/>
          <w:szCs w:val="32"/>
          <w:lang w:val="en-US" w:eastAsia="zh-CN"/>
        </w:rPr>
        <w:t>深刻</w:t>
      </w:r>
      <w:r>
        <w:rPr>
          <w:rFonts w:hint="eastAsia" w:ascii="仿宋_GB2312" w:hAnsi="仿宋" w:eastAsia="仿宋_GB2312" w:cs="Times New Roman"/>
          <w:color w:val="auto"/>
          <w:sz w:val="32"/>
          <w:szCs w:val="32"/>
          <w:lang w:val="en-US" w:eastAsia="zh-CN"/>
        </w:rPr>
        <w:t>吸取教训，建立安全巡查制度，开展安全生产行动，排查整治安全风险，建立整改台账，实行闭环管理。组织人员观看教育片</w:t>
      </w: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《安全生产责任在肩》9场次</w:t>
      </w:r>
      <w:r>
        <w:rPr>
          <w:rFonts w:hint="eastAsia" w:ascii="仿宋_GB2312" w:hAnsi="仿宋" w:eastAsia="仿宋_GB2312" w:cs="Times New Roman"/>
          <w:color w:val="auto"/>
          <w:sz w:val="32"/>
          <w:szCs w:val="32"/>
          <w:lang w:val="en-US" w:eastAsia="zh-CN"/>
        </w:rPr>
        <w:t>，利用新媒体加强宣传教育，普及安全知识，增强安全意识。2.赤土店镇政府召开专题会议，汲取事故教训，</w:t>
      </w:r>
      <w:r>
        <w:rPr>
          <w:rFonts w:hint="eastAsia" w:ascii="仿宋_GB2312" w:hAnsi="仿宋_GB2312" w:eastAsia="仿宋_GB2312" w:cs="仿宋_GB2312"/>
          <w:sz w:val="32"/>
          <w:szCs w:val="32"/>
          <w:lang w:val="en-US" w:eastAsia="zh-CN"/>
        </w:rPr>
        <w:t>按照县住建局要求组织乡村建设工匠开展技能培训</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对镇党委规划委员会审批的9户</w:t>
      </w:r>
      <w:r>
        <w:rPr>
          <w:rFonts w:hint="eastAsia" w:ascii="仿宋_GB2312" w:hAnsi="仿宋" w:eastAsia="仿宋_GB2312" w:cs="Times New Roman"/>
          <w:color w:val="auto"/>
          <w:sz w:val="32"/>
          <w:szCs w:val="32"/>
          <w:lang w:val="en-US" w:eastAsia="zh-CN"/>
        </w:rPr>
        <w:t>自建房进行安全检查，</w:t>
      </w:r>
      <w:r>
        <w:rPr>
          <w:rFonts w:hint="eastAsia" w:ascii="仿宋_GB2312" w:hAnsi="仿宋_GB2312" w:eastAsia="仿宋_GB2312" w:cs="仿宋_GB2312"/>
          <w:sz w:val="32"/>
          <w:szCs w:val="32"/>
          <w:lang w:val="en-US" w:eastAsia="zh-CN"/>
        </w:rPr>
        <w:t>对2处未批先建</w:t>
      </w:r>
      <w:r>
        <w:rPr>
          <w:rFonts w:hint="eastAsia" w:ascii="仿宋_GB2312" w:hAnsi="仿宋_GB2312" w:cs="仿宋_GB2312"/>
          <w:sz w:val="32"/>
          <w:szCs w:val="32"/>
          <w:lang w:val="en-US" w:eastAsia="zh-CN"/>
        </w:rPr>
        <w:t>违法行为采取</w:t>
      </w:r>
      <w:r>
        <w:rPr>
          <w:rFonts w:hint="eastAsia" w:ascii="仿宋_GB2312" w:hAnsi="仿宋" w:eastAsia="仿宋_GB2312" w:cs="Times New Roman"/>
          <w:color w:val="auto"/>
          <w:sz w:val="32"/>
          <w:szCs w:val="32"/>
          <w:lang w:val="en-US" w:eastAsia="zh-CN"/>
        </w:rPr>
        <w:t>停工</w:t>
      </w:r>
      <w:r>
        <w:rPr>
          <w:rFonts w:hint="eastAsia" w:ascii="仿宋_GB2312" w:hAnsi="仿宋_GB2312" w:eastAsia="仿宋_GB2312" w:cs="仿宋_GB2312"/>
          <w:sz w:val="32"/>
          <w:szCs w:val="32"/>
          <w:lang w:val="en-US" w:eastAsia="zh-CN"/>
        </w:rPr>
        <w:t>拆除</w:t>
      </w:r>
      <w:r>
        <w:rPr>
          <w:rFonts w:hint="eastAsia" w:ascii="仿宋_GB2312" w:hAnsi="仿宋_GB2312" w:cs="仿宋_GB2312"/>
          <w:sz w:val="32"/>
          <w:szCs w:val="32"/>
          <w:lang w:val="en-US" w:eastAsia="zh-CN"/>
        </w:rPr>
        <w:t>措施</w:t>
      </w:r>
      <w:r>
        <w:rPr>
          <w:rFonts w:hint="eastAsia" w:ascii="仿宋_GB2312" w:hAnsi="仿宋" w:eastAsia="仿宋_GB2312" w:cs="Times New Roman"/>
          <w:color w:val="auto"/>
          <w:sz w:val="32"/>
          <w:szCs w:val="32"/>
          <w:lang w:val="en-US" w:eastAsia="zh-CN"/>
        </w:rPr>
        <w:t>。3.石庙镇政府召开党委扩大会议，研究部署“8.4”事故整改和防范措施，传达安全生产要求，分析自建房问题隐患。成立专项整治领导小组，开展安全隐患排查，聚焦重点自建房，建立安全网格化管理体系，压实安全管理责任，组织事故警示教育培训，广泛发动群众检举违规建筑。4.潭头镇政府</w:t>
      </w:r>
      <w:r>
        <w:rPr>
          <w:rFonts w:hint="eastAsia" w:ascii="仿宋_GB2312" w:hAnsi="仿宋" w:cs="Times New Roman"/>
          <w:color w:val="auto"/>
          <w:sz w:val="32"/>
          <w:szCs w:val="32"/>
          <w:lang w:val="en-US" w:eastAsia="zh-CN"/>
        </w:rPr>
        <w:t>组织</w:t>
      </w:r>
      <w:r>
        <w:rPr>
          <w:rFonts w:hint="eastAsia" w:ascii="仿宋_GB2312" w:hAnsi="仿宋" w:eastAsia="仿宋_GB2312" w:cs="Times New Roman"/>
          <w:color w:val="auto"/>
          <w:sz w:val="32"/>
          <w:szCs w:val="32"/>
          <w:lang w:val="en-US" w:eastAsia="zh-CN"/>
        </w:rPr>
        <w:t>班子成员学习批复精神，联合多部门进行隐患排查整治，厘职明责，完善责任体系，加大检查监管力度，开展安全整治行动。</w:t>
      </w:r>
    </w:p>
    <w:p w14:paraId="39EA34AF">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left="0" w:leftChars="0" w:right="0" w:rightChars="0" w:firstLine="684" w:firstLineChars="200"/>
        <w:jc w:val="both"/>
        <w:textAlignment w:val="auto"/>
        <w:outlineLvl w:val="9"/>
        <w:rPr>
          <w:rFonts w:hint="eastAsia" w:ascii="黑体" w:hAnsi="黑体" w:eastAsia="黑体" w:cs="黑体"/>
          <w:color w:val="auto"/>
          <w:spacing w:val="11"/>
          <w:kern w:val="2"/>
          <w:sz w:val="32"/>
          <w:szCs w:val="32"/>
          <w:shd w:val="clear" w:color="auto" w:fill="FFFFFF"/>
          <w:lang w:val="en-US" w:eastAsia="zh-CN"/>
        </w:rPr>
      </w:pPr>
      <w:r>
        <w:rPr>
          <w:rFonts w:hint="eastAsia" w:ascii="黑体" w:hAnsi="黑体" w:eastAsia="黑体" w:cs="黑体"/>
          <w:color w:val="auto"/>
          <w:spacing w:val="11"/>
          <w:kern w:val="2"/>
          <w:sz w:val="32"/>
          <w:szCs w:val="32"/>
          <w:shd w:val="clear" w:color="auto" w:fill="FFFFFF"/>
          <w:lang w:val="en-US" w:eastAsia="zh-CN"/>
        </w:rPr>
        <w:t>四、下一步工作建议</w:t>
      </w:r>
    </w:p>
    <w:p w14:paraId="0C42841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lang w:val="en-US" w:eastAsia="zh-CN"/>
        </w:rPr>
      </w:pPr>
      <w:r>
        <w:rPr>
          <w:rFonts w:hint="eastAsia" w:cs="Times New Roman"/>
          <w:color w:val="auto"/>
          <w:kern w:val="2"/>
          <w:sz w:val="32"/>
          <w:lang w:eastAsia="zh-CN" w:bidi="ar-SA"/>
        </w:rPr>
        <w:t>栾川县人民政府</w:t>
      </w:r>
      <w:r>
        <w:rPr>
          <w:rFonts w:hint="eastAsia" w:cs="Times New Roman"/>
          <w:color w:val="auto"/>
          <w:kern w:val="2"/>
          <w:sz w:val="32"/>
          <w:lang w:val="en-US" w:eastAsia="zh-CN" w:bidi="ar-SA"/>
        </w:rPr>
        <w:t>要</w:t>
      </w:r>
      <w:r>
        <w:rPr>
          <w:rFonts w:ascii="Calibri" w:hAnsi="Calibri" w:eastAsia="仿宋_GB2312" w:cs="Times New Roman"/>
          <w:color w:val="auto"/>
          <w:kern w:val="2"/>
          <w:sz w:val="32"/>
          <w:lang w:bidi="ar-SA"/>
        </w:rPr>
        <w:t>提升政治站位，深化思想认识，</w:t>
      </w:r>
      <w:r>
        <w:rPr>
          <w:rFonts w:hint="eastAsia" w:cs="Times New Roman"/>
          <w:color w:val="auto"/>
          <w:kern w:val="2"/>
          <w:sz w:val="32"/>
          <w:lang w:val="en-US" w:eastAsia="zh-CN" w:bidi="ar-SA"/>
        </w:rPr>
        <w:t>压实</w:t>
      </w:r>
      <w:r>
        <w:rPr>
          <w:rFonts w:ascii="Calibri" w:hAnsi="Calibri" w:eastAsia="仿宋_GB2312" w:cs="Times New Roman"/>
          <w:color w:val="auto"/>
          <w:kern w:val="2"/>
          <w:sz w:val="32"/>
          <w:lang w:bidi="ar-SA"/>
        </w:rPr>
        <w:t>调查报告的落实责任，明确问题整改的时间节点和具体要求，加强对整改进度的监督和督导。对于整改不力或未能按期完成整改任务的单位和个人，</w:t>
      </w:r>
      <w:r>
        <w:rPr>
          <w:rFonts w:hint="eastAsia" w:cs="Times New Roman"/>
          <w:color w:val="auto"/>
          <w:kern w:val="2"/>
          <w:sz w:val="32"/>
          <w:lang w:val="en-US" w:eastAsia="zh-CN" w:bidi="ar-SA"/>
        </w:rPr>
        <w:t>要严肃</w:t>
      </w:r>
      <w:r>
        <w:rPr>
          <w:rFonts w:ascii="Calibri" w:hAnsi="Calibri" w:eastAsia="仿宋_GB2312" w:cs="Times New Roman"/>
          <w:color w:val="auto"/>
          <w:kern w:val="2"/>
          <w:sz w:val="32"/>
          <w:lang w:bidi="ar-SA"/>
        </w:rPr>
        <w:t>追究责任，确保每</w:t>
      </w:r>
      <w:r>
        <w:rPr>
          <w:rFonts w:hint="eastAsia" w:cs="Times New Roman"/>
          <w:color w:val="auto"/>
          <w:kern w:val="2"/>
          <w:sz w:val="32"/>
          <w:lang w:eastAsia="zh-CN" w:bidi="ar-SA"/>
        </w:rPr>
        <w:t>起</w:t>
      </w:r>
      <w:r>
        <w:rPr>
          <w:rFonts w:ascii="Calibri" w:hAnsi="Calibri" w:eastAsia="仿宋_GB2312" w:cs="Times New Roman"/>
          <w:color w:val="auto"/>
          <w:kern w:val="2"/>
          <w:sz w:val="32"/>
          <w:lang w:bidi="ar-SA"/>
        </w:rPr>
        <w:t>事故的整改</w:t>
      </w:r>
      <w:r>
        <w:rPr>
          <w:rFonts w:hint="eastAsia" w:cs="Times New Roman"/>
          <w:color w:val="auto"/>
          <w:kern w:val="2"/>
          <w:sz w:val="32"/>
          <w:lang w:val="en-US" w:eastAsia="zh-CN" w:bidi="ar-SA"/>
        </w:rPr>
        <w:t>防范措施</w:t>
      </w:r>
      <w:r>
        <w:rPr>
          <w:rFonts w:ascii="Calibri" w:hAnsi="Calibri" w:eastAsia="仿宋_GB2312" w:cs="Times New Roman"/>
          <w:color w:val="auto"/>
          <w:kern w:val="2"/>
          <w:sz w:val="32"/>
          <w:lang w:bidi="ar-SA"/>
        </w:rPr>
        <w:t>都能</w:t>
      </w:r>
      <w:r>
        <w:rPr>
          <w:rFonts w:hint="eastAsia" w:cs="Times New Roman"/>
          <w:color w:val="auto"/>
          <w:kern w:val="2"/>
          <w:sz w:val="32"/>
          <w:lang w:eastAsia="zh-CN" w:bidi="ar-SA"/>
        </w:rPr>
        <w:t>得到</w:t>
      </w:r>
      <w:r>
        <w:rPr>
          <w:rFonts w:ascii="Calibri" w:hAnsi="Calibri" w:eastAsia="仿宋_GB2312" w:cs="Times New Roman"/>
          <w:color w:val="auto"/>
          <w:kern w:val="2"/>
          <w:sz w:val="32"/>
          <w:lang w:bidi="ar-SA"/>
        </w:rPr>
        <w:t>实实在在的</w:t>
      </w:r>
      <w:r>
        <w:rPr>
          <w:rFonts w:hint="eastAsia" w:cs="Times New Roman"/>
          <w:color w:val="auto"/>
          <w:kern w:val="2"/>
          <w:sz w:val="32"/>
          <w:lang w:eastAsia="zh-CN" w:bidi="ar-SA"/>
        </w:rPr>
        <w:t>落实</w:t>
      </w:r>
      <w:r>
        <w:rPr>
          <w:rFonts w:ascii="Calibri" w:hAnsi="Calibri" w:eastAsia="仿宋_GB2312" w:cs="Times New Roman"/>
          <w:color w:val="auto"/>
          <w:kern w:val="2"/>
          <w:sz w:val="32"/>
          <w:lang w:bidi="ar-SA"/>
        </w:rPr>
        <w:t>。</w:t>
      </w:r>
    </w:p>
    <w:p w14:paraId="2A7510C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eastAsia="黑体"/>
          <w:bCs/>
          <w:sz w:val="32"/>
          <w:szCs w:val="32"/>
          <w:lang w:eastAsia="zh-CN"/>
        </w:rPr>
      </w:pPr>
      <w:r>
        <w:rPr>
          <w:rFonts w:hint="eastAsia" w:eastAsia="黑体" w:cs="黑体"/>
          <w:bCs/>
          <w:sz w:val="32"/>
          <w:szCs w:val="32"/>
          <w:lang w:eastAsia="zh-CN" w:bidi="ar"/>
        </w:rPr>
        <w:t>五、总体</w:t>
      </w:r>
      <w:r>
        <w:rPr>
          <w:rFonts w:hint="eastAsia" w:ascii="Calibri" w:hAnsi="Calibri" w:eastAsia="黑体" w:cs="黑体"/>
          <w:bCs/>
          <w:sz w:val="32"/>
          <w:szCs w:val="32"/>
          <w:lang w:bidi="ar"/>
        </w:rPr>
        <w:t>评估</w:t>
      </w:r>
      <w:r>
        <w:rPr>
          <w:rFonts w:hint="eastAsia" w:eastAsia="黑体" w:cs="黑体"/>
          <w:bCs/>
          <w:sz w:val="32"/>
          <w:szCs w:val="32"/>
          <w:lang w:eastAsia="zh-CN" w:bidi="ar"/>
        </w:rPr>
        <w:t>意见</w:t>
      </w:r>
    </w:p>
    <w:p w14:paraId="5F593ED7">
      <w:pPr>
        <w:pStyle w:val="2"/>
        <w:keepNext w:val="0"/>
        <w:keepLines w:val="0"/>
        <w:pageBreakBefore w:val="0"/>
        <w:widowControl w:val="0"/>
        <w:kinsoku/>
        <w:wordWrap/>
        <w:topLinePunct w:val="0"/>
        <w:autoSpaceDE/>
        <w:autoSpaceDN/>
        <w:bidi w:val="0"/>
        <w:spacing w:line="600" w:lineRule="exact"/>
        <w:ind w:firstLine="640" w:firstLineChars="200"/>
        <w:jc w:val="left"/>
        <w:textAlignment w:val="auto"/>
        <w:rPr>
          <w:rFonts w:hint="eastAsia" w:cs="Times New Roman"/>
          <w:color w:val="auto"/>
          <w:kern w:val="2"/>
          <w:sz w:val="32"/>
          <w:szCs w:val="32"/>
          <w:lang w:val="en-US" w:eastAsia="zh-CN" w:bidi="ar-SA"/>
        </w:rPr>
      </w:pPr>
      <w:r>
        <w:rPr>
          <w:rFonts w:hint="eastAsia" w:cs="Times New Roman"/>
          <w:color w:val="auto"/>
          <w:kern w:val="2"/>
          <w:sz w:val="32"/>
          <w:szCs w:val="32"/>
          <w:lang w:val="en-US" w:eastAsia="zh-CN" w:bidi="ar-SA"/>
        </w:rPr>
        <w:t>评估组认为：栾川县已落实了调查报告提出的问题整改和防范措施建议；事故责任单位和责任人员均已按照事故调查报告提出的处理建议落实到位。</w:t>
      </w:r>
    </w:p>
    <w:p w14:paraId="69B65470">
      <w:pPr>
        <w:pStyle w:val="2"/>
        <w:keepNext w:val="0"/>
        <w:keepLines w:val="0"/>
        <w:pageBreakBefore w:val="0"/>
        <w:widowControl w:val="0"/>
        <w:kinsoku/>
        <w:wordWrap/>
        <w:topLinePunct w:val="0"/>
        <w:autoSpaceDE/>
        <w:autoSpaceDN/>
        <w:bidi w:val="0"/>
        <w:spacing w:line="600" w:lineRule="exact"/>
        <w:ind w:firstLine="640" w:firstLineChars="200"/>
        <w:jc w:val="left"/>
        <w:textAlignment w:val="auto"/>
        <w:rPr>
          <w:rFonts w:hint="default" w:cs="Times New Roman"/>
          <w:color w:val="FF0000"/>
          <w:kern w:val="2"/>
          <w:sz w:val="32"/>
          <w:szCs w:val="32"/>
          <w:lang w:val="en-US" w:eastAsia="zh-CN" w:bidi="ar-SA"/>
        </w:rPr>
      </w:pPr>
    </w:p>
    <w:p w14:paraId="15FE8088">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仿宋_GB2312" w:hAnsi="仿宋" w:cs="Times New Roman"/>
          <w:kern w:val="2"/>
          <w:sz w:val="32"/>
          <w:szCs w:val="32"/>
          <w:lang w:val="en-US" w:eastAsia="zh-CN" w:bidi="ar-SA"/>
        </w:rPr>
      </w:pPr>
    </w:p>
    <w:p w14:paraId="6C26DAB2">
      <w:pPr>
        <w:pStyle w:val="2"/>
        <w:keepNext w:val="0"/>
        <w:keepLines w:val="0"/>
        <w:pageBreakBefore w:val="0"/>
        <w:kinsoku/>
        <w:wordWrap/>
        <w:topLinePunct w:val="0"/>
        <w:autoSpaceDE/>
        <w:autoSpaceDN/>
        <w:bidi w:val="0"/>
        <w:spacing w:line="600" w:lineRule="exact"/>
        <w:textAlignment w:val="auto"/>
        <w:rPr>
          <w:rFonts w:hint="eastAsia"/>
          <w:lang w:val="en-US" w:eastAsia="zh-CN"/>
        </w:rPr>
      </w:pPr>
    </w:p>
    <w:p w14:paraId="032A93E3">
      <w:pPr>
        <w:keepNext w:val="0"/>
        <w:keepLines w:val="0"/>
        <w:pageBreakBefore w:val="0"/>
        <w:kinsoku/>
        <w:wordWrap/>
        <w:topLinePunct w:val="0"/>
        <w:autoSpaceDE/>
        <w:autoSpaceDN/>
        <w:bidi w:val="0"/>
        <w:spacing w:line="600" w:lineRule="exact"/>
        <w:textAlignment w:val="auto"/>
        <w:rPr>
          <w:rFonts w:hint="eastAsia"/>
          <w:lang w:val="en-US" w:eastAsia="zh-CN"/>
        </w:rPr>
      </w:pP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1936E88-F399-4D05-8305-DA50306398E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FCBB999E-2432-43BB-BA1D-E9A89B027F64}"/>
  </w:font>
  <w:font w:name="仿宋_GB2312">
    <w:panose1 w:val="02010609030101010101"/>
    <w:charset w:val="86"/>
    <w:family w:val="auto"/>
    <w:pitch w:val="default"/>
    <w:sig w:usb0="00000001" w:usb1="080E0000" w:usb2="00000000" w:usb3="00000000" w:csb0="00040000" w:csb1="00000000"/>
    <w:embedRegular r:id="rId3" w:fontKey="{2055886F-70E9-4B72-BEA3-FE9021F37E4C}"/>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4" w:fontKey="{B32E78CE-52EB-4D67-B847-9A3B3D86D739}"/>
  </w:font>
  <w:font w:name="小标宋">
    <w:altName w:val="方正小标宋简体"/>
    <w:panose1 w:val="03000509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embedRegular r:id="rId5" w:fontKey="{DC4DA85A-6855-412C-8798-F3C81D5B766B}"/>
  </w:font>
  <w:font w:name="Cambria">
    <w:panose1 w:val="02040503050406030204"/>
    <w:charset w:val="00"/>
    <w:family w:val="roman"/>
    <w:pitch w:val="default"/>
    <w:sig w:usb0="A00002EF" w:usb1="4000004B" w:usb2="00000000" w:usb3="00000000" w:csb0="2000009F" w:csb1="00000000"/>
  </w:font>
  <w:font w:name="楷体_GB2312">
    <w:panose1 w:val="02010609030101010101"/>
    <w:charset w:val="86"/>
    <w:family w:val="auto"/>
    <w:pitch w:val="default"/>
    <w:sig w:usb0="00000001" w:usb1="080E0000" w:usb2="00000000" w:usb3="00000000" w:csb0="00040000" w:csb1="00000000"/>
    <w:embedRegular r:id="rId6" w:fontKey="{82524374-9AEB-4A19-9DBC-8A0B4FDBDCA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1C7C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92C233">
                          <w:pPr>
                            <w:pStyle w:val="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C92C233">
                    <w:pPr>
                      <w:pStyle w:val="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1AC1D">
    <w:pPr>
      <w:pStyle w:val="9"/>
    </w:pPr>
    <w:r>
      <w:rPr>
        <w:sz w:val="18"/>
      </w:rPr>
      <w:pict>
        <v:shape id="PowerPlusWaterMarkObject63088" o:spid="_x0000_s4097" o:spt="136" type="#_x0000_t136" style="position:absolute;left:0pt;height:121.6pt;width:465.65pt;mso-position-horizontal:center;mso-position-horizontal-relative:margin;mso-position-vertical:center;mso-position-vertical-relative:margin;rotation:-2949120f;z-index:-251656192;mso-width-relative:page;mso-height-relative:page;" fillcolor="#595959" filled="t" stroked="f" coordsize="21600,21600" adj="10800">
          <v:path/>
          <v:fill on="t" opacity="32768f" focussize="0,0"/>
          <v:stroke on="f"/>
          <v:imagedata o:title=""/>
          <o:lock v:ext="edit" aspectratio="t"/>
          <v:textpath on="t" fitshape="t" fitpath="t" trim="t" xscale="f" string="网上公示稿" style="font-family:微软雅黑;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jZTAxYzA2YzRmNjVlNDM2NzAyZjY2MDljZmQ3OGIifQ=="/>
  </w:docVars>
  <w:rsids>
    <w:rsidRoot w:val="08F33ACC"/>
    <w:rsid w:val="002E1F6F"/>
    <w:rsid w:val="005D754F"/>
    <w:rsid w:val="01802DEE"/>
    <w:rsid w:val="01C205FE"/>
    <w:rsid w:val="01E55D08"/>
    <w:rsid w:val="0247556A"/>
    <w:rsid w:val="03031491"/>
    <w:rsid w:val="05116589"/>
    <w:rsid w:val="065F0587"/>
    <w:rsid w:val="06A06DC7"/>
    <w:rsid w:val="073050E5"/>
    <w:rsid w:val="08ED512C"/>
    <w:rsid w:val="08F33ACC"/>
    <w:rsid w:val="09727371"/>
    <w:rsid w:val="09A7288F"/>
    <w:rsid w:val="0A344626"/>
    <w:rsid w:val="0AE25BD1"/>
    <w:rsid w:val="0BA6356D"/>
    <w:rsid w:val="0BB62F04"/>
    <w:rsid w:val="0CFA1B57"/>
    <w:rsid w:val="0D076022"/>
    <w:rsid w:val="0DB735A4"/>
    <w:rsid w:val="0EA509B9"/>
    <w:rsid w:val="0FA77648"/>
    <w:rsid w:val="110864A9"/>
    <w:rsid w:val="115B6363"/>
    <w:rsid w:val="11B039AE"/>
    <w:rsid w:val="11BA3663"/>
    <w:rsid w:val="12402E84"/>
    <w:rsid w:val="13D02BC9"/>
    <w:rsid w:val="15127C5A"/>
    <w:rsid w:val="151C7F48"/>
    <w:rsid w:val="15D91F5D"/>
    <w:rsid w:val="1644303C"/>
    <w:rsid w:val="16D71D65"/>
    <w:rsid w:val="1718645D"/>
    <w:rsid w:val="17203BCA"/>
    <w:rsid w:val="17D519A3"/>
    <w:rsid w:val="17E1374A"/>
    <w:rsid w:val="18544907"/>
    <w:rsid w:val="19251076"/>
    <w:rsid w:val="193E726F"/>
    <w:rsid w:val="19CA7222"/>
    <w:rsid w:val="1A497C7A"/>
    <w:rsid w:val="1A995A2D"/>
    <w:rsid w:val="1AF15A58"/>
    <w:rsid w:val="1B1341C5"/>
    <w:rsid w:val="1B8F6059"/>
    <w:rsid w:val="1BED7D56"/>
    <w:rsid w:val="1C5E5533"/>
    <w:rsid w:val="1CF6449C"/>
    <w:rsid w:val="1D4E26A5"/>
    <w:rsid w:val="1DF57016"/>
    <w:rsid w:val="1ECE699F"/>
    <w:rsid w:val="204347E7"/>
    <w:rsid w:val="2073578E"/>
    <w:rsid w:val="20765340"/>
    <w:rsid w:val="20854AE6"/>
    <w:rsid w:val="20C847C5"/>
    <w:rsid w:val="2284070D"/>
    <w:rsid w:val="234A2791"/>
    <w:rsid w:val="2378385F"/>
    <w:rsid w:val="23C810C6"/>
    <w:rsid w:val="25364B33"/>
    <w:rsid w:val="261E52E3"/>
    <w:rsid w:val="271259F8"/>
    <w:rsid w:val="271A5522"/>
    <w:rsid w:val="27550CD5"/>
    <w:rsid w:val="28615EB5"/>
    <w:rsid w:val="28AC13A8"/>
    <w:rsid w:val="28B10FDE"/>
    <w:rsid w:val="28C22244"/>
    <w:rsid w:val="298B7936"/>
    <w:rsid w:val="29993DFB"/>
    <w:rsid w:val="29BF46D2"/>
    <w:rsid w:val="29FF6315"/>
    <w:rsid w:val="2A78776A"/>
    <w:rsid w:val="2ADA14E3"/>
    <w:rsid w:val="2B233836"/>
    <w:rsid w:val="2B342280"/>
    <w:rsid w:val="2BCA6741"/>
    <w:rsid w:val="2C5836A9"/>
    <w:rsid w:val="2C667BAE"/>
    <w:rsid w:val="2C9E2A58"/>
    <w:rsid w:val="2CCD7F94"/>
    <w:rsid w:val="2D7EF5A9"/>
    <w:rsid w:val="2E984AAB"/>
    <w:rsid w:val="2EA656A3"/>
    <w:rsid w:val="311956BC"/>
    <w:rsid w:val="31E700F2"/>
    <w:rsid w:val="32FA4F54"/>
    <w:rsid w:val="339B0F9B"/>
    <w:rsid w:val="33E65192"/>
    <w:rsid w:val="340030B3"/>
    <w:rsid w:val="34BB21B8"/>
    <w:rsid w:val="35104129"/>
    <w:rsid w:val="355754E9"/>
    <w:rsid w:val="35671B8B"/>
    <w:rsid w:val="35A157B0"/>
    <w:rsid w:val="363C023B"/>
    <w:rsid w:val="368D779E"/>
    <w:rsid w:val="372F07D3"/>
    <w:rsid w:val="37B05B56"/>
    <w:rsid w:val="3819572B"/>
    <w:rsid w:val="38FF5928"/>
    <w:rsid w:val="39111E53"/>
    <w:rsid w:val="39267762"/>
    <w:rsid w:val="39385CA5"/>
    <w:rsid w:val="394B7113"/>
    <w:rsid w:val="398C2482"/>
    <w:rsid w:val="399C142F"/>
    <w:rsid w:val="39BDF657"/>
    <w:rsid w:val="39E53339"/>
    <w:rsid w:val="3AAC4313"/>
    <w:rsid w:val="3C8373B1"/>
    <w:rsid w:val="3E0656D2"/>
    <w:rsid w:val="3E6D757D"/>
    <w:rsid w:val="3E7C7897"/>
    <w:rsid w:val="3EC23D69"/>
    <w:rsid w:val="3F870779"/>
    <w:rsid w:val="414C4DD0"/>
    <w:rsid w:val="418475F8"/>
    <w:rsid w:val="425F0C66"/>
    <w:rsid w:val="42602CC4"/>
    <w:rsid w:val="426E79CE"/>
    <w:rsid w:val="42D77C69"/>
    <w:rsid w:val="43593346"/>
    <w:rsid w:val="4377196D"/>
    <w:rsid w:val="44051FDC"/>
    <w:rsid w:val="44130C4C"/>
    <w:rsid w:val="444C5D88"/>
    <w:rsid w:val="47947ED7"/>
    <w:rsid w:val="47AA120F"/>
    <w:rsid w:val="48D82045"/>
    <w:rsid w:val="4B8045C6"/>
    <w:rsid w:val="4BD034A7"/>
    <w:rsid w:val="4BE01E83"/>
    <w:rsid w:val="4C325550"/>
    <w:rsid w:val="4CA77A95"/>
    <w:rsid w:val="4D203FBB"/>
    <w:rsid w:val="4D4B6DC4"/>
    <w:rsid w:val="4DBA7F6B"/>
    <w:rsid w:val="4E8F13F8"/>
    <w:rsid w:val="4F9FC7E5"/>
    <w:rsid w:val="50B138A7"/>
    <w:rsid w:val="52006AAD"/>
    <w:rsid w:val="52081B54"/>
    <w:rsid w:val="520C318F"/>
    <w:rsid w:val="5325232B"/>
    <w:rsid w:val="554A42CB"/>
    <w:rsid w:val="55CE6CAA"/>
    <w:rsid w:val="56EF52FE"/>
    <w:rsid w:val="57B323AE"/>
    <w:rsid w:val="57BEF6E3"/>
    <w:rsid w:val="59480FF4"/>
    <w:rsid w:val="59C824C1"/>
    <w:rsid w:val="5A206B10"/>
    <w:rsid w:val="5AFD3673"/>
    <w:rsid w:val="5B7C55AD"/>
    <w:rsid w:val="5B8D6CBF"/>
    <w:rsid w:val="5CA2551E"/>
    <w:rsid w:val="5E802B0B"/>
    <w:rsid w:val="5E977D01"/>
    <w:rsid w:val="5EC90BC6"/>
    <w:rsid w:val="5EFF3BB3"/>
    <w:rsid w:val="5F0E6432"/>
    <w:rsid w:val="603E1BD1"/>
    <w:rsid w:val="608B4572"/>
    <w:rsid w:val="609D1311"/>
    <w:rsid w:val="61860438"/>
    <w:rsid w:val="619758FD"/>
    <w:rsid w:val="62EA4D81"/>
    <w:rsid w:val="63275C4B"/>
    <w:rsid w:val="636504FC"/>
    <w:rsid w:val="63FA61A4"/>
    <w:rsid w:val="64C15E76"/>
    <w:rsid w:val="65DA349F"/>
    <w:rsid w:val="66050C13"/>
    <w:rsid w:val="673B53D5"/>
    <w:rsid w:val="675971F6"/>
    <w:rsid w:val="687435EE"/>
    <w:rsid w:val="69542F0A"/>
    <w:rsid w:val="696E0130"/>
    <w:rsid w:val="697E59BE"/>
    <w:rsid w:val="69C1474D"/>
    <w:rsid w:val="6A42067F"/>
    <w:rsid w:val="6A496C5C"/>
    <w:rsid w:val="6A4E61B3"/>
    <w:rsid w:val="6C36519D"/>
    <w:rsid w:val="6D1A237D"/>
    <w:rsid w:val="6D2243BE"/>
    <w:rsid w:val="6DBA3B74"/>
    <w:rsid w:val="6E4C1361"/>
    <w:rsid w:val="6F2A18FC"/>
    <w:rsid w:val="6F6E5B6D"/>
    <w:rsid w:val="6F8C4963"/>
    <w:rsid w:val="6FF548F3"/>
    <w:rsid w:val="6FFF3C0F"/>
    <w:rsid w:val="701E2184"/>
    <w:rsid w:val="70410146"/>
    <w:rsid w:val="707124A6"/>
    <w:rsid w:val="70A91E26"/>
    <w:rsid w:val="70E8780D"/>
    <w:rsid w:val="70F01D72"/>
    <w:rsid w:val="70FB4E07"/>
    <w:rsid w:val="729D6627"/>
    <w:rsid w:val="72B1108D"/>
    <w:rsid w:val="72B80E00"/>
    <w:rsid w:val="72EA7E91"/>
    <w:rsid w:val="73626DFC"/>
    <w:rsid w:val="752158DC"/>
    <w:rsid w:val="76B24BBF"/>
    <w:rsid w:val="77FFEBAD"/>
    <w:rsid w:val="78246F37"/>
    <w:rsid w:val="785D6A0E"/>
    <w:rsid w:val="78B515F9"/>
    <w:rsid w:val="791C3E2E"/>
    <w:rsid w:val="79AA4512"/>
    <w:rsid w:val="79D264B9"/>
    <w:rsid w:val="7A501B64"/>
    <w:rsid w:val="7B7A0BB6"/>
    <w:rsid w:val="7BC3441E"/>
    <w:rsid w:val="7C1F0452"/>
    <w:rsid w:val="7CB60F70"/>
    <w:rsid w:val="7D9A4213"/>
    <w:rsid w:val="7DCC7AD0"/>
    <w:rsid w:val="7E2D1F10"/>
    <w:rsid w:val="7E2F41F3"/>
    <w:rsid w:val="7EEA1BAF"/>
    <w:rsid w:val="7EF403C5"/>
    <w:rsid w:val="7F7C3A97"/>
    <w:rsid w:val="7FFA97BB"/>
    <w:rsid w:val="9B1F0C8C"/>
    <w:rsid w:val="AD5FB856"/>
    <w:rsid w:val="AEFF660B"/>
    <w:rsid w:val="AFB9D390"/>
    <w:rsid w:val="B9ED8C9F"/>
    <w:rsid w:val="BB33930F"/>
    <w:rsid w:val="D1FFFE64"/>
    <w:rsid w:val="DE6D0966"/>
    <w:rsid w:val="DF3D1526"/>
    <w:rsid w:val="EEFFF7CA"/>
    <w:rsid w:val="F39F7E4C"/>
    <w:rsid w:val="FF5EE867"/>
    <w:rsid w:val="FFAF15EB"/>
    <w:rsid w:val="FFCF5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lang w:val="en-US" w:eastAsia="zh-CN" w:bidi="ar-SA"/>
    </w:rPr>
  </w:style>
  <w:style w:type="paragraph" w:styleId="3">
    <w:name w:val="heading 2"/>
    <w:basedOn w:val="1"/>
    <w:next w:val="1"/>
    <w:link w:val="18"/>
    <w:semiHidden/>
    <w:unhideWhenUsed/>
    <w:qFormat/>
    <w:uiPriority w:val="0"/>
    <w:pPr>
      <w:keepNext/>
      <w:keepLines/>
      <w:spacing w:before="260" w:beforeLines="0" w:beforeAutospacing="0" w:after="260" w:afterLines="0" w:afterAutospacing="0" w:line="413" w:lineRule="auto"/>
      <w:outlineLvl w:val="1"/>
    </w:pPr>
    <w:rPr>
      <w:rFonts w:ascii="Arial" w:hAnsi="Arial" w:eastAsia="华文仿宋" w:cs="仿宋"/>
      <w:sz w:val="32"/>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ascii="Calibri" w:hAnsi="Calibri" w:cs="Times New Roman"/>
      <w:sz w:val="21"/>
    </w:rPr>
  </w:style>
  <w:style w:type="paragraph" w:styleId="4">
    <w:name w:val="Normal Indent"/>
    <w:basedOn w:val="1"/>
    <w:qFormat/>
    <w:uiPriority w:val="0"/>
    <w:pPr>
      <w:ind w:firstLine="420" w:firstLineChars="200"/>
    </w:pPr>
    <w:rPr>
      <w:rFonts w:ascii="Calibri" w:hAnsi="Calibri" w:eastAsia="仿宋" w:cs="宋体"/>
      <w:sz w:val="32"/>
    </w:rPr>
  </w:style>
  <w:style w:type="paragraph" w:styleId="5">
    <w:name w:val="Body Text"/>
    <w:basedOn w:val="1"/>
    <w:next w:val="6"/>
    <w:qFormat/>
    <w:uiPriority w:val="0"/>
    <w:pPr>
      <w:spacing w:line="0" w:lineRule="atLeast"/>
    </w:pPr>
    <w:rPr>
      <w:rFonts w:eastAsia="小标宋"/>
      <w:sz w:val="44"/>
    </w:rPr>
  </w:style>
  <w:style w:type="paragraph" w:styleId="6">
    <w:name w:val="Body Text 2"/>
    <w:basedOn w:val="1"/>
    <w:qFormat/>
    <w:uiPriority w:val="0"/>
    <w:rPr>
      <w:rFonts w:eastAsia="仿宋_GB2312"/>
      <w:sz w:val="30"/>
    </w:rPr>
  </w:style>
  <w:style w:type="paragraph" w:styleId="7">
    <w:name w:val="Body Text Indent"/>
    <w:basedOn w:val="1"/>
    <w:qFormat/>
    <w:uiPriority w:val="0"/>
    <w:pPr>
      <w:spacing w:after="120" w:afterAutospacing="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Autospacing="1" w:afterAutospacing="1"/>
      <w:jc w:val="left"/>
    </w:pPr>
    <w:rPr>
      <w:rFonts w:ascii="Calibri" w:hAnsi="Calibri" w:eastAsia="宋体" w:cs="Times New Roman"/>
      <w:kern w:val="0"/>
      <w:sz w:val="24"/>
      <w:szCs w:val="22"/>
    </w:rPr>
  </w:style>
  <w:style w:type="paragraph" w:styleId="11">
    <w:name w:val="Title"/>
    <w:basedOn w:val="1"/>
    <w:next w:val="1"/>
    <w:qFormat/>
    <w:uiPriority w:val="10"/>
    <w:pPr>
      <w:spacing w:before="240" w:beforeLines="0" w:after="60" w:afterLines="0"/>
      <w:jc w:val="center"/>
      <w:outlineLvl w:val="0"/>
    </w:pPr>
    <w:rPr>
      <w:rFonts w:ascii="方正小标宋简体" w:hAnsi="Cambria" w:eastAsia="方正小标宋简体" w:cs="Times New Roman"/>
      <w:sz w:val="44"/>
      <w:szCs w:val="44"/>
    </w:rPr>
  </w:style>
  <w:style w:type="paragraph" w:styleId="12">
    <w:name w:val="Body Text First Indent"/>
    <w:basedOn w:val="5"/>
    <w:next w:val="13"/>
    <w:qFormat/>
    <w:uiPriority w:val="0"/>
    <w:pPr>
      <w:ind w:firstLine="420" w:firstLineChars="100"/>
    </w:pPr>
  </w:style>
  <w:style w:type="paragraph" w:styleId="13">
    <w:name w:val="Body Text First Indent 2"/>
    <w:basedOn w:val="7"/>
    <w:next w:val="5"/>
    <w:qFormat/>
    <w:uiPriority w:val="0"/>
    <w:pPr>
      <w:ind w:firstLine="42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qFormat/>
    <w:uiPriority w:val="0"/>
    <w:rPr>
      <w:color w:val="0000FF"/>
      <w:u w:val="single"/>
    </w:rPr>
  </w:style>
  <w:style w:type="character" w:customStyle="1" w:styleId="18">
    <w:name w:val="标题 2 Char"/>
    <w:link w:val="3"/>
    <w:qFormat/>
    <w:uiPriority w:val="0"/>
    <w:rPr>
      <w:rFonts w:ascii="Arial" w:hAnsi="Arial" w:eastAsia="华文仿宋" w:cs="仿宋"/>
      <w:sz w:val="32"/>
      <w:szCs w:val="32"/>
    </w:rPr>
  </w:style>
  <w:style w:type="paragraph" w:customStyle="1" w:styleId="19">
    <w:name w:val="正文（缩进）"/>
    <w:basedOn w:val="1"/>
    <w:qFormat/>
    <w:uiPriority w:val="0"/>
    <w:pPr>
      <w:spacing w:before="50" w:after="50"/>
      <w:ind w:firstLine="200"/>
    </w:pPr>
  </w:style>
  <w:style w:type="character" w:customStyle="1" w:styleId="20">
    <w:name w:val="NormalCharacter"/>
    <w:basedOn w:val="16"/>
    <w:qFormat/>
    <w:uiPriority w:val="0"/>
    <w:rPr>
      <w:rFonts w:hint="default" w:ascii="Calibri" w:hAnsi="Calibri" w:eastAsia="宋体" w:cs="Calibr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1782</Words>
  <Characters>1826</Characters>
  <Lines>0</Lines>
  <Paragraphs>0</Paragraphs>
  <TotalTime>5</TotalTime>
  <ScaleCrop>false</ScaleCrop>
  <LinksUpToDate>false</LinksUpToDate>
  <CharactersWithSpaces>1831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2023-06-09T07:18:00Z</dcterms:created>
  <dc:creator>走过大漠</dc:creator>
  <cp:lastModifiedBy>九龙鼎</cp:lastModifiedBy>
  <cp:lastPrinted>2025-04-08T02:54:36Z</cp:lastPrinted>
  <dcterms:modified xsi:type="dcterms:W3CDTF">2025-04-08T02:54:40Z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54EA7FE3A59746639D22F8C0534C0993_13</vt:lpwstr>
  </property>
  <property fmtid="{D5CDD505-2E9C-101B-9397-08002B2CF9AE}" pid="4" name="KSOTemplateDocerSaveRecord">
    <vt:lpwstr>eyJoZGlkIjoiODdjZTAxYzA2YzRmNjVlNDM2NzAyZjY2MDljZmQ3OGIiLCJ1c2VySWQiOiIyOTc2ODEwNDkifQ==</vt:lpwstr>
  </property>
</Properties>
</file>