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line="600" w:lineRule="exact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洛阳市</w:t>
      </w:r>
      <w:r>
        <w:rPr>
          <w:rFonts w:hint="eastAsia" w:ascii="Times New Roman" w:hAnsi="Times New Roman"/>
          <w:b/>
          <w:bCs/>
          <w:sz w:val="44"/>
          <w:szCs w:val="44"/>
        </w:rPr>
        <w:t>城市区</w:t>
      </w:r>
      <w:r>
        <w:rPr>
          <w:rFonts w:ascii="Times New Roman" w:hAnsi="Times New Roman"/>
          <w:b/>
          <w:bCs/>
          <w:sz w:val="44"/>
          <w:szCs w:val="44"/>
        </w:rPr>
        <w:t>照明</w:t>
      </w:r>
      <w:r>
        <w:rPr>
          <w:rFonts w:hint="eastAsia" w:ascii="Times New Roman" w:hAnsi="Times New Roman"/>
          <w:b/>
          <w:bCs/>
          <w:sz w:val="44"/>
          <w:szCs w:val="44"/>
        </w:rPr>
        <w:t>设施</w:t>
      </w:r>
      <w:r>
        <w:rPr>
          <w:rFonts w:ascii="Times New Roman" w:hAnsi="Times New Roman"/>
          <w:b/>
          <w:bCs/>
          <w:sz w:val="44"/>
          <w:szCs w:val="44"/>
        </w:rPr>
        <w:t>合同能源管理</w:t>
      </w:r>
    </w:p>
    <w:p>
      <w:pPr>
        <w:shd w:val="clear"/>
        <w:spacing w:line="600" w:lineRule="exact"/>
        <w:jc w:val="center"/>
        <w:rPr>
          <w:rFonts w:hint="eastAsia" w:ascii="Times New Roman" w:hAnsi="Times New Roman" w:eastAsia="宋体"/>
          <w:b/>
          <w:bCs/>
          <w:sz w:val="44"/>
          <w:szCs w:val="44"/>
          <w:lang w:eastAsia="zh-CN"/>
        </w:rPr>
      </w:pPr>
      <w:r>
        <w:rPr>
          <w:rFonts w:ascii="Times New Roman" w:hAnsi="Times New Roman"/>
          <w:b/>
          <w:bCs/>
          <w:sz w:val="44"/>
          <w:szCs w:val="44"/>
        </w:rPr>
        <w:t>实施方案</w:t>
      </w:r>
      <w:r>
        <w:rPr>
          <w:rFonts w:hint="eastAsia" w:ascii="Times New Roman" w:hAnsi="Times New Roman"/>
          <w:b/>
          <w:bCs/>
          <w:sz w:val="44"/>
          <w:szCs w:val="44"/>
          <w:lang w:eastAsia="zh-CN"/>
        </w:rPr>
        <w:t>（征求意见稿）</w:t>
      </w:r>
    </w:p>
    <w:p>
      <w:pPr>
        <w:shd w:val="clear"/>
        <w:spacing w:line="600" w:lineRule="exact"/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shd w:val="clear"/>
        <w:spacing w:line="60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为大力推动我市节能减碳工作，根据《2024—2025年节能降碳行动方案》（国发〔2024〕12号）等文件精神，结合我市实际，特制定本方案。</w:t>
      </w:r>
    </w:p>
    <w:p>
      <w:pPr>
        <w:shd w:val="clear"/>
        <w:spacing w:line="60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一、总体目标</w:t>
      </w:r>
      <w:bookmarkStart w:id="0" w:name="_GoBack"/>
      <w:bookmarkEnd w:id="0"/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围绕实现“碳达峰、碳中和”目标，结合我市实际情况和节能试点试验结果，我市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节能提升改造的合同能源管理模式确定为：</w:t>
      </w:r>
      <w:r>
        <w:rPr>
          <w:rFonts w:hint="eastAsia" w:ascii="黑体" w:eastAsia="黑体" w:cs="黑体"/>
          <w:sz w:val="32"/>
          <w:szCs w:val="32"/>
        </w:rPr>
        <w:t>能源费用托管型，</w:t>
      </w:r>
      <w:r>
        <w:rPr>
          <w:rFonts w:ascii="Times New Roman" w:hAnsi="Times New Roman" w:eastAsia="仿宋_GB2312" w:cs="Times New Roman"/>
          <w:sz w:val="32"/>
          <w:szCs w:val="32"/>
        </w:rPr>
        <w:t>即：由市城市管理局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市政设施事务中心</w:t>
      </w:r>
      <w:r>
        <w:rPr>
          <w:rFonts w:ascii="Times New Roman" w:hAnsi="Times New Roman" w:eastAsia="仿宋_GB2312" w:cs="Times New Roman"/>
          <w:sz w:val="32"/>
          <w:szCs w:val="32"/>
          <w:lang w:val="en-US"/>
        </w:rPr>
        <w:t>(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以下简称“市政中心”</w:t>
      </w:r>
      <w:r>
        <w:rPr>
          <w:rFonts w:ascii="Times New Roman" w:hAnsi="Times New Roman" w:eastAsia="仿宋_GB2312" w:cs="Times New Roman"/>
          <w:sz w:val="32"/>
          <w:szCs w:val="32"/>
          <w:lang w:val="en-US"/>
        </w:rPr>
        <w:t>)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委</w:t>
      </w:r>
      <w:r>
        <w:rPr>
          <w:rFonts w:ascii="Times New Roman" w:hAnsi="Times New Roman" w:eastAsia="仿宋_GB2312" w:cs="Times New Roman"/>
          <w:sz w:val="32"/>
          <w:szCs w:val="32"/>
        </w:rPr>
        <w:t>托节能服务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企业</w:t>
      </w:r>
      <w:r>
        <w:rPr>
          <w:rFonts w:ascii="Times New Roman" w:hAnsi="Times New Roman" w:eastAsia="仿宋_GB2312" w:cs="Times New Roman"/>
          <w:sz w:val="32"/>
          <w:szCs w:val="32"/>
        </w:rPr>
        <w:t>进行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照明系统的运行、管理、维护和节能改造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根据能源基准确定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托管</w:t>
      </w:r>
      <w:r>
        <w:rPr>
          <w:rFonts w:ascii="Times New Roman" w:hAnsi="Times New Roman" w:eastAsia="仿宋_GB2312" w:cs="Times New Roman"/>
          <w:sz w:val="32"/>
          <w:szCs w:val="32"/>
        </w:rPr>
        <w:t>费用，支付给节能服务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企业</w:t>
      </w:r>
      <w:r>
        <w:rPr>
          <w:rFonts w:ascii="Times New Roman" w:hAnsi="Times New Roman" w:eastAsia="仿宋_GB2312" w:cs="Times New Roman"/>
          <w:sz w:val="32"/>
          <w:szCs w:val="32"/>
        </w:rPr>
        <w:t>作为托管费用。全面实施全市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节能升级改造，积极推进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智慧管控，探索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“零碳”运行新模式，着力提升城市照明效率，进一步实现我市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节电降碳、节约电费的“双节”目标，促进城市照明绿色低碳发展。</w:t>
      </w:r>
    </w:p>
    <w:p>
      <w:pPr>
        <w:shd w:val="clear"/>
        <w:spacing w:line="60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二、实施范围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洛阳中心城区范围内</w:t>
      </w:r>
      <w:r>
        <w:rPr>
          <w:rFonts w:ascii="Times New Roman" w:hAnsi="Times New Roman" w:eastAsia="仿宋_GB2312" w:cs="Times New Roman"/>
          <w:sz w:val="32"/>
          <w:szCs w:val="32"/>
        </w:rPr>
        <w:t>（不含孟津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、偃师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区</w:t>
      </w:r>
      <w:r>
        <w:rPr>
          <w:rFonts w:ascii="Times New Roman" w:hAnsi="Times New Roman" w:eastAsia="仿宋_GB2312" w:cs="Times New Roman"/>
          <w:sz w:val="32"/>
          <w:szCs w:val="32"/>
        </w:rPr>
        <w:t>）由市财政代缴电费的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462条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道路</w:t>
      </w:r>
      <w:r>
        <w:rPr>
          <w:rFonts w:ascii="Times New Roman" w:hAnsi="Times New Roman" w:eastAsia="仿宋_GB2312" w:cs="Times New Roman"/>
          <w:sz w:val="32"/>
          <w:szCs w:val="32"/>
        </w:rPr>
        <w:t>照明设施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，内容为灯具</w:t>
      </w:r>
      <w:r>
        <w:rPr>
          <w:rFonts w:ascii="Times New Roman" w:hAnsi="Times New Roman" w:eastAsia="仿宋_GB2312" w:cs="Times New Roman"/>
          <w:sz w:val="32"/>
          <w:szCs w:val="32"/>
        </w:rPr>
        <w:t>节能改造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系统的运行管理、维修维护等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hd w:val="clear"/>
        <w:spacing w:line="60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三、主要任务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（一）改造存量设施。</w:t>
      </w:r>
      <w:r>
        <w:rPr>
          <w:rFonts w:ascii="Times New Roman" w:hAnsi="Times New Roman" w:eastAsia="仿宋_GB2312" w:cs="Times New Roman"/>
          <w:sz w:val="32"/>
          <w:szCs w:val="32"/>
        </w:rPr>
        <w:t>推进传统光源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的节能升级改造，主要包括灯具更换、智慧城市照明管理平台建设及配套设施设备更换。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（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二</w:t>
      </w: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）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实现智慧</w:t>
      </w: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管控。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建设智慧城市照明管理平台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深化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智慧管控，实现远程监测、精准控制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亮度，数据分析，故障报警，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基本实现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单灯控制全覆盖，实现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统一智能控制。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（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三</w:t>
      </w: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）规范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新建设施</w:t>
      </w: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在各类新</w:t>
      </w:r>
      <w:r>
        <w:rPr>
          <w:rFonts w:ascii="Times New Roman" w:hAnsi="Times New Roman" w:eastAsia="仿宋_GB2312" w:cs="Times New Roman"/>
          <w:sz w:val="32"/>
          <w:szCs w:val="32"/>
        </w:rPr>
        <w:t>（改、扩）建道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路的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建设中严格执行节能升级改造标准，确保新（改</w:t>
      </w:r>
      <w:r>
        <w:rPr>
          <w:rFonts w:ascii="Times New Roman" w:hAnsi="Times New Roman" w:eastAsia="仿宋_GB2312" w:cs="Times New Roman"/>
          <w:sz w:val="32"/>
          <w:szCs w:val="32"/>
        </w:rPr>
        <w:t>、扩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）建道路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高光效LED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灯具及单灯控制器普及率达到100%。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黑体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2"/>
          <w:sz w:val="32"/>
          <w:szCs w:val="32"/>
        </w:rPr>
        <w:t>四、托管费用</w:t>
      </w:r>
    </w:p>
    <w:p>
      <w:pPr>
        <w:pStyle w:val="8"/>
        <w:widowControl w:val="0"/>
        <w:shd w:val="clear"/>
        <w:spacing w:before="0" w:beforeAutospacing="0" w:after="0" w:afterAutospacing="0" w:line="600" w:lineRule="exact"/>
        <w:ind w:left="0"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结合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近</w:t>
      </w:r>
      <w:r>
        <w:rPr>
          <w:rFonts w:ascii="Times New Roman" w:hAnsi="Times New Roman" w:eastAsia="仿宋_GB2312" w:cs="Times New Roman"/>
          <w:sz w:val="32"/>
          <w:szCs w:val="32"/>
        </w:rPr>
        <w:t>两年实际电费和第三方机构测算值，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确定存量设施年度托管费用上限为6000万元/年（包含电费和养护费两部分），</w:t>
      </w:r>
      <w:r>
        <w:rPr>
          <w:rFonts w:ascii="Times New Roman" w:hAnsi="Times New Roman" w:eastAsia="仿宋_GB2312" w:cs="Times New Roman"/>
          <w:sz w:val="32"/>
          <w:szCs w:val="32"/>
        </w:rPr>
        <w:t>合同履行期限为10年托管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用由财政统一支付。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五、实施步骤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（一）前期准备阶段（2025年3月底前）</w:t>
      </w:r>
      <w:r>
        <w:rPr>
          <w:rFonts w:hint="eastAsia" w:ascii="楷体_GB2312" w:eastAsia="楷体_GB2312" w:cs="楷体_GB2312"/>
          <w:b/>
          <w:bCs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全面开展排查梳理，核对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数量，制定工作方案。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（二）项目招标阶段（2025年5月底前）</w:t>
      </w:r>
      <w:r>
        <w:rPr>
          <w:rFonts w:hint="eastAsia" w:ascii="楷体_GB2312" w:eastAsia="楷体_GB2312" w:cs="楷体_GB2312"/>
          <w:b/>
          <w:bCs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完成招标文件编制，通过公开招标确定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城市区照明设施合同能源管理</w:t>
      </w:r>
      <w:r>
        <w:rPr>
          <w:rFonts w:ascii="Times New Roman" w:hAnsi="Times New Roman" w:eastAsia="仿宋_GB2312" w:cs="Times New Roman"/>
          <w:sz w:val="32"/>
          <w:szCs w:val="32"/>
        </w:rPr>
        <w:t>项目的服务单位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明确目标、要求和实施期限。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（三）项目</w:t>
      </w:r>
      <w:r>
        <w:rPr>
          <w:rFonts w:hint="eastAsia" w:ascii="楷体_GB2312" w:eastAsia="楷体_GB2312" w:cs="楷体_GB2312"/>
          <w:b/>
          <w:bCs/>
          <w:sz w:val="32"/>
          <w:szCs w:val="32"/>
        </w:rPr>
        <w:t>改造</w:t>
      </w:r>
      <w:r>
        <w:rPr>
          <w:rFonts w:ascii="楷体_GB2312" w:eastAsia="楷体_GB2312" w:cs="楷体_GB2312"/>
          <w:b/>
          <w:bCs/>
          <w:sz w:val="32"/>
          <w:szCs w:val="32"/>
        </w:rPr>
        <w:t>阶段</w:t>
      </w:r>
      <w:r>
        <w:rPr>
          <w:rFonts w:hint="eastAsia" w:ascii="楷体_GB2312" w:eastAsia="楷体_GB2312" w:cs="楷体_GB2312"/>
          <w:b/>
          <w:bCs/>
          <w:sz w:val="32"/>
          <w:szCs w:val="32"/>
        </w:rPr>
        <w:t>（</w:t>
      </w:r>
      <w:r>
        <w:rPr>
          <w:rFonts w:ascii="楷体_GB2312" w:eastAsia="楷体_GB2312" w:cs="楷体_GB2312"/>
          <w:b/>
          <w:bCs/>
          <w:sz w:val="32"/>
          <w:szCs w:val="32"/>
        </w:rPr>
        <w:t>2027年底前</w:t>
      </w:r>
      <w:r>
        <w:rPr>
          <w:rFonts w:hint="eastAsia" w:ascii="楷体_GB2312" w:eastAsia="楷体_GB2312" w:cs="楷体_GB2312"/>
          <w:b/>
          <w:bCs/>
          <w:sz w:val="32"/>
          <w:szCs w:val="32"/>
        </w:rPr>
        <w:t>）。</w:t>
      </w:r>
      <w:r>
        <w:rPr>
          <w:rFonts w:ascii="Times New Roman" w:hAnsi="Times New Roman" w:eastAsia="仿宋_GB2312" w:cs="Times New Roman"/>
          <w:sz w:val="32"/>
          <w:szCs w:val="32"/>
        </w:rPr>
        <w:t>2025年9月底前建成智慧城市照明管理平台、完成高耗能灯具更换工作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2025年12月底前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完成</w:t>
      </w:r>
      <w:r>
        <w:rPr>
          <w:rFonts w:ascii="Times New Roman" w:hAnsi="Times New Roman" w:eastAsia="仿宋_GB2312" w:cs="Times New Roman"/>
          <w:sz w:val="32"/>
          <w:szCs w:val="32"/>
        </w:rPr>
        <w:t>城市区内老旧LED灯具的更换工作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2027年底前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基本</w:t>
      </w:r>
      <w:r>
        <w:rPr>
          <w:rFonts w:ascii="Times New Roman" w:hAnsi="Times New Roman" w:eastAsia="仿宋_GB2312" w:cs="Times New Roman"/>
          <w:sz w:val="32"/>
          <w:szCs w:val="32"/>
        </w:rPr>
        <w:t>完成灯具更换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工作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hd w:val="clear"/>
        <w:spacing w:line="60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六、职责分工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楷体_GB2312" w:eastAsia="楷体_GB2312" w:cs="楷体_GB2312"/>
          <w:b/>
          <w:bCs/>
          <w:sz w:val="32"/>
          <w:szCs w:val="32"/>
        </w:rPr>
        <w:t>市城管局</w:t>
      </w:r>
      <w:r>
        <w:rPr>
          <w:rFonts w:hint="eastAsia" w:asci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牵头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组织实施</w:t>
      </w:r>
      <w:r>
        <w:rPr>
          <w:rFonts w:ascii="Times New Roman" w:hAnsi="Times New Roman" w:eastAsia="仿宋_GB2312" w:cs="Times New Roman"/>
          <w:sz w:val="32"/>
          <w:szCs w:val="32"/>
        </w:rPr>
        <w:t>全市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照明设施</w:t>
      </w:r>
      <w:r>
        <w:rPr>
          <w:rFonts w:ascii="Times New Roman" w:hAnsi="Times New Roman" w:eastAsia="仿宋_GB2312" w:cs="Times New Roman"/>
          <w:sz w:val="32"/>
          <w:szCs w:val="32"/>
        </w:rPr>
        <w:t>节能升级改造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工作，负责</w:t>
      </w:r>
      <w:r>
        <w:rPr>
          <w:rFonts w:ascii="Times New Roman" w:hAnsi="Times New Roman" w:eastAsia="仿宋_GB2312" w:cs="Times New Roman"/>
          <w:sz w:val="32"/>
          <w:szCs w:val="32"/>
        </w:rPr>
        <w:t>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市</w:t>
      </w:r>
      <w:r>
        <w:rPr>
          <w:rFonts w:ascii="Times New Roman" w:hAnsi="Times New Roman" w:eastAsia="仿宋_GB2312" w:cs="Times New Roman"/>
          <w:sz w:val="32"/>
          <w:szCs w:val="32"/>
        </w:rPr>
        <w:t>区照明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设施</w:t>
      </w:r>
      <w:r>
        <w:rPr>
          <w:rFonts w:ascii="Times New Roman" w:hAnsi="Times New Roman" w:eastAsia="仿宋_GB2312" w:cs="Times New Roman"/>
          <w:sz w:val="32"/>
          <w:szCs w:val="32"/>
        </w:rPr>
        <w:t>合同能源管理工作。</w:t>
      </w:r>
    </w:p>
    <w:p>
      <w:pPr>
        <w:shd w:val="clear"/>
        <w:spacing w:line="600" w:lineRule="exact"/>
        <w:ind w:firstLine="642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楷体_GB2312" w:eastAsia="楷体_GB2312" w:cs="楷体_GB2312"/>
          <w:b/>
          <w:bCs/>
          <w:kern w:val="0"/>
          <w:sz w:val="32"/>
          <w:szCs w:val="32"/>
        </w:rPr>
        <w:t>市财政</w:t>
      </w:r>
      <w:r>
        <w:rPr>
          <w:rFonts w:ascii="楷体_GB2312" w:eastAsia="楷体_GB2312" w:cs="楷体_GB2312"/>
          <w:b/>
          <w:bCs/>
          <w:color w:val="auto"/>
          <w:kern w:val="0"/>
          <w:sz w:val="32"/>
          <w:szCs w:val="32"/>
        </w:rPr>
        <w:t>局</w:t>
      </w:r>
      <w:r>
        <w:rPr>
          <w:rFonts w:hint="eastAsia" w:ascii="楷体_GB2312" w:eastAsia="楷体_GB2312" w:cs="楷体_GB2312"/>
          <w:b/>
          <w:bCs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按照公共机构合同能源管理要求做好资金保障。指导部门做好项目绩效评价工作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</w:rPr>
        <w:t>。</w:t>
      </w:r>
    </w:p>
    <w:p>
      <w:pPr>
        <w:shd w:val="clear"/>
        <w:spacing w:line="600" w:lineRule="exact"/>
        <w:ind w:firstLine="642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楷体_GB2312" w:eastAsia="楷体_GB2312" w:cs="楷体_GB2312"/>
          <w:b/>
          <w:bCs/>
          <w:color w:val="auto"/>
          <w:kern w:val="0"/>
          <w:sz w:val="32"/>
          <w:szCs w:val="32"/>
        </w:rPr>
        <w:t>市发改委</w:t>
      </w:r>
      <w:r>
        <w:rPr>
          <w:rFonts w:hint="eastAsia" w:ascii="楷体_GB2312" w:eastAsia="楷体_GB2312" w:cs="楷体_GB2312"/>
          <w:b/>
          <w:bCs/>
          <w:color w:val="auto"/>
          <w:kern w:val="0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/>
          <w:sz w:val="32"/>
          <w:szCs w:val="32"/>
        </w:rPr>
        <w:t>协调合同能源管理合同备案及奖补资金申请工作。</w:t>
      </w:r>
    </w:p>
    <w:p>
      <w:pPr>
        <w:shd w:val="clear"/>
        <w:spacing w:line="600" w:lineRule="exact"/>
        <w:ind w:firstLine="642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楷体_GB2312" w:eastAsia="楷体_GB2312" w:cs="楷体_GB2312"/>
          <w:b/>
          <w:bCs/>
          <w:kern w:val="0"/>
          <w:sz w:val="32"/>
          <w:szCs w:val="32"/>
        </w:rPr>
        <w:t>市公安局</w:t>
      </w:r>
      <w:r>
        <w:rPr>
          <w:rFonts w:hint="eastAsia" w:ascii="楷体_GB2312" w:eastAsia="楷体_GB2312" w:cs="楷体_GB2312"/>
          <w:b/>
          <w:bCs/>
          <w:kern w:val="0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/>
          <w:sz w:val="32"/>
          <w:szCs w:val="32"/>
        </w:rPr>
        <w:t>协助做好</w:t>
      </w:r>
      <w:r>
        <w:rPr>
          <w:rFonts w:hint="eastAsia" w:ascii="Times New Roman" w:hAnsi="Times New Roman" w:eastAsia="仿宋_GB2312"/>
          <w:sz w:val="32"/>
          <w:szCs w:val="32"/>
        </w:rPr>
        <w:t>照明设施</w:t>
      </w:r>
      <w:r>
        <w:rPr>
          <w:rFonts w:ascii="Times New Roman" w:hAnsi="Times New Roman" w:eastAsia="仿宋_GB2312"/>
          <w:sz w:val="32"/>
          <w:szCs w:val="32"/>
        </w:rPr>
        <w:t>节能升级改造</w:t>
      </w:r>
      <w:r>
        <w:rPr>
          <w:rFonts w:hint="eastAsia" w:ascii="Times New Roman" w:hAnsi="Times New Roman" w:eastAsia="仿宋_GB2312"/>
          <w:sz w:val="32"/>
          <w:szCs w:val="32"/>
        </w:rPr>
        <w:t>及后期维护</w:t>
      </w:r>
      <w:r>
        <w:rPr>
          <w:rFonts w:ascii="Times New Roman" w:hAnsi="Times New Roman" w:eastAsia="仿宋_GB2312"/>
          <w:sz w:val="32"/>
          <w:szCs w:val="32"/>
        </w:rPr>
        <w:t>涉及的交通审批及施工道路通行保障工作。</w:t>
      </w:r>
    </w:p>
    <w:p>
      <w:pPr>
        <w:shd w:val="clear"/>
        <w:spacing w:line="600" w:lineRule="exact"/>
        <w:ind w:firstLine="642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楷体_GB2312" w:eastAsia="楷体_GB2312" w:cs="楷体_GB2312"/>
          <w:b/>
          <w:bCs/>
          <w:color w:val="000000"/>
          <w:kern w:val="0"/>
          <w:sz w:val="32"/>
          <w:szCs w:val="32"/>
        </w:rPr>
        <w:t>市住建局</w:t>
      </w:r>
      <w:r>
        <w:rPr>
          <w:rFonts w:hint="eastAsia" w:ascii="楷体_GB2312" w:eastAsia="楷体_GB2312" w:cs="楷体_GB2312"/>
          <w:b/>
          <w:bCs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sz w:val="32"/>
          <w:szCs w:val="32"/>
        </w:rPr>
        <w:t>自本方案发布之日起，</w:t>
      </w:r>
      <w:r>
        <w:rPr>
          <w:rFonts w:ascii="Times New Roman" w:hAnsi="Times New Roman" w:eastAsia="仿宋_GB2312"/>
          <w:sz w:val="32"/>
          <w:szCs w:val="32"/>
        </w:rPr>
        <w:t>新（改、扩）建</w:t>
      </w:r>
      <w:r>
        <w:rPr>
          <w:rFonts w:hint="eastAsia" w:ascii="Times New Roman" w:hAnsi="Times New Roman" w:eastAsia="仿宋_GB2312"/>
          <w:sz w:val="32"/>
          <w:szCs w:val="32"/>
        </w:rPr>
        <w:t>市政</w:t>
      </w:r>
      <w:r>
        <w:rPr>
          <w:rFonts w:ascii="Times New Roman" w:hAnsi="Times New Roman" w:eastAsia="仿宋_GB2312"/>
          <w:sz w:val="32"/>
          <w:szCs w:val="32"/>
        </w:rPr>
        <w:t>项目中</w:t>
      </w:r>
      <w:r>
        <w:rPr>
          <w:rFonts w:hint="eastAsia" w:ascii="Times New Roman" w:hAnsi="Times New Roman" w:eastAsia="仿宋_GB2312"/>
          <w:sz w:val="32"/>
          <w:szCs w:val="32"/>
        </w:rPr>
        <w:t>照明设施</w:t>
      </w:r>
      <w:r>
        <w:rPr>
          <w:rFonts w:ascii="Times New Roman" w:hAnsi="Times New Roman" w:eastAsia="仿宋_GB2312"/>
          <w:sz w:val="32"/>
          <w:szCs w:val="32"/>
        </w:rPr>
        <w:t>采用新型高光效LED光源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/>
          <w:sz w:val="32"/>
          <w:szCs w:val="32"/>
        </w:rPr>
        <w:t>安装单灯控制器等</w:t>
      </w:r>
      <w:r>
        <w:rPr>
          <w:rFonts w:hint="eastAsia" w:ascii="Times New Roman" w:hAnsi="Times New Roman" w:eastAsia="仿宋_GB2312"/>
          <w:sz w:val="32"/>
          <w:szCs w:val="32"/>
        </w:rPr>
        <w:t>做为竣工移交条件，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并</w:t>
      </w:r>
      <w:r>
        <w:rPr>
          <w:rFonts w:ascii="Times New Roman" w:hAnsi="Times New Roman" w:eastAsia="仿宋_GB2312"/>
          <w:sz w:val="32"/>
          <w:szCs w:val="32"/>
        </w:rPr>
        <w:t>满足纳入合同能源管理的技术要求，实现一网通管。</w:t>
      </w:r>
    </w:p>
    <w:p>
      <w:pPr>
        <w:shd w:val="clear"/>
        <w:spacing w:line="600" w:lineRule="exact"/>
        <w:ind w:firstLine="642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楷体_GB2312" w:eastAsia="楷体_GB2312" w:cs="楷体_GB2312"/>
          <w:b/>
          <w:bCs/>
          <w:color w:val="auto"/>
          <w:kern w:val="0"/>
          <w:sz w:val="32"/>
          <w:szCs w:val="32"/>
        </w:rPr>
        <w:t>各</w:t>
      </w:r>
      <w:r>
        <w:rPr>
          <w:rFonts w:hint="eastAsia" w:ascii="楷体_GB2312" w:eastAsia="楷体_GB2312" w:cs="楷体_GB2312"/>
          <w:b/>
          <w:bCs/>
          <w:color w:val="auto"/>
          <w:kern w:val="0"/>
          <w:sz w:val="32"/>
          <w:szCs w:val="32"/>
        </w:rPr>
        <w:t>城市区人民</w:t>
      </w:r>
      <w:r>
        <w:rPr>
          <w:rFonts w:ascii="楷体_GB2312" w:eastAsia="楷体_GB2312" w:cs="楷体_GB2312"/>
          <w:b/>
          <w:bCs/>
          <w:color w:val="auto"/>
          <w:kern w:val="0"/>
          <w:sz w:val="32"/>
          <w:szCs w:val="32"/>
        </w:rPr>
        <w:t>政府</w:t>
      </w:r>
      <w:r>
        <w:rPr>
          <w:rFonts w:hint="eastAsia" w:ascii="楷体_GB2312" w:eastAsia="楷体_GB2312" w:cs="楷体_GB2312"/>
          <w:b/>
          <w:bCs/>
          <w:color w:val="auto"/>
          <w:kern w:val="0"/>
          <w:sz w:val="32"/>
          <w:szCs w:val="32"/>
        </w:rPr>
        <w:t>（管委会）</w:t>
      </w:r>
      <w:r>
        <w:rPr>
          <w:rFonts w:hint="eastAsia" w:ascii="楷体_GB2312" w:eastAsia="楷体_GB2312" w:cs="楷体_GB2312"/>
          <w:b/>
          <w:bCs/>
          <w:color w:val="auto"/>
          <w:kern w:val="0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/>
          <w:color w:val="auto"/>
          <w:sz w:val="32"/>
          <w:szCs w:val="32"/>
        </w:rPr>
        <w:t>配合完成此次合同能源管理范围内存量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照明设施</w:t>
      </w:r>
      <w:r>
        <w:rPr>
          <w:rFonts w:ascii="Times New Roman" w:hAnsi="Times New Roman" w:eastAsia="仿宋_GB2312"/>
          <w:color w:val="auto"/>
          <w:sz w:val="32"/>
          <w:szCs w:val="32"/>
        </w:rPr>
        <w:t>节能升级改造和托管费用支付工作。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自本方案发布之日起，</w:t>
      </w:r>
      <w:r>
        <w:rPr>
          <w:rFonts w:ascii="Times New Roman" w:hAnsi="Times New Roman" w:eastAsia="仿宋_GB2312"/>
          <w:color w:val="auto"/>
          <w:sz w:val="32"/>
          <w:szCs w:val="32"/>
        </w:rPr>
        <w:t>新（改、扩）建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市政</w:t>
      </w:r>
      <w:r>
        <w:rPr>
          <w:rFonts w:ascii="Times New Roman" w:hAnsi="Times New Roman" w:eastAsia="仿宋_GB2312"/>
          <w:color w:val="auto"/>
          <w:sz w:val="32"/>
          <w:szCs w:val="32"/>
        </w:rPr>
        <w:t>项目中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照明设施</w:t>
      </w:r>
      <w:r>
        <w:rPr>
          <w:rFonts w:ascii="Times New Roman" w:hAnsi="Times New Roman" w:eastAsia="仿宋_GB2312"/>
          <w:color w:val="auto"/>
          <w:sz w:val="32"/>
          <w:szCs w:val="32"/>
        </w:rPr>
        <w:t>采用新型高光效LED光源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/>
          <w:color w:val="auto"/>
          <w:sz w:val="32"/>
          <w:szCs w:val="32"/>
        </w:rPr>
        <w:t>安装单灯控制器等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做为竣工移交条件，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并</w:t>
      </w:r>
      <w:r>
        <w:rPr>
          <w:rFonts w:ascii="Times New Roman" w:hAnsi="Times New Roman" w:eastAsia="仿宋_GB2312"/>
          <w:color w:val="auto"/>
          <w:sz w:val="32"/>
          <w:szCs w:val="32"/>
        </w:rPr>
        <w:t>满足纳入合同能源管理的技术要求，实现一网通管。</w:t>
      </w:r>
    </w:p>
    <w:p>
      <w:pPr>
        <w:shd w:val="clear"/>
        <w:spacing w:line="600" w:lineRule="exact"/>
        <w:ind w:firstLine="642" w:firstLineChars="20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楷体_GB2312" w:eastAsia="楷体_GB2312" w:cs="楷体_GB2312"/>
          <w:b/>
          <w:bCs/>
          <w:color w:val="auto"/>
          <w:kern w:val="0"/>
          <w:sz w:val="32"/>
          <w:szCs w:val="32"/>
        </w:rPr>
        <w:t>洛阳</w:t>
      </w:r>
      <w:r>
        <w:rPr>
          <w:rFonts w:ascii="楷体_GB2312" w:eastAsia="楷体_GB2312" w:cs="楷体_GB2312"/>
          <w:b/>
          <w:bCs/>
          <w:color w:val="auto"/>
          <w:kern w:val="0"/>
          <w:sz w:val="32"/>
          <w:szCs w:val="32"/>
        </w:rPr>
        <w:t>供电公司</w:t>
      </w:r>
      <w:r>
        <w:rPr>
          <w:rFonts w:hint="eastAsia" w:ascii="楷体_GB2312" w:eastAsia="楷体_GB2312" w:cs="楷体_GB2312"/>
          <w:b/>
          <w:bCs/>
          <w:color w:val="auto"/>
          <w:kern w:val="0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/>
          <w:color w:val="auto"/>
          <w:sz w:val="32"/>
          <w:szCs w:val="32"/>
        </w:rPr>
        <w:t>协调配合做好合同能源管理项目供电工作。</w:t>
      </w:r>
    </w:p>
    <w:p>
      <w:pPr>
        <w:shd w:val="clear"/>
        <w:spacing w:line="60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七、工作要求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（一）统筹协调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、</w:t>
      </w: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全力保障。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相关单位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要高度重视、统筹协调、强化协作，确保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全市照明设施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节能升级改造任务顺利推进，按期完成。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（二）程序规范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、</w:t>
      </w: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有序推进。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相关单位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要严格按照时间节点细化方案、倒排计划，按规定程序有序推进设施摸底排查、项目公开招标、工程组织实施等工作，确保程序规范，措施有力。</w:t>
      </w:r>
    </w:p>
    <w:p>
      <w:pPr>
        <w:pStyle w:val="8"/>
        <w:widowControl w:val="0"/>
        <w:shd w:val="clear" w:color="auto"/>
        <w:spacing w:before="0" w:beforeAutospacing="0" w:after="0" w:afterAutospacing="0" w:line="600" w:lineRule="exact"/>
        <w:ind w:firstLine="642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（三）强化监督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、</w:t>
      </w:r>
      <w:r>
        <w:rPr>
          <w:rFonts w:ascii="楷体_GB2312" w:eastAsia="楷体_GB2312" w:cs="楷体_GB2312"/>
          <w:b/>
          <w:bCs/>
          <w:color w:val="000000"/>
          <w:sz w:val="32"/>
          <w:szCs w:val="32"/>
        </w:rPr>
        <w:t>确保实效。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邀请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市纪检部门参与</w:t>
      </w:r>
      <w:r>
        <w:rPr>
          <w:rFonts w:ascii="Times New Roman" w:hAnsi="Times New Roman" w:eastAsia="仿宋_GB2312" w:cs="Times New Roman"/>
          <w:sz w:val="32"/>
          <w:szCs w:val="32"/>
        </w:rPr>
        <w:t>合同能源项目全程监督指导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工作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相关单位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要结合道路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安全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隐患治理，加强对全市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照明设施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节能升级改造工作的协调指导，强化督促检查，落实工程质量监督责任，确保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照明设施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节能升级改造工作取得实效。</w:t>
      </w:r>
    </w:p>
    <w:p>
      <w:pPr>
        <w:shd w:val="clear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altName w:val="方正书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22350" cy="230505"/>
              <wp:effectExtent l="0" t="0" r="0" b="0"/>
              <wp:wrapNone/>
              <wp:docPr id="1" name="_x0000_s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350" cy="230251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>
                          <w:pPr>
                            <w:pStyle w:val="6"/>
                            <w:ind w:left="315" w:leftChars="150" w:right="315" w:rightChars="150"/>
                            <w:rPr>
                              <w:rFonts w:asci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8.15pt;width:80.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cM8WLRAAAABAEAAA8AAABkcnMvZG93bnJldi54bWxNj81qwzAQhO+FvoPY&#10;Qm+N5ARMcC3nUAi0pZc4fYCNtf6h0spISpy+fZVe2svAMMvMt/Xu6qy4UIiTZw3FSoEg7ryZeNDw&#10;edw/bUHEhGzQeiYN3xRh19zf1VgZv/CBLm0aRC7hWKGGMaW5kjJ2IzmMKz8T56z3wWHKNgzSBFxy&#10;ubNyrVQpHU6cF0ac6WWk7qs9Ow3y2O6XbWuD8u/r/sO+vR568lo/PhTqGUSia/o7hht+RocmM538&#10;mU0UVkN+JP3qLSuLbE8aNuUGZFPL//DND1BLAwQUAAAACACHTuJAmDl5u/UBAAD2AwAADgAAAGRy&#10;cy9lMm9Eb2MueG1srVNNi9swFLwX+h+E7o0dL1laE2cpDVsKpV3Y9rwoshwL9IWeEnv76zuy87Fs&#10;L3uoD/ZIeh69GY3Wd6M17Kgiae8avlyUnCknfavdvuG/f91/+MgZJeFaYbxTDX9WxO8279+th1Cr&#10;yvfetCoykDiqh9DwPqVQFwXJXllBCx+Uw2LnoxUJw7gv2igGsFtTVGV5Www+tiF6qYgwu50X+Ykx&#10;voXQd52WauvlwSqXZtaojEiQRL0OxDdTt12nZPrZdaQSMw2H0jS9sQnwLr+LzVrU+yhCr+WpBfGW&#10;Fl5pskI7bHqh2ook2CHqf6isltGT79JCelvMQiZHoGJZvvLmsRdBTVpgNYWL6fT/aOWP40NkukUS&#10;OHPC4sCfxhLPEy3L6jb7MwSqUfYYHuJpRIBZ7NhFm7+QwcbJ0+eLp2pMTGISLNXNCnZLrFU3ZbVa&#10;ZtLi+neIlL4qb1kGDY84s8lKcfxOaS49l+TNnL/XxmBe1MaxoeGfVtUK9AJZ7JABQBugh9x+onlR&#10;n2m2gnp2FIgDeaPbOQBWJ5XFoSvj8MmSZ5EZpXE3YjHDnW+f4ReuDzrtffzD2YDwNNzhrnBmvjmc&#10;Tc7ZGcQz2J2BcBI/NhyNzvBLmvN4CFHve/Aup74pfD4kaJ0suO596g5xmNo9RTfn7eV4qrpe181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UAAAACACHTuJAihRmPNEAAACUAQAACwAAAAAAAAAB&#10;ACAAAAB7AwAAX3JlbHMvLnJlbHNQSwECFAAUAAAACACHTuJAZwzxYtEAAAAEAQAADwAAAAAAAAAB&#10;ACAAAAA4AAAAZHJzL2Rvd25yZXYueG1sUEsBAhQAFAAAAAgAh07iQJg5ebv1AQAA9gMAAA4AAAAA&#10;AAAAAQAgAAAANgEAAGRycy9lMm9Eb2MueG1sUEsBAhQACgAAAAAAh07iQAAAAAAAAAAAAAAAAAQA&#10;AAAAAAAAAAAQAAAAFgAAAGRycy9QSwECFAAKAAAAAACHTuJAAAAAAAAAAAAAAAAABgAAAAAAAAAA&#10;ABAAAABXAwAAX3JlbHMvUEsFBgAAAAAGAAYAWQEAAJ0FAAAAAA=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315" w:leftChars="150" w:right="315" w:rightChars="150"/>
                      <w:rPr>
                        <w:rFonts w:asci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D4681"/>
    <w:rsid w:val="3D5123BD"/>
    <w:rsid w:val="6D711F60"/>
    <w:rsid w:val="F4FECB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jc w:val="center"/>
      <w:textAlignment w:val="baseline"/>
    </w:pPr>
    <w:rPr>
      <w:rFonts w:ascii="华文中宋" w:eastAsia="华文中宋" w:cs="Calibri"/>
      <w:b/>
      <w:bCs/>
      <w:sz w:val="44"/>
      <w:szCs w:val="36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4</Pages>
  <Words>1613</Words>
  <Characters>1661</Characters>
  <Lines>0</Lines>
  <Paragraphs>31</Paragraphs>
  <TotalTime>26</TotalTime>
  <ScaleCrop>false</ScaleCrop>
  <LinksUpToDate>false</LinksUpToDate>
  <CharactersWithSpaces>1661</CharactersWithSpaces>
  <Application>WPS Office_11.8.2.11625_F1E327BC-269C-435d-A152-05C5408002CA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2025-04-07T09:37:00Z</dcterms:created>
  <dc:creator>劲松</dc:creator>
  <cp:lastModifiedBy>greatwall</cp:lastModifiedBy>
  <cp:lastPrinted>2025-04-08T02:23:00Z</cp:lastPrinted>
  <dcterms:modified xsi:type="dcterms:W3CDTF">2025-04-11T11:41:21Z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5A8B0F952C2C4C14ADFDDD0F9C4D5EAD_13</vt:lpwstr>
  </property>
  <property fmtid="{D5CDD505-2E9C-101B-9397-08002B2CF9AE}" pid="4" name="KSOTemplateDocerSaveRecord">
    <vt:lpwstr>eyJoZGlkIjoiMzJlODg5MjAyYmUzYjVmOTE1YTMxZTljMjNjZDA4OTgiLCJ1c2VySWQiOiIyMDcxMTEwOTUifQ==</vt:lpwstr>
  </property>
</Properties>
</file>