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081411">
      <w:pPr>
        <w:pStyle w:val="11"/>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right="0" w:rightChars="0"/>
        <w:jc w:val="center"/>
        <w:textAlignment w:val="auto"/>
        <w:rPr>
          <w:rFonts w:hint="eastAsia" w:hAnsi="方正小标宋简体" w:cs="方正小标宋简体"/>
          <w:sz w:val="44"/>
          <w:szCs w:val="44"/>
          <w:lang w:val="en" w:eastAsia="zh-CN"/>
        </w:rPr>
      </w:pPr>
    </w:p>
    <w:p w14:paraId="6E6F1808">
      <w:pPr>
        <w:pStyle w:val="11"/>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right="0" w:rightChars="0"/>
        <w:jc w:val="center"/>
        <w:textAlignment w:val="auto"/>
        <w:rPr>
          <w:rFonts w:hint="eastAsia" w:hAnsi="方正小标宋简体" w:cs="方正小标宋简体"/>
          <w:sz w:val="44"/>
          <w:szCs w:val="44"/>
          <w:lang w:val="en" w:eastAsia="zh-CN"/>
        </w:rPr>
      </w:pPr>
    </w:p>
    <w:p w14:paraId="1B1F9D28">
      <w:pPr>
        <w:pStyle w:val="11"/>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right="0" w:rightChars="0"/>
        <w:jc w:val="center"/>
        <w:textAlignment w:val="auto"/>
        <w:rPr>
          <w:rFonts w:hint="eastAsia" w:hAnsi="方正小标宋简体" w:cs="方正小标宋简体"/>
          <w:sz w:val="44"/>
          <w:szCs w:val="44"/>
          <w:lang w:val="en" w:eastAsia="zh-CN"/>
        </w:rPr>
      </w:pPr>
    </w:p>
    <w:p w14:paraId="2BD4D067">
      <w:pPr>
        <w:keepNext w:val="0"/>
        <w:keepLines w:val="0"/>
        <w:pageBreakBefore w:val="0"/>
        <w:kinsoku/>
        <w:wordWrap/>
        <w:topLinePunct w:val="0"/>
        <w:autoSpaceDE/>
        <w:autoSpaceDN/>
        <w:bidi w:val="0"/>
        <w:spacing w:line="600" w:lineRule="exact"/>
        <w:textAlignment w:val="auto"/>
        <w:rPr>
          <w:rFonts w:hint="eastAsia"/>
          <w:lang w:val="en" w:eastAsia="zh-CN"/>
        </w:rPr>
      </w:pPr>
    </w:p>
    <w:p w14:paraId="3461308B">
      <w:pPr>
        <w:pStyle w:val="11"/>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right="0" w:rightChars="0"/>
        <w:jc w:val="center"/>
        <w:textAlignment w:val="auto"/>
        <w:rPr>
          <w:rFonts w:hint="eastAsia" w:hAnsi="方正小标宋简体" w:cs="方正小标宋简体"/>
          <w:sz w:val="44"/>
          <w:szCs w:val="44"/>
          <w:lang w:val="en" w:eastAsia="zh-CN"/>
        </w:rPr>
      </w:pPr>
      <w:r>
        <w:rPr>
          <w:rFonts w:hint="eastAsia" w:hAnsi="方正小标宋简体" w:cs="方正小标宋简体"/>
          <w:sz w:val="44"/>
          <w:szCs w:val="44"/>
          <w:lang w:val="en" w:eastAsia="zh-CN"/>
        </w:rPr>
        <w:t>伊川延顺馒头店“</w:t>
      </w:r>
      <w:r>
        <w:rPr>
          <w:rFonts w:hint="eastAsia" w:hAnsi="方正小标宋简体" w:cs="方正小标宋简体"/>
          <w:sz w:val="44"/>
          <w:szCs w:val="44"/>
          <w:lang w:val="en-US" w:eastAsia="zh-CN"/>
        </w:rPr>
        <w:t>1</w:t>
      </w:r>
      <w:r>
        <w:rPr>
          <w:rFonts w:hint="eastAsia" w:hAnsi="方正小标宋简体" w:cs="方正小标宋简体"/>
          <w:sz w:val="44"/>
          <w:szCs w:val="44"/>
          <w:lang w:val="en" w:eastAsia="zh-CN"/>
        </w:rPr>
        <w:t>·</w:t>
      </w:r>
      <w:r>
        <w:rPr>
          <w:rFonts w:hint="eastAsia" w:hAnsi="方正小标宋简体" w:cs="方正小标宋简体"/>
          <w:sz w:val="44"/>
          <w:szCs w:val="44"/>
          <w:lang w:val="en-US" w:eastAsia="zh-CN"/>
        </w:rPr>
        <w:t>4</w:t>
      </w:r>
      <w:r>
        <w:rPr>
          <w:rFonts w:hint="eastAsia" w:hAnsi="方正小标宋简体" w:cs="方正小标宋简体"/>
          <w:sz w:val="44"/>
          <w:szCs w:val="44"/>
          <w:lang w:val="en" w:eastAsia="zh-CN"/>
        </w:rPr>
        <w:t>”一般中毒事故</w:t>
      </w:r>
    </w:p>
    <w:p w14:paraId="1D9B8937">
      <w:pPr>
        <w:pStyle w:val="11"/>
        <w:keepNext w:val="0"/>
        <w:keepLines w:val="0"/>
        <w:pageBreakBefore w:val="0"/>
        <w:widowControl w:val="0"/>
        <w:kinsoku/>
        <w:wordWrap/>
        <w:overflowPunct/>
        <w:topLinePunct w:val="0"/>
        <w:autoSpaceDE/>
        <w:autoSpaceDN/>
        <w:bidi w:val="0"/>
        <w:spacing w:before="0" w:beforeLines="0" w:beforeAutospacing="0" w:after="0" w:afterLines="0" w:afterAutospacing="0" w:line="600" w:lineRule="exact"/>
        <w:jc w:val="center"/>
        <w:textAlignment w:val="auto"/>
        <w:rPr>
          <w:rFonts w:hint="eastAsia" w:ascii="方正小标宋简体" w:hAnsi="仿宋_GB2312" w:eastAsia="方正小标宋简体" w:cs="Times New Roman"/>
          <w:sz w:val="44"/>
          <w:lang w:val="en-US" w:eastAsia="zh-CN"/>
        </w:rPr>
      </w:pPr>
      <w:r>
        <w:rPr>
          <w:rFonts w:hint="eastAsia" w:ascii="方正小标宋简体" w:hAnsi="仿宋_GB2312" w:eastAsia="方正小标宋简体" w:cs="Times New Roman"/>
          <w:sz w:val="44"/>
          <w:lang w:val="en-US" w:eastAsia="zh-CN"/>
        </w:rPr>
        <w:t>防范</w:t>
      </w:r>
      <w:r>
        <w:rPr>
          <w:rFonts w:hint="eastAsia" w:hAnsi="仿宋_GB2312" w:cs="Times New Roman"/>
          <w:sz w:val="44"/>
          <w:lang w:val="en-US" w:eastAsia="zh-CN"/>
        </w:rPr>
        <w:t>和整改措施</w:t>
      </w:r>
      <w:r>
        <w:rPr>
          <w:rFonts w:hint="eastAsia" w:ascii="方正小标宋简体" w:hAnsi="仿宋_GB2312" w:eastAsia="方正小标宋简体" w:cs="Times New Roman"/>
          <w:sz w:val="44"/>
          <w:lang w:val="en-US" w:eastAsia="zh-CN"/>
        </w:rPr>
        <w:t>落实情况评估报告</w:t>
      </w:r>
    </w:p>
    <w:p w14:paraId="245B240D">
      <w:pPr>
        <w:jc w:val="center"/>
        <w:rPr>
          <w:rFonts w:hint="eastAsia"/>
          <w:sz w:val="32"/>
          <w:szCs w:val="32"/>
          <w:lang w:val="en-US" w:eastAsia="zh-CN"/>
        </w:rPr>
      </w:pPr>
      <w:r>
        <w:rPr>
          <w:rFonts w:hint="eastAsia" w:ascii="方正小标宋简体" w:hAnsi="仿宋_GB2312" w:eastAsia="方正小标宋简体" w:cs="Times New Roman"/>
          <w:sz w:val="32"/>
          <w:szCs w:val="32"/>
          <w:lang w:val="en-US" w:eastAsia="zh-CN"/>
        </w:rPr>
        <w:t>（网上公示稿）</w:t>
      </w:r>
    </w:p>
    <w:p w14:paraId="623A5302">
      <w:pPr>
        <w:pStyle w:val="2"/>
        <w:keepNext w:val="0"/>
        <w:keepLines w:val="0"/>
        <w:pageBreakBefore w:val="0"/>
        <w:widowControl/>
        <w:kinsoku/>
        <w:wordWrap/>
        <w:topLinePunct w:val="0"/>
        <w:autoSpaceDE/>
        <w:autoSpaceDN/>
        <w:bidi w:val="0"/>
        <w:adjustRightInd w:val="0"/>
        <w:snapToGrid w:val="0"/>
        <w:spacing w:line="600" w:lineRule="exact"/>
        <w:ind w:firstLine="640"/>
        <w:jc w:val="both"/>
        <w:textAlignment w:val="auto"/>
        <w:rPr>
          <w:rStyle w:val="20"/>
          <w:rFonts w:hint="eastAsia" w:ascii="Times New Roman" w:hAnsi="Times New Roman" w:eastAsia="仿宋_GB2312" w:cs="仿宋_GB2312"/>
          <w:sz w:val="32"/>
          <w:szCs w:val="32"/>
        </w:rPr>
      </w:pPr>
    </w:p>
    <w:p w14:paraId="2A9A3635">
      <w:pPr>
        <w:keepNext w:val="0"/>
        <w:keepLines w:val="0"/>
        <w:pageBreakBefore w:val="0"/>
        <w:kinsoku/>
        <w:wordWrap/>
        <w:overflowPunct/>
        <w:topLinePunct w:val="0"/>
        <w:autoSpaceDE/>
        <w:autoSpaceDN/>
        <w:bidi w:val="0"/>
        <w:adjustRightInd/>
        <w:snapToGrid/>
        <w:spacing w:line="600" w:lineRule="exact"/>
        <w:jc w:val="both"/>
        <w:textAlignment w:val="auto"/>
        <w:rPr>
          <w:rStyle w:val="20"/>
          <w:rFonts w:hint="eastAsia" w:ascii="仿宋_GB2312" w:hAnsi="仿宋_GB2312" w:eastAsia="仿宋_GB2312" w:cs="仿宋_GB2312"/>
          <w:sz w:val="32"/>
          <w:szCs w:val="32"/>
          <w:lang w:val="en-US" w:eastAsia="zh-CN"/>
        </w:rPr>
      </w:pPr>
      <w:r>
        <w:rPr>
          <w:rStyle w:val="20"/>
          <w:rFonts w:hint="eastAsia" w:ascii="Times New Roman" w:hAnsi="Times New Roman" w:cs="仿宋_GB2312"/>
          <w:sz w:val="32"/>
          <w:szCs w:val="32"/>
          <w:lang w:val="en-US" w:eastAsia="zh-CN"/>
        </w:rPr>
        <w:t xml:space="preserve"> </w:t>
      </w:r>
      <w:r>
        <w:rPr>
          <w:rStyle w:val="20"/>
          <w:rFonts w:hint="eastAsia" w:ascii="仿宋_GB2312" w:hAnsi="仿宋_GB2312" w:eastAsia="仿宋_GB2312" w:cs="仿宋_GB2312"/>
          <w:sz w:val="32"/>
          <w:szCs w:val="32"/>
          <w:lang w:val="en-US" w:eastAsia="zh-CN"/>
        </w:rPr>
        <w:t xml:space="preserve">   按照《生产安全事故防范和整改措施落实情况评估办法》要求，市安防委办公室组织市应急管理局、市市场监督管理局、市城市管理局、市公安局、市总工会、伊川县人民政府成立了评估组，对伊川延顺馒头店“1·4”一般中毒事故调查处理意见落实情况开展评估，现将评估情况报告如下：</w:t>
      </w:r>
    </w:p>
    <w:p w14:paraId="217021CB">
      <w:pPr>
        <w:keepNext w:val="0"/>
        <w:keepLines w:val="0"/>
        <w:pageBreakBefore w:val="0"/>
        <w:kinsoku/>
        <w:wordWrap/>
        <w:topLinePunct w:val="0"/>
        <w:autoSpaceDE/>
        <w:autoSpaceDN/>
        <w:bidi w:val="0"/>
        <w:spacing w:line="600" w:lineRule="exact"/>
        <w:ind w:left="0" w:leftChars="0" w:firstLine="640" w:firstLineChars="200"/>
        <w:textAlignment w:val="auto"/>
        <w:rPr>
          <w:rFonts w:hint="eastAsia" w:eastAsia="黑体" w:cs="黑体"/>
          <w:bCs/>
          <w:sz w:val="32"/>
          <w:szCs w:val="32"/>
          <w:lang w:eastAsia="zh-CN" w:bidi="ar"/>
        </w:rPr>
      </w:pPr>
      <w:r>
        <w:rPr>
          <w:rFonts w:hint="eastAsia" w:eastAsia="黑体" w:cs="黑体"/>
          <w:bCs/>
          <w:sz w:val="32"/>
          <w:szCs w:val="32"/>
          <w:lang w:eastAsia="zh-CN" w:bidi="ar"/>
        </w:rPr>
        <w:t>一、评估工作开展情况</w:t>
      </w:r>
    </w:p>
    <w:p w14:paraId="435B5348">
      <w:pPr>
        <w:pStyle w:val="2"/>
        <w:keepNext w:val="0"/>
        <w:keepLines w:val="0"/>
        <w:pageBreakBefore w:val="0"/>
        <w:widowControl/>
        <w:kinsoku/>
        <w:wordWrap/>
        <w:overflowPunct/>
        <w:topLinePunct w:val="0"/>
        <w:autoSpaceDE/>
        <w:autoSpaceDN/>
        <w:bidi w:val="0"/>
        <w:adjustRightInd/>
        <w:snapToGrid/>
        <w:spacing w:line="600" w:lineRule="exact"/>
        <w:ind w:firstLine="640"/>
        <w:jc w:val="both"/>
        <w:textAlignment w:val="auto"/>
        <w:rPr>
          <w:rStyle w:val="20"/>
          <w:rFonts w:hint="eastAsia" w:ascii="仿宋_GB2312" w:hAnsi="仿宋_GB2312" w:eastAsia="仿宋_GB2312" w:cs="仿宋_GB2312"/>
          <w:sz w:val="32"/>
          <w:szCs w:val="32"/>
          <w:lang w:val="en-US" w:eastAsia="zh-CN"/>
        </w:rPr>
      </w:pPr>
      <w:r>
        <w:rPr>
          <w:rStyle w:val="20"/>
          <w:rFonts w:hint="eastAsia" w:ascii="仿宋_GB2312" w:hAnsi="仿宋_GB2312" w:eastAsia="仿宋_GB2312" w:cs="仿宋_GB2312"/>
          <w:sz w:val="32"/>
          <w:szCs w:val="32"/>
          <w:lang w:val="en-US" w:eastAsia="zh-CN"/>
        </w:rPr>
        <w:t>评估组制订了《伊川延顺馒头店“1·4”一般中毒事故整改和防范措施落实情况评估方案》，并于2024年12月18日，按照资料审查、座谈问询、查阅文件、走访核查的方式，对伊川延顺馒头店“1·4”一般中毒事故调查处理意见落实情况进行了评估。</w:t>
      </w:r>
    </w:p>
    <w:p w14:paraId="1207779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黑体" w:cs="黑体"/>
          <w:bCs/>
          <w:sz w:val="32"/>
          <w:szCs w:val="32"/>
          <w:lang w:eastAsia="zh-CN" w:bidi="ar"/>
        </w:rPr>
      </w:pPr>
      <w:r>
        <w:rPr>
          <w:rFonts w:hint="eastAsia" w:eastAsia="黑体" w:cs="黑体"/>
          <w:bCs/>
          <w:sz w:val="32"/>
          <w:szCs w:val="32"/>
          <w:lang w:eastAsia="zh-CN" w:bidi="ar"/>
        </w:rPr>
        <w:t>二、事故相关责任人员、责任单位均按照调查处理意见落实到位</w:t>
      </w:r>
      <w:bookmarkStart w:id="1" w:name="_GoBack"/>
      <w:bookmarkEnd w:id="1"/>
    </w:p>
    <w:p w14:paraId="241619ED">
      <w:pPr>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exact"/>
        <w:ind w:left="0" w:leftChars="0" w:right="0" w:rightChars="0" w:firstLine="684" w:firstLineChars="200"/>
        <w:jc w:val="both"/>
        <w:textAlignment w:val="auto"/>
        <w:outlineLvl w:val="9"/>
        <w:rPr>
          <w:rFonts w:hint="eastAsia" w:ascii="黑体" w:hAnsi="黑体" w:eastAsia="黑体" w:cs="黑体"/>
          <w:color w:val="000000" w:themeColor="text1"/>
          <w:spacing w:val="11"/>
          <w:kern w:val="2"/>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pacing w:val="11"/>
          <w:kern w:val="2"/>
          <w:sz w:val="32"/>
          <w:szCs w:val="32"/>
          <w:shd w:val="clear" w:color="auto" w:fill="FFFFFF"/>
          <w:lang w:val="en-US" w:eastAsia="zh-CN"/>
          <w14:textFill>
            <w14:solidFill>
              <w14:schemeClr w14:val="tx1"/>
            </w14:solidFill>
          </w14:textFill>
        </w:rPr>
        <w:t>三、问题整改和防范措施落实情况</w:t>
      </w:r>
    </w:p>
    <w:p w14:paraId="54DB12C1">
      <w:pPr>
        <w:pStyle w:val="2"/>
        <w:keepNext w:val="0"/>
        <w:keepLines w:val="0"/>
        <w:pageBreakBefore w:val="0"/>
        <w:kinsoku/>
        <w:wordWrap/>
        <w:topLinePunct w:val="0"/>
        <w:autoSpaceDE/>
        <w:autoSpaceDN/>
        <w:bidi w:val="0"/>
        <w:spacing w:line="600" w:lineRule="exact"/>
        <w:ind w:right="0" w:rightChars="0" w:firstLine="640"/>
        <w:textAlignment w:val="auto"/>
        <w:rPr>
          <w:rFonts w:hint="eastAsia" w:ascii="楷体_GB2312" w:hAnsi="楷体_GB2312" w:eastAsia="楷体_GB2312" w:cs="楷体_GB2312"/>
          <w:sz w:val="32"/>
          <w:szCs w:val="32"/>
        </w:rPr>
      </w:pPr>
      <w:r>
        <w:rPr>
          <w:rFonts w:hint="eastAsia" w:ascii="楷体_GB2312" w:hAnsi="楷体_GB2312" w:eastAsia="楷体_GB2312" w:cs="楷体_GB2312"/>
          <w:kern w:val="0"/>
          <w:sz w:val="32"/>
          <w:szCs w:val="32"/>
          <w:lang w:eastAsia="zh-CN" w:bidi="ar"/>
        </w:rPr>
        <w:t>（一）</w:t>
      </w:r>
      <w:r>
        <w:rPr>
          <w:rFonts w:hint="eastAsia" w:ascii="楷体_GB2312" w:hAnsi="楷体_GB2312" w:eastAsia="楷体_GB2312" w:cs="楷体_GB2312"/>
          <w:sz w:val="32"/>
          <w:szCs w:val="32"/>
        </w:rPr>
        <w:t>伊川县人民政府</w:t>
      </w:r>
    </w:p>
    <w:p w14:paraId="732DED20">
      <w:pPr>
        <w:pStyle w:val="2"/>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rPr>
      </w:pPr>
      <w:r>
        <w:rPr>
          <w:rFonts w:hint="eastAsia" w:ascii="仿宋_GB2312" w:hAnsi="仿宋_GB2312" w:cs="仿宋_GB2312"/>
          <w:color w:val="000000"/>
          <w:kern w:val="0"/>
          <w:sz w:val="32"/>
          <w:szCs w:val="32"/>
          <w:lang w:bidi="ar"/>
        </w:rPr>
        <w:t>伊川县</w:t>
      </w:r>
      <w:r>
        <w:rPr>
          <w:rFonts w:hint="eastAsia" w:ascii="仿宋_GB2312" w:hAnsi="仿宋_GB2312" w:cs="仿宋_GB2312"/>
          <w:color w:val="000000"/>
          <w:kern w:val="0"/>
          <w:sz w:val="32"/>
          <w:szCs w:val="32"/>
          <w:lang w:eastAsia="zh-CN" w:bidi="ar"/>
        </w:rPr>
        <w:t>人民</w:t>
      </w:r>
      <w:r>
        <w:rPr>
          <w:rFonts w:hint="eastAsia" w:ascii="仿宋_GB2312" w:hAnsi="仿宋_GB2312" w:cs="仿宋_GB2312"/>
          <w:color w:val="000000"/>
          <w:kern w:val="0"/>
          <w:sz w:val="32"/>
          <w:szCs w:val="32"/>
          <w:lang w:bidi="ar"/>
        </w:rPr>
        <w:t>政府</w:t>
      </w:r>
      <w:r>
        <w:rPr>
          <w:rFonts w:hint="eastAsia" w:ascii="仿宋_GB2312" w:hAnsi="仿宋_GB2312" w:cs="仿宋_GB2312"/>
          <w:color w:val="000000"/>
          <w:kern w:val="0"/>
          <w:sz w:val="32"/>
          <w:szCs w:val="32"/>
          <w:lang w:val="en-US" w:eastAsia="zh-CN" w:bidi="ar"/>
        </w:rPr>
        <w:t>组织</w:t>
      </w:r>
      <w:r>
        <w:rPr>
          <w:rFonts w:hint="eastAsia" w:ascii="仿宋_GB2312" w:hAnsi="仿宋_GB2312" w:cs="仿宋_GB2312"/>
          <w:color w:val="000000"/>
          <w:kern w:val="0"/>
          <w:sz w:val="32"/>
          <w:szCs w:val="32"/>
          <w:lang w:eastAsia="zh-CN" w:bidi="ar"/>
        </w:rPr>
        <w:t>召开</w:t>
      </w:r>
      <w:r>
        <w:rPr>
          <w:rFonts w:hint="eastAsia" w:ascii="仿宋_GB2312" w:hAnsi="仿宋_GB2312" w:cs="仿宋_GB2312"/>
          <w:color w:val="000000"/>
          <w:kern w:val="0"/>
          <w:sz w:val="32"/>
          <w:szCs w:val="32"/>
          <w:lang w:bidi="ar"/>
        </w:rPr>
        <w:t>安全生产工作</w:t>
      </w:r>
      <w:r>
        <w:rPr>
          <w:rFonts w:hint="eastAsia" w:ascii="仿宋_GB2312" w:hAnsi="仿宋_GB2312" w:cs="仿宋_GB2312"/>
          <w:color w:val="000000"/>
          <w:kern w:val="0"/>
          <w:sz w:val="32"/>
          <w:szCs w:val="32"/>
          <w:lang w:eastAsia="zh-CN" w:bidi="ar"/>
        </w:rPr>
        <w:t>会议</w:t>
      </w:r>
      <w:r>
        <w:rPr>
          <w:rFonts w:hint="eastAsia" w:ascii="仿宋_GB2312" w:hAnsi="仿宋_GB2312" w:cs="仿宋_GB2312"/>
          <w:color w:val="000000"/>
          <w:kern w:val="0"/>
          <w:sz w:val="32"/>
          <w:szCs w:val="32"/>
          <w:lang w:bidi="ar"/>
        </w:rPr>
        <w:t>，</w:t>
      </w:r>
      <w:r>
        <w:rPr>
          <w:rFonts w:hint="eastAsia" w:ascii="仿宋_GB2312" w:hAnsi="仿宋_GB2312" w:cs="仿宋_GB2312"/>
          <w:color w:val="000000"/>
          <w:kern w:val="0"/>
          <w:sz w:val="32"/>
          <w:szCs w:val="32"/>
          <w:lang w:eastAsia="zh-CN" w:bidi="ar"/>
        </w:rPr>
        <w:t>分析研判安全生产形势，</w:t>
      </w:r>
      <w:r>
        <w:rPr>
          <w:rFonts w:hint="eastAsia" w:ascii="仿宋_GB2312" w:hAnsi="仿宋_GB2312" w:cs="仿宋_GB2312"/>
          <w:color w:val="000000"/>
          <w:kern w:val="0"/>
          <w:sz w:val="32"/>
          <w:szCs w:val="32"/>
          <w:lang w:bidi="ar"/>
        </w:rPr>
        <w:t>严格贯彻落实《地方党政领导干部安全生产责任制规定》要求，提高站位，牢固树立以人为本的安全发展理念</w:t>
      </w:r>
      <w:r>
        <w:rPr>
          <w:rFonts w:hint="eastAsia" w:ascii="仿宋_GB2312" w:hAnsi="仿宋_GB2312" w:cs="仿宋_GB2312"/>
          <w:color w:val="000000"/>
          <w:kern w:val="0"/>
          <w:sz w:val="32"/>
          <w:szCs w:val="32"/>
          <w:lang w:eastAsia="zh-CN" w:bidi="ar"/>
        </w:rPr>
        <w:t>，</w:t>
      </w:r>
      <w:r>
        <w:rPr>
          <w:rFonts w:hint="eastAsia" w:ascii="仿宋_GB2312" w:hAnsi="仿宋_GB2312" w:cs="仿宋_GB2312"/>
          <w:color w:val="000000"/>
          <w:kern w:val="0"/>
          <w:sz w:val="32"/>
          <w:szCs w:val="32"/>
          <w:lang w:bidi="ar"/>
        </w:rPr>
        <w:t>各单位各部门通过微信、抖音和张贴、发放宣传页等多种渠道开展燃气安全宣传活动。</w:t>
      </w:r>
      <w:r>
        <w:rPr>
          <w:rFonts w:hint="eastAsia" w:ascii="仿宋_GB2312" w:hAnsi="仿宋_GB2312" w:cs="仿宋_GB2312"/>
          <w:color w:val="000000"/>
          <w:kern w:val="0"/>
          <w:sz w:val="32"/>
          <w:szCs w:val="32"/>
          <w:lang w:eastAsia="zh-CN" w:bidi="ar"/>
        </w:rPr>
        <w:t>全年</w:t>
      </w:r>
      <w:r>
        <w:rPr>
          <w:rFonts w:hint="eastAsia" w:ascii="仿宋_GB2312" w:hAnsi="仿宋_GB2312" w:cs="仿宋_GB2312"/>
          <w:color w:val="000000"/>
          <w:kern w:val="0"/>
          <w:sz w:val="32"/>
          <w:szCs w:val="32"/>
          <w:lang w:bidi="ar"/>
        </w:rPr>
        <w:t>共发放宣传资料6500余份、张贴宣传知识彩页1500余份。</w:t>
      </w:r>
    </w:p>
    <w:p w14:paraId="2AE87344">
      <w:pPr>
        <w:pStyle w:val="6"/>
        <w:keepNext w:val="0"/>
        <w:keepLines w:val="0"/>
        <w:pageBreakBefore w:val="0"/>
        <w:kinsoku/>
        <w:wordWrap/>
        <w:topLinePunct w:val="0"/>
        <w:autoSpaceDE/>
        <w:autoSpaceDN/>
        <w:bidi w:val="0"/>
        <w:spacing w:line="600" w:lineRule="exact"/>
        <w:ind w:right="0" w:rightChars="0" w:firstLine="640" w:firstLineChars="200"/>
        <w:jc w:val="left"/>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伊川县住房和城乡建设局</w:t>
      </w:r>
    </w:p>
    <w:p w14:paraId="72F7B9E6">
      <w:pPr>
        <w:pStyle w:val="2"/>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cs="仿宋_GB2312"/>
          <w:color w:val="000000"/>
          <w:kern w:val="0"/>
          <w:sz w:val="32"/>
          <w:szCs w:val="32"/>
          <w:lang w:bidi="ar"/>
        </w:rPr>
      </w:pPr>
      <w:r>
        <w:rPr>
          <w:rFonts w:hint="eastAsia" w:ascii="仿宋_GB2312" w:hAnsi="仿宋_GB2312" w:cs="仿宋_GB2312"/>
          <w:color w:val="000000"/>
          <w:kern w:val="0"/>
          <w:sz w:val="32"/>
          <w:szCs w:val="32"/>
          <w:lang w:bidi="ar"/>
        </w:rPr>
        <w:t>深刻汲取“1·4”事故教训，强化城镇燃气安全运行</w:t>
      </w:r>
      <w:r>
        <w:rPr>
          <w:rFonts w:hint="eastAsia" w:ascii="仿宋_GB2312" w:hAnsi="仿宋_GB2312" w:cs="仿宋_GB2312"/>
          <w:color w:val="000000"/>
          <w:kern w:val="0"/>
          <w:sz w:val="32"/>
          <w:szCs w:val="32"/>
          <w:lang w:eastAsia="zh-CN" w:bidi="ar"/>
        </w:rPr>
        <w:t>，</w:t>
      </w:r>
      <w:r>
        <w:rPr>
          <w:rFonts w:hint="eastAsia" w:ascii="仿宋_GB2312" w:hAnsi="仿宋_GB2312" w:cs="仿宋_GB2312"/>
          <w:color w:val="000000"/>
          <w:kern w:val="0"/>
          <w:sz w:val="32"/>
          <w:szCs w:val="32"/>
          <w:lang w:bidi="ar"/>
        </w:rPr>
        <w:t>加大督导检查力度。县燃气专班发挥牵头统筹作用，下发安全隐患排查整治异地交叉检查方案伊燃</w:t>
      </w:r>
      <w:r>
        <w:rPr>
          <w:rFonts w:hint="eastAsia" w:ascii="仿宋_GB2312" w:hAnsi="仿宋_GB2312" w:cs="仿宋_GB2312"/>
          <w:color w:val="000000"/>
          <w:kern w:val="0"/>
          <w:sz w:val="32"/>
          <w:szCs w:val="32"/>
          <w:lang w:eastAsia="zh-CN" w:bidi="ar"/>
        </w:rPr>
        <w:t>〔2024〕1号</w:t>
      </w:r>
      <w:r>
        <w:rPr>
          <w:rFonts w:hint="eastAsia" w:ascii="仿宋_GB2312" w:hAnsi="仿宋_GB2312" w:cs="仿宋_GB2312"/>
          <w:color w:val="000000"/>
          <w:kern w:val="0"/>
          <w:sz w:val="32"/>
          <w:szCs w:val="32"/>
          <w:lang w:bidi="ar"/>
        </w:rPr>
        <w:t>；安全隐患大排查行动方案伊燃</w:t>
      </w:r>
      <w:r>
        <w:rPr>
          <w:rFonts w:hint="eastAsia" w:ascii="仿宋_GB2312" w:hAnsi="仿宋_GB2312" w:cs="仿宋_GB2312"/>
          <w:color w:val="000000"/>
          <w:kern w:val="0"/>
          <w:sz w:val="32"/>
          <w:szCs w:val="32"/>
          <w:lang w:eastAsia="zh-CN" w:bidi="ar"/>
        </w:rPr>
        <w:t>〔2024〕5号</w:t>
      </w:r>
      <w:r>
        <w:rPr>
          <w:rFonts w:hint="eastAsia" w:ascii="仿宋_GB2312" w:hAnsi="仿宋_GB2312" w:cs="仿宋_GB2312"/>
          <w:color w:val="000000"/>
          <w:kern w:val="0"/>
          <w:sz w:val="32"/>
          <w:szCs w:val="32"/>
          <w:lang w:bidi="ar"/>
        </w:rPr>
        <w:t>；组织在城区内开展联合检查行动4次，检查餐饮门店100余家，关停违规餐饮门店8家；组织专班成员单位对各乡镇燃气安全专项整治工作开展督导检查，共下达督导通知20份。</w:t>
      </w:r>
    </w:p>
    <w:p w14:paraId="356251C3">
      <w:pPr>
        <w:pStyle w:val="6"/>
        <w:keepNext w:val="0"/>
        <w:keepLines w:val="0"/>
        <w:pageBreakBefore w:val="0"/>
        <w:kinsoku/>
        <w:wordWrap/>
        <w:topLinePunct w:val="0"/>
        <w:autoSpaceDE/>
        <w:autoSpaceDN/>
        <w:bidi w:val="0"/>
        <w:spacing w:line="600" w:lineRule="exact"/>
        <w:ind w:right="0" w:rightChars="0" w:firstLine="640" w:firstLineChars="200"/>
        <w:jc w:val="left"/>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（三）伊川县各相关</w:t>
      </w:r>
      <w:r>
        <w:rPr>
          <w:rFonts w:hint="eastAsia" w:ascii="楷体_GB2312" w:hAnsi="楷体_GB2312" w:eastAsia="楷体_GB2312" w:cs="楷体_GB2312"/>
          <w:sz w:val="32"/>
          <w:szCs w:val="32"/>
        </w:rPr>
        <w:t>部门</w:t>
      </w:r>
    </w:p>
    <w:p w14:paraId="6CB59BBE">
      <w:pPr>
        <w:pStyle w:val="2"/>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cs="仿宋_GB2312"/>
          <w:color w:val="000000"/>
          <w:kern w:val="0"/>
          <w:sz w:val="32"/>
          <w:szCs w:val="32"/>
          <w:lang w:bidi="ar"/>
        </w:rPr>
      </w:pPr>
      <w:r>
        <w:rPr>
          <w:rFonts w:hint="eastAsia" w:ascii="仿宋_GB2312" w:hAnsi="仿宋_GB2312" w:cs="仿宋_GB2312"/>
          <w:color w:val="000000"/>
          <w:kern w:val="0"/>
          <w:sz w:val="32"/>
          <w:szCs w:val="32"/>
          <w:lang w:bidi="ar"/>
        </w:rPr>
        <w:t>商务、市场、住建、城管、应急、消防等监管部门和乡镇</w:t>
      </w:r>
      <w:r>
        <w:rPr>
          <w:rFonts w:hint="eastAsia" w:ascii="仿宋_GB2312" w:hAnsi="仿宋_GB2312" w:cs="仿宋_GB2312"/>
          <w:color w:val="000000"/>
          <w:kern w:val="0"/>
          <w:sz w:val="32"/>
          <w:szCs w:val="32"/>
          <w:lang w:eastAsia="zh-CN" w:bidi="ar"/>
        </w:rPr>
        <w:t>（</w:t>
      </w:r>
      <w:r>
        <w:rPr>
          <w:rFonts w:hint="eastAsia" w:ascii="仿宋_GB2312" w:hAnsi="仿宋_GB2312" w:cs="仿宋_GB2312"/>
          <w:color w:val="000000"/>
          <w:kern w:val="0"/>
          <w:sz w:val="32"/>
          <w:szCs w:val="32"/>
          <w:lang w:bidi="ar"/>
        </w:rPr>
        <w:t>街道</w:t>
      </w:r>
      <w:r>
        <w:rPr>
          <w:rFonts w:hint="eastAsia" w:ascii="仿宋_GB2312" w:hAnsi="仿宋_GB2312" w:cs="仿宋_GB2312"/>
          <w:color w:val="000000"/>
          <w:kern w:val="0"/>
          <w:sz w:val="32"/>
          <w:szCs w:val="32"/>
          <w:lang w:eastAsia="zh-CN" w:bidi="ar"/>
        </w:rPr>
        <w:t>）</w:t>
      </w:r>
      <w:bookmarkStart w:id="0" w:name="OLE_LINK1"/>
      <w:r>
        <w:rPr>
          <w:rFonts w:hint="eastAsia" w:ascii="仿宋_GB2312" w:hAnsi="仿宋_GB2312" w:cs="仿宋_GB2312"/>
          <w:color w:val="000000"/>
          <w:kern w:val="0"/>
          <w:sz w:val="32"/>
          <w:szCs w:val="32"/>
          <w:lang w:bidi="ar"/>
        </w:rPr>
        <w:t>对辖区内燃气储存、充装、运输、销售和使用等各个环节进行全面排查，</w:t>
      </w:r>
      <w:bookmarkEnd w:id="0"/>
      <w:r>
        <w:rPr>
          <w:rFonts w:hint="eastAsia" w:ascii="仿宋_GB2312" w:hAnsi="仿宋_GB2312" w:cs="仿宋_GB2312"/>
          <w:color w:val="000000"/>
          <w:kern w:val="0"/>
          <w:sz w:val="32"/>
          <w:szCs w:val="32"/>
          <w:lang w:bidi="ar"/>
        </w:rPr>
        <w:t>累计检查燃气企业24次、燃气用户1325家，发现2650余条安全隐患已全部整改到位，整改率达到100%；排查燃气管道856千米，发现燃气管道占压隐患2处、其他一般隐患15处，已全部整改到位；打击非法流动倒装液化石油气行为6起，查处非法储存燃气窝点6处，累计没收违规气瓶120个，并将相关涉案违法人员移交公安机关处理；通过电视媒体曝光1起违法违规典型案例。</w:t>
      </w:r>
    </w:p>
    <w:p w14:paraId="48C807F2">
      <w:pPr>
        <w:pStyle w:val="6"/>
        <w:keepNext w:val="0"/>
        <w:keepLines w:val="0"/>
        <w:pageBreakBefore w:val="0"/>
        <w:kinsoku/>
        <w:wordWrap/>
        <w:topLinePunct w:val="0"/>
        <w:autoSpaceDE/>
        <w:autoSpaceDN/>
        <w:bidi w:val="0"/>
        <w:spacing w:line="600" w:lineRule="exact"/>
        <w:ind w:right="0" w:rightChars="0" w:firstLine="640" w:firstLineChars="200"/>
        <w:jc w:val="left"/>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（四）</w:t>
      </w:r>
      <w:r>
        <w:rPr>
          <w:rFonts w:hint="eastAsia" w:ascii="楷体_GB2312" w:hAnsi="楷体_GB2312" w:eastAsia="楷体_GB2312" w:cs="楷体_GB2312"/>
          <w:sz w:val="32"/>
          <w:szCs w:val="32"/>
        </w:rPr>
        <w:t>伊川县河滨街道办事处</w:t>
      </w:r>
    </w:p>
    <w:p w14:paraId="31257A02">
      <w:pPr>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黑体" w:hAnsi="黑体" w:eastAsia="黑体" w:cs="黑体"/>
          <w:color w:val="FF0000"/>
          <w:spacing w:val="11"/>
          <w:kern w:val="2"/>
          <w:sz w:val="32"/>
          <w:szCs w:val="32"/>
          <w:shd w:val="clear" w:color="auto" w:fill="FFFFFF"/>
          <w:lang w:val="en-US" w:eastAsia="zh-CN"/>
        </w:rPr>
      </w:pPr>
      <w:r>
        <w:rPr>
          <w:rFonts w:hint="eastAsia" w:ascii="仿宋_GB2312" w:hAnsi="仿宋_GB2312" w:eastAsia="仿宋_GB2312" w:cs="仿宋_GB2312"/>
          <w:sz w:val="32"/>
          <w:szCs w:val="32"/>
          <w:lang w:val="en-US" w:eastAsia="zh-CN"/>
        </w:rPr>
        <w:t>河滨街道深刻反思，深</w:t>
      </w:r>
      <w:r>
        <w:rPr>
          <w:rFonts w:hint="eastAsia" w:ascii="仿宋_GB2312" w:hAnsi="仿宋_GB2312" w:cs="仿宋_GB2312"/>
          <w:sz w:val="32"/>
          <w:szCs w:val="32"/>
          <w:lang w:val="en-US" w:eastAsia="zh-CN"/>
        </w:rPr>
        <w:t>入</w:t>
      </w:r>
      <w:r>
        <w:rPr>
          <w:rFonts w:hint="eastAsia" w:ascii="仿宋_GB2312" w:hAnsi="仿宋_GB2312" w:eastAsia="仿宋_GB2312" w:cs="仿宋_GB2312"/>
          <w:sz w:val="32"/>
          <w:szCs w:val="32"/>
          <w:lang w:val="en-US" w:eastAsia="zh-CN"/>
        </w:rPr>
        <w:t>剖析存在的问题，</w:t>
      </w:r>
      <w:r>
        <w:rPr>
          <w:rFonts w:hint="eastAsia" w:ascii="仿宋_GB2312" w:hAnsi="仿宋_GB2312" w:cs="仿宋_GB2312"/>
          <w:sz w:val="32"/>
          <w:szCs w:val="32"/>
          <w:lang w:val="en-US" w:eastAsia="zh-CN"/>
        </w:rPr>
        <w:t>认真</w:t>
      </w:r>
      <w:r>
        <w:rPr>
          <w:rFonts w:hint="eastAsia" w:ascii="仿宋_GB2312" w:hAnsi="仿宋_GB2312" w:eastAsia="仿宋_GB2312" w:cs="仿宋_GB2312"/>
          <w:sz w:val="32"/>
          <w:szCs w:val="32"/>
          <w:lang w:val="en-US" w:eastAsia="zh-CN"/>
        </w:rPr>
        <w:t>吸取此</w:t>
      </w:r>
      <w:r>
        <w:rPr>
          <w:rFonts w:hint="eastAsia" w:ascii="仿宋_GB2312" w:hAnsi="仿宋_GB2312" w:cs="仿宋_GB2312"/>
          <w:sz w:val="32"/>
          <w:szCs w:val="32"/>
          <w:lang w:val="en-US" w:eastAsia="zh-CN"/>
        </w:rPr>
        <w:t>次</w:t>
      </w:r>
      <w:r>
        <w:rPr>
          <w:rFonts w:hint="eastAsia" w:ascii="仿宋_GB2312" w:hAnsi="仿宋_GB2312" w:eastAsia="仿宋_GB2312" w:cs="仿宋_GB2312"/>
          <w:sz w:val="32"/>
          <w:szCs w:val="32"/>
          <w:lang w:val="en-US" w:eastAsia="zh-CN"/>
        </w:rPr>
        <w:t>事故教训，</w:t>
      </w:r>
      <w:r>
        <w:rPr>
          <w:rFonts w:hint="eastAsia" w:ascii="仿宋_GB2312" w:hAnsi="仿宋_GB2312" w:cs="仿宋_GB2312"/>
          <w:sz w:val="32"/>
          <w:szCs w:val="32"/>
          <w:lang w:val="en-US" w:eastAsia="zh-CN"/>
        </w:rPr>
        <w:t>积极</w:t>
      </w:r>
      <w:r>
        <w:rPr>
          <w:rFonts w:hint="eastAsia" w:ascii="仿宋_GB2312" w:hAnsi="仿宋_GB2312" w:eastAsia="仿宋_GB2312" w:cs="仿宋_GB2312"/>
          <w:sz w:val="32"/>
          <w:szCs w:val="32"/>
          <w:lang w:val="en-US" w:eastAsia="zh-CN"/>
        </w:rPr>
        <w:t>整改存在的问题。一</w:t>
      </w:r>
      <w:r>
        <w:rPr>
          <w:rFonts w:hint="eastAsia" w:ascii="仿宋_GB2312" w:hAnsi="仿宋_GB2312" w:cs="仿宋_GB2312"/>
          <w:sz w:val="32"/>
          <w:szCs w:val="32"/>
          <w:lang w:val="en-US" w:eastAsia="zh-CN"/>
        </w:rPr>
        <w:t>方面</w:t>
      </w:r>
      <w:r>
        <w:rPr>
          <w:rFonts w:hint="eastAsia" w:ascii="仿宋_GB2312" w:hAnsi="仿宋_GB2312" w:eastAsia="仿宋_GB2312" w:cs="仿宋_GB2312"/>
          <w:sz w:val="32"/>
          <w:szCs w:val="32"/>
          <w:lang w:val="en-US" w:eastAsia="zh-CN"/>
        </w:rPr>
        <w:t>组织网格员对辖区内企业、厂房进行全面的排查，对不符合安全生产标</w:t>
      </w:r>
      <w:r>
        <w:rPr>
          <w:rFonts w:hint="eastAsia" w:ascii="仿宋_GB2312" w:hAnsi="仿宋_GB2312" w:cs="仿宋_GB2312"/>
          <w:sz w:val="32"/>
          <w:szCs w:val="32"/>
          <w:lang w:val="en-US" w:eastAsia="zh-CN"/>
        </w:rPr>
        <w:t>准的</w:t>
      </w:r>
      <w:r>
        <w:rPr>
          <w:rFonts w:hint="eastAsia" w:ascii="仿宋_GB2312" w:hAnsi="仿宋_GB2312" w:eastAsia="仿宋_GB2312" w:cs="仿宋_GB2312"/>
          <w:sz w:val="32"/>
          <w:szCs w:val="32"/>
          <w:lang w:val="en-US" w:eastAsia="zh-CN"/>
        </w:rPr>
        <w:t>企业、作坊一律进行停业整改；</w:t>
      </w:r>
      <w:r>
        <w:rPr>
          <w:rFonts w:hint="eastAsia" w:ascii="仿宋_GB2312" w:hAnsi="仿宋_GB2312" w:cs="仿宋_GB2312"/>
          <w:sz w:val="32"/>
          <w:szCs w:val="32"/>
          <w:lang w:val="en-US" w:eastAsia="zh-CN"/>
        </w:rPr>
        <w:t>另一方面</w:t>
      </w:r>
      <w:r>
        <w:rPr>
          <w:rFonts w:hint="eastAsia" w:ascii="仿宋_GB2312" w:hAnsi="仿宋_GB2312" w:eastAsia="仿宋_GB2312" w:cs="仿宋_GB2312"/>
          <w:sz w:val="32"/>
          <w:szCs w:val="32"/>
          <w:lang w:val="en-US" w:eastAsia="zh-CN"/>
        </w:rPr>
        <w:t>根据县相关部门要求</w:t>
      </w:r>
      <w:r>
        <w:rPr>
          <w:rFonts w:hint="eastAsia" w:ascii="仿宋_GB2312" w:hAnsi="仿宋_GB2312" w:cs="仿宋_GB2312"/>
          <w:sz w:val="32"/>
          <w:szCs w:val="32"/>
          <w:lang w:val="en-US" w:eastAsia="zh-CN"/>
        </w:rPr>
        <w:t>，向</w:t>
      </w:r>
      <w:r>
        <w:rPr>
          <w:rFonts w:hint="eastAsia" w:ascii="仿宋_GB2312" w:hAnsi="仿宋_GB2312" w:eastAsia="仿宋_GB2312" w:cs="仿宋_GB2312"/>
          <w:sz w:val="32"/>
          <w:szCs w:val="32"/>
          <w:lang w:val="en-US" w:eastAsia="zh-CN"/>
        </w:rPr>
        <w:t>辖区内使用燃气的企业、店铺发放《伊川县规范瓶装液化石油气安全配送工作实施方案》等公告，全面宣传燃气安全相关政策规定。</w:t>
      </w:r>
    </w:p>
    <w:p w14:paraId="70AE9630">
      <w:pPr>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exact"/>
        <w:ind w:left="0" w:leftChars="0" w:right="0" w:rightChars="0" w:firstLine="684" w:firstLineChars="200"/>
        <w:jc w:val="both"/>
        <w:textAlignment w:val="auto"/>
        <w:outlineLvl w:val="9"/>
        <w:rPr>
          <w:rFonts w:hint="eastAsia" w:ascii="黑体" w:hAnsi="黑体" w:eastAsia="黑体" w:cs="黑体"/>
          <w:color w:val="auto"/>
          <w:spacing w:val="11"/>
          <w:kern w:val="2"/>
          <w:sz w:val="32"/>
          <w:szCs w:val="32"/>
          <w:shd w:val="clear" w:color="auto" w:fill="FFFFFF"/>
          <w:lang w:val="en-US" w:eastAsia="zh-CN"/>
        </w:rPr>
      </w:pPr>
      <w:r>
        <w:rPr>
          <w:rFonts w:hint="eastAsia" w:ascii="黑体" w:hAnsi="黑体" w:eastAsia="黑体" w:cs="黑体"/>
          <w:color w:val="auto"/>
          <w:spacing w:val="11"/>
          <w:kern w:val="2"/>
          <w:sz w:val="32"/>
          <w:szCs w:val="32"/>
          <w:shd w:val="clear" w:color="auto" w:fill="FFFFFF"/>
          <w:lang w:val="en-US" w:eastAsia="zh-CN"/>
        </w:rPr>
        <w:t>四、下一步工作建议</w:t>
      </w:r>
    </w:p>
    <w:p w14:paraId="7C4AA979">
      <w:pPr>
        <w:keepNext w:val="0"/>
        <w:keepLines w:val="0"/>
        <w:pageBreakBefore w:val="0"/>
        <w:widowControl w:val="0"/>
        <w:suppressLineNumbers w:val="0"/>
        <w:kinsoku/>
        <w:wordWrap/>
        <w:topLinePunct w:val="0"/>
        <w:autoSpaceDE/>
        <w:autoSpaceDN/>
        <w:bidi w:val="0"/>
        <w:spacing w:line="600" w:lineRule="exact"/>
        <w:ind w:right="0" w:rightChars="0" w:firstLine="640" w:firstLineChars="200"/>
        <w:jc w:val="both"/>
        <w:textAlignment w:val="auto"/>
        <w:rPr>
          <w:rFonts w:hint="eastAsia" w:cs="Times New Roman"/>
          <w:color w:val="auto"/>
          <w:kern w:val="2"/>
          <w:sz w:val="32"/>
          <w:szCs w:val="32"/>
          <w:lang w:eastAsia="zh-CN" w:bidi="ar-SA"/>
        </w:rPr>
      </w:pPr>
      <w:r>
        <w:rPr>
          <w:rFonts w:hint="eastAsia" w:ascii="楷体_GB2312" w:hAnsi="楷体_GB2312" w:eastAsia="楷体_GB2312" w:cs="楷体_GB2312"/>
          <w:color w:val="auto"/>
          <w:sz w:val="32"/>
          <w:szCs w:val="32"/>
          <w:lang w:eastAsia="zh-CN"/>
        </w:rPr>
        <w:t>一是进一步深化拓展对调查报告的理解和认识。</w:t>
      </w:r>
      <w:r>
        <w:rPr>
          <w:rFonts w:hint="eastAsia" w:cs="Times New Roman"/>
          <w:color w:val="auto"/>
          <w:kern w:val="2"/>
          <w:sz w:val="32"/>
          <w:szCs w:val="32"/>
          <w:lang w:eastAsia="zh-CN" w:bidi="ar-SA"/>
        </w:rPr>
        <w:t>要深入研读事故调查报告，确保对事故原因、存在问题及整改建议有深刻的认识，不断从中汲取教训，提升安全生产管理水平。</w:t>
      </w:r>
    </w:p>
    <w:p w14:paraId="4E5290E4">
      <w:pPr>
        <w:pStyle w:val="2"/>
        <w:keepNext w:val="0"/>
        <w:keepLines w:val="0"/>
        <w:pageBreakBefore w:val="0"/>
        <w:widowControl w:val="0"/>
        <w:kinsoku/>
        <w:wordWrap/>
        <w:topLinePunct w:val="0"/>
        <w:autoSpaceDE/>
        <w:autoSpaceDN/>
        <w:bidi w:val="0"/>
        <w:spacing w:line="600" w:lineRule="exact"/>
        <w:ind w:firstLine="640" w:firstLineChars="200"/>
        <w:jc w:val="left"/>
        <w:textAlignment w:val="auto"/>
        <w:rPr>
          <w:rFonts w:hint="eastAsia" w:cs="Times New Roman"/>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二是进一步增强落实调查报告建议的积极性和主动性。</w:t>
      </w:r>
      <w:r>
        <w:rPr>
          <w:rFonts w:hint="eastAsia" w:cs="Times New Roman"/>
          <w:color w:val="auto"/>
          <w:kern w:val="2"/>
          <w:sz w:val="32"/>
          <w:szCs w:val="32"/>
          <w:lang w:val="en-US" w:eastAsia="zh-CN" w:bidi="ar-SA"/>
        </w:rPr>
        <w:t>要从思想上提高认识，主动作为，不等不靠。各部门、各单位之间要加强沟通协调，形成合力，共同推动整改工作的深入开展。</w:t>
      </w:r>
    </w:p>
    <w:p w14:paraId="502284C0">
      <w:pPr>
        <w:pStyle w:val="2"/>
        <w:keepNext w:val="0"/>
        <w:keepLines w:val="0"/>
        <w:pageBreakBefore w:val="0"/>
        <w:widowControl w:val="0"/>
        <w:kinsoku/>
        <w:wordWrap/>
        <w:topLinePunct w:val="0"/>
        <w:autoSpaceDE/>
        <w:autoSpaceDN/>
        <w:bidi w:val="0"/>
        <w:spacing w:line="600" w:lineRule="exact"/>
        <w:ind w:firstLine="640" w:firstLineChars="200"/>
        <w:jc w:val="left"/>
        <w:textAlignment w:val="auto"/>
        <w:rPr>
          <w:rFonts w:hint="eastAsia" w:cs="Times New Roman"/>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三是进一步探究预防同类事故的长效治本之策。</w:t>
      </w:r>
      <w:r>
        <w:rPr>
          <w:rFonts w:hint="eastAsia" w:cs="Times New Roman"/>
          <w:color w:val="auto"/>
          <w:kern w:val="2"/>
          <w:sz w:val="32"/>
          <w:szCs w:val="32"/>
          <w:lang w:val="en-US" w:eastAsia="zh-CN" w:bidi="ar-SA"/>
        </w:rPr>
        <w:t>要做好事故防范措施落实的“后半篇文章”，研究制定能够管长远、有成效的制度规定，确保安全监管有法可依、有规可循。</w:t>
      </w:r>
    </w:p>
    <w:p w14:paraId="0D43E46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eastAsia="黑体"/>
          <w:bCs/>
          <w:sz w:val="32"/>
          <w:szCs w:val="32"/>
          <w:lang w:eastAsia="zh-CN"/>
        </w:rPr>
      </w:pPr>
      <w:r>
        <w:rPr>
          <w:rFonts w:hint="eastAsia" w:eastAsia="黑体" w:cs="黑体"/>
          <w:bCs/>
          <w:sz w:val="32"/>
          <w:szCs w:val="32"/>
          <w:lang w:eastAsia="zh-CN" w:bidi="ar"/>
        </w:rPr>
        <w:t>五、总体</w:t>
      </w:r>
      <w:r>
        <w:rPr>
          <w:rFonts w:hint="eastAsia" w:ascii="Calibri" w:hAnsi="Calibri" w:eastAsia="黑体" w:cs="黑体"/>
          <w:bCs/>
          <w:sz w:val="32"/>
          <w:szCs w:val="32"/>
          <w:lang w:bidi="ar"/>
        </w:rPr>
        <w:t>评估</w:t>
      </w:r>
      <w:r>
        <w:rPr>
          <w:rFonts w:hint="eastAsia" w:eastAsia="黑体" w:cs="黑体"/>
          <w:bCs/>
          <w:sz w:val="32"/>
          <w:szCs w:val="32"/>
          <w:lang w:eastAsia="zh-CN" w:bidi="ar"/>
        </w:rPr>
        <w:t>意见</w:t>
      </w:r>
    </w:p>
    <w:p w14:paraId="1432659E">
      <w:pPr>
        <w:pStyle w:val="2"/>
        <w:keepNext w:val="0"/>
        <w:keepLines w:val="0"/>
        <w:pageBreakBefore w:val="0"/>
        <w:widowControl w:val="0"/>
        <w:kinsoku/>
        <w:wordWrap/>
        <w:topLinePunct w:val="0"/>
        <w:autoSpaceDE/>
        <w:autoSpaceDN/>
        <w:bidi w:val="0"/>
        <w:spacing w:line="600" w:lineRule="exact"/>
        <w:ind w:firstLine="640" w:firstLineChars="200"/>
        <w:jc w:val="left"/>
        <w:textAlignment w:val="auto"/>
        <w:rPr>
          <w:rFonts w:hint="eastAsia" w:cs="Times New Roman"/>
          <w:color w:val="auto"/>
          <w:kern w:val="2"/>
          <w:sz w:val="32"/>
          <w:szCs w:val="32"/>
          <w:lang w:val="en-US" w:eastAsia="zh-CN" w:bidi="ar-SA"/>
        </w:rPr>
      </w:pPr>
      <w:r>
        <w:rPr>
          <w:rFonts w:hint="eastAsia" w:cs="Times New Roman"/>
          <w:color w:val="auto"/>
          <w:kern w:val="2"/>
          <w:sz w:val="32"/>
          <w:szCs w:val="32"/>
          <w:lang w:val="en-US" w:eastAsia="zh-CN" w:bidi="ar-SA"/>
        </w:rPr>
        <w:t>评估组认为：事故相关责任单位和责任人员均已按照事故调查报告提出的处理建议落实到位，伊川县人民政府和各相关部门已落实调查报告提出的防范措施建议。</w:t>
      </w:r>
    </w:p>
    <w:p w14:paraId="4167E682">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 w:cs="Times New Roman"/>
          <w:kern w:val="2"/>
          <w:sz w:val="32"/>
          <w:szCs w:val="32"/>
          <w:lang w:val="en-US" w:eastAsia="zh-CN" w:bidi="ar-SA"/>
        </w:rPr>
      </w:pPr>
    </w:p>
    <w:p w14:paraId="30882995">
      <w:pPr>
        <w:pStyle w:val="2"/>
        <w:keepNext w:val="0"/>
        <w:keepLines w:val="0"/>
        <w:pageBreakBefore w:val="0"/>
        <w:kinsoku/>
        <w:wordWrap/>
        <w:topLinePunct w:val="0"/>
        <w:autoSpaceDE/>
        <w:autoSpaceDN/>
        <w:bidi w:val="0"/>
        <w:spacing w:line="600" w:lineRule="exact"/>
        <w:textAlignment w:val="auto"/>
        <w:rPr>
          <w:rFonts w:hint="eastAsia"/>
          <w:lang w:val="en-US" w:eastAsia="zh-CN"/>
        </w:rPr>
      </w:pP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49EC8A2-1038-4323-8F79-2DA7FFC3D10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EBF9CE6E-2086-47A3-86CD-DC73E24B165E}"/>
  </w:font>
  <w:font w:name="仿宋_GB2312">
    <w:panose1 w:val="02010609030101010101"/>
    <w:charset w:val="86"/>
    <w:family w:val="auto"/>
    <w:pitch w:val="default"/>
    <w:sig w:usb0="00000001" w:usb1="080E0000" w:usb2="00000000" w:usb3="00000000" w:csb0="00040000" w:csb1="00000000"/>
    <w:embedRegular r:id="rId3" w:fontKey="{D22C6C13-A3B3-4231-BB9B-6A43C507BDA6}"/>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4" w:fontKey="{6DE78E83-76CD-4797-B674-71034EAFBB51}"/>
  </w:font>
  <w:font w:name="小标宋">
    <w:altName w:val="方正小标宋简体"/>
    <w:panose1 w:val="03000509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embedRegular r:id="rId5" w:fontKey="{1BA6D65D-664D-4B51-AE11-658157441AA3}"/>
  </w:font>
  <w:font w:name="Cambria">
    <w:panose1 w:val="02040503050406030204"/>
    <w:charset w:val="00"/>
    <w:family w:val="roman"/>
    <w:pitch w:val="default"/>
    <w:sig w:usb0="A00002EF" w:usb1="4000004B" w:usb2="00000000" w:usb3="00000000" w:csb0="2000009F" w:csb1="00000000"/>
  </w:font>
  <w:font w:name="楷体_GB2312">
    <w:panose1 w:val="02010609030101010101"/>
    <w:charset w:val="86"/>
    <w:family w:val="auto"/>
    <w:pitch w:val="default"/>
    <w:sig w:usb0="00000001" w:usb1="080E0000" w:usb2="00000000" w:usb3="00000000" w:csb0="00040000" w:csb1="00000000"/>
    <w:embedRegular r:id="rId6" w:fontKey="{5A0965A8-0AE7-4281-93C7-9138AAC8E2F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0DEBC">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BA8739">
                          <w:pPr>
                            <w:pStyle w:val="8"/>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0BA8739">
                    <w:pPr>
                      <w:pStyle w:val="8"/>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84C2BA">
    <w:pPr>
      <w:pStyle w:val="9"/>
    </w:pPr>
    <w:r>
      <w:rPr>
        <w:sz w:val="18"/>
      </w:rPr>
      <w:pict>
        <v:shape id="PowerPlusWaterMarkObject63088" o:spid="_x0000_s4097" o:spt="136" type="#_x0000_t136" style="position:absolute;left:0pt;height:121.6pt;width:465.65pt;mso-position-horizontal:center;mso-position-horizontal-relative:margin;mso-position-vertical:center;mso-position-vertical-relative:margin;rotation:-2949120f;z-index:-251656192;mso-width-relative:page;mso-height-relative:page;" fillcolor="#595959" filled="t" stroked="f" coordsize="21600,21600" adj="10800">
          <v:path/>
          <v:fill on="t" opacity="32768f" focussize="0,0"/>
          <v:stroke on="f"/>
          <v:imagedata o:title=""/>
          <o:lock v:ext="edit" aspectratio="t"/>
          <v:textpath on="t" fitshape="t" fitpath="t" trim="t" xscale="f" string="网上公示稿" style="font-family:微软雅黑;font-size:3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jZTAxYzA2YzRmNjVlNDM2NzAyZjY2MDljZmQ3OGIifQ=="/>
  </w:docVars>
  <w:rsids>
    <w:rsidRoot w:val="08F33ACC"/>
    <w:rsid w:val="002E1F6F"/>
    <w:rsid w:val="005D754F"/>
    <w:rsid w:val="01802DEE"/>
    <w:rsid w:val="01C205FE"/>
    <w:rsid w:val="01E55D08"/>
    <w:rsid w:val="03031491"/>
    <w:rsid w:val="05116589"/>
    <w:rsid w:val="05FB33F4"/>
    <w:rsid w:val="08F33ACC"/>
    <w:rsid w:val="09727371"/>
    <w:rsid w:val="0A344626"/>
    <w:rsid w:val="0BB62F04"/>
    <w:rsid w:val="0CFA1B57"/>
    <w:rsid w:val="0D076022"/>
    <w:rsid w:val="0DF16DFA"/>
    <w:rsid w:val="0EA509B9"/>
    <w:rsid w:val="0FA77648"/>
    <w:rsid w:val="110864A9"/>
    <w:rsid w:val="115B6363"/>
    <w:rsid w:val="11B039AE"/>
    <w:rsid w:val="11BA3663"/>
    <w:rsid w:val="12402E84"/>
    <w:rsid w:val="13D02BC9"/>
    <w:rsid w:val="15127C5A"/>
    <w:rsid w:val="151C7F48"/>
    <w:rsid w:val="15D91F5D"/>
    <w:rsid w:val="1644303C"/>
    <w:rsid w:val="1718645D"/>
    <w:rsid w:val="17203BCA"/>
    <w:rsid w:val="18544907"/>
    <w:rsid w:val="19251076"/>
    <w:rsid w:val="193E726F"/>
    <w:rsid w:val="194B3422"/>
    <w:rsid w:val="19CA7222"/>
    <w:rsid w:val="1A995A2D"/>
    <w:rsid w:val="1B1341C5"/>
    <w:rsid w:val="1B8F6059"/>
    <w:rsid w:val="1C5E5533"/>
    <w:rsid w:val="1CF6449C"/>
    <w:rsid w:val="1DF57016"/>
    <w:rsid w:val="204347E7"/>
    <w:rsid w:val="20765340"/>
    <w:rsid w:val="20854AE6"/>
    <w:rsid w:val="20C847C5"/>
    <w:rsid w:val="234A2791"/>
    <w:rsid w:val="2378385F"/>
    <w:rsid w:val="23C810C6"/>
    <w:rsid w:val="261E52E3"/>
    <w:rsid w:val="271A5522"/>
    <w:rsid w:val="27550CD5"/>
    <w:rsid w:val="28615EB5"/>
    <w:rsid w:val="28AC13A8"/>
    <w:rsid w:val="28B10FDE"/>
    <w:rsid w:val="298B7936"/>
    <w:rsid w:val="29BF46D2"/>
    <w:rsid w:val="29FF6315"/>
    <w:rsid w:val="2A78776A"/>
    <w:rsid w:val="2B233836"/>
    <w:rsid w:val="2B342280"/>
    <w:rsid w:val="2C667BAE"/>
    <w:rsid w:val="2C9E2A58"/>
    <w:rsid w:val="2D7EF5A9"/>
    <w:rsid w:val="2EA656A3"/>
    <w:rsid w:val="33E65192"/>
    <w:rsid w:val="340030B3"/>
    <w:rsid w:val="355754E9"/>
    <w:rsid w:val="35A157B0"/>
    <w:rsid w:val="363C023B"/>
    <w:rsid w:val="37B05B56"/>
    <w:rsid w:val="3819572B"/>
    <w:rsid w:val="39267762"/>
    <w:rsid w:val="394B7113"/>
    <w:rsid w:val="399C142F"/>
    <w:rsid w:val="39BDF657"/>
    <w:rsid w:val="3AAC4313"/>
    <w:rsid w:val="3C8373B1"/>
    <w:rsid w:val="3E7C7897"/>
    <w:rsid w:val="3F870779"/>
    <w:rsid w:val="414C4DD0"/>
    <w:rsid w:val="425F0C66"/>
    <w:rsid w:val="42602CC4"/>
    <w:rsid w:val="426E79CE"/>
    <w:rsid w:val="43593346"/>
    <w:rsid w:val="4377196D"/>
    <w:rsid w:val="44051FDC"/>
    <w:rsid w:val="47947ED7"/>
    <w:rsid w:val="47AA120F"/>
    <w:rsid w:val="48D82045"/>
    <w:rsid w:val="4B8045C6"/>
    <w:rsid w:val="4BD034A7"/>
    <w:rsid w:val="4BE01E83"/>
    <w:rsid w:val="4C325550"/>
    <w:rsid w:val="4D203FBB"/>
    <w:rsid w:val="4D4B6DC4"/>
    <w:rsid w:val="4E8F13F8"/>
    <w:rsid w:val="4F9FC7E5"/>
    <w:rsid w:val="50B138A7"/>
    <w:rsid w:val="52006AAD"/>
    <w:rsid w:val="55053291"/>
    <w:rsid w:val="554A42CB"/>
    <w:rsid w:val="55CE6CAA"/>
    <w:rsid w:val="56EF52FE"/>
    <w:rsid w:val="57B323AE"/>
    <w:rsid w:val="57BEF6E3"/>
    <w:rsid w:val="59480FF4"/>
    <w:rsid w:val="5A206B10"/>
    <w:rsid w:val="5AFD3673"/>
    <w:rsid w:val="5B7C55AD"/>
    <w:rsid w:val="5CA2551E"/>
    <w:rsid w:val="5E802B0B"/>
    <w:rsid w:val="5E977D01"/>
    <w:rsid w:val="5EC90BC6"/>
    <w:rsid w:val="5EFF3BB3"/>
    <w:rsid w:val="5F0E6432"/>
    <w:rsid w:val="608B4572"/>
    <w:rsid w:val="61860438"/>
    <w:rsid w:val="619758FD"/>
    <w:rsid w:val="63275C4B"/>
    <w:rsid w:val="63FA61A4"/>
    <w:rsid w:val="65DA349F"/>
    <w:rsid w:val="66050C13"/>
    <w:rsid w:val="673B53D5"/>
    <w:rsid w:val="675971F6"/>
    <w:rsid w:val="687435EE"/>
    <w:rsid w:val="696E0130"/>
    <w:rsid w:val="697E59BE"/>
    <w:rsid w:val="6A42067F"/>
    <w:rsid w:val="6A496C5C"/>
    <w:rsid w:val="6A4E61B3"/>
    <w:rsid w:val="6C36519D"/>
    <w:rsid w:val="6D2243BE"/>
    <w:rsid w:val="6DBA3B74"/>
    <w:rsid w:val="6E4C1361"/>
    <w:rsid w:val="6F2A18FC"/>
    <w:rsid w:val="6F47002E"/>
    <w:rsid w:val="6F7A7103"/>
    <w:rsid w:val="6F8C4963"/>
    <w:rsid w:val="6FA94750"/>
    <w:rsid w:val="6FF548F3"/>
    <w:rsid w:val="6FFF3C0F"/>
    <w:rsid w:val="707124A6"/>
    <w:rsid w:val="70A91E26"/>
    <w:rsid w:val="70E8780D"/>
    <w:rsid w:val="70F01D72"/>
    <w:rsid w:val="70FB4E07"/>
    <w:rsid w:val="729D6627"/>
    <w:rsid w:val="72B80E00"/>
    <w:rsid w:val="73626DFC"/>
    <w:rsid w:val="752158DC"/>
    <w:rsid w:val="77FFEBAD"/>
    <w:rsid w:val="78246F37"/>
    <w:rsid w:val="791C3E2E"/>
    <w:rsid w:val="79AA4512"/>
    <w:rsid w:val="7A501B64"/>
    <w:rsid w:val="7BC3441E"/>
    <w:rsid w:val="7C1F0452"/>
    <w:rsid w:val="7CB60F70"/>
    <w:rsid w:val="7DCC7AD0"/>
    <w:rsid w:val="7E2D1F10"/>
    <w:rsid w:val="7E2F41F3"/>
    <w:rsid w:val="7EF403C5"/>
    <w:rsid w:val="7FFA97BB"/>
    <w:rsid w:val="9B1F0C8C"/>
    <w:rsid w:val="AD5FB856"/>
    <w:rsid w:val="AFB9D390"/>
    <w:rsid w:val="BB33930F"/>
    <w:rsid w:val="D1FFFE64"/>
    <w:rsid w:val="DE6D0966"/>
    <w:rsid w:val="DF3D1526"/>
    <w:rsid w:val="EEFFF7CA"/>
    <w:rsid w:val="FF5EE867"/>
    <w:rsid w:val="FFAF15EB"/>
    <w:rsid w:val="FFCF59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lang w:val="en-US" w:eastAsia="zh-CN" w:bidi="ar-SA"/>
    </w:rPr>
  </w:style>
  <w:style w:type="paragraph" w:styleId="3">
    <w:name w:val="heading 2"/>
    <w:basedOn w:val="1"/>
    <w:next w:val="1"/>
    <w:link w:val="18"/>
    <w:semiHidden/>
    <w:unhideWhenUsed/>
    <w:qFormat/>
    <w:uiPriority w:val="0"/>
    <w:pPr>
      <w:keepNext/>
      <w:keepLines/>
      <w:spacing w:before="260" w:beforeLines="0" w:beforeAutospacing="0" w:after="260" w:afterLines="0" w:afterAutospacing="0" w:line="413" w:lineRule="auto"/>
      <w:outlineLvl w:val="1"/>
    </w:pPr>
    <w:rPr>
      <w:rFonts w:ascii="Arial" w:hAnsi="Arial" w:eastAsia="华文仿宋" w:cs="仿宋"/>
      <w:sz w:val="32"/>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正文-公1"/>
    <w:basedOn w:val="1"/>
    <w:next w:val="1"/>
    <w:qFormat/>
    <w:uiPriority w:val="0"/>
    <w:pPr>
      <w:ind w:firstLine="200" w:firstLineChars="200"/>
      <w:jc w:val="left"/>
    </w:pPr>
    <w:rPr>
      <w:rFonts w:ascii="Calibri" w:hAnsi="Calibri" w:cs="Times New Roman"/>
      <w:sz w:val="21"/>
    </w:rPr>
  </w:style>
  <w:style w:type="paragraph" w:styleId="4">
    <w:name w:val="Normal Indent"/>
    <w:basedOn w:val="1"/>
    <w:qFormat/>
    <w:uiPriority w:val="0"/>
    <w:pPr>
      <w:ind w:firstLine="420" w:firstLineChars="200"/>
    </w:pPr>
    <w:rPr>
      <w:rFonts w:ascii="Calibri" w:hAnsi="Calibri" w:eastAsia="仿宋" w:cs="宋体"/>
      <w:sz w:val="32"/>
    </w:rPr>
  </w:style>
  <w:style w:type="paragraph" w:styleId="5">
    <w:name w:val="Body Text"/>
    <w:basedOn w:val="1"/>
    <w:next w:val="6"/>
    <w:qFormat/>
    <w:uiPriority w:val="0"/>
    <w:pPr>
      <w:spacing w:line="0" w:lineRule="atLeast"/>
    </w:pPr>
    <w:rPr>
      <w:rFonts w:eastAsia="小标宋"/>
      <w:sz w:val="44"/>
    </w:rPr>
  </w:style>
  <w:style w:type="paragraph" w:styleId="6">
    <w:name w:val="Body Text 2"/>
    <w:basedOn w:val="1"/>
    <w:qFormat/>
    <w:uiPriority w:val="0"/>
    <w:rPr>
      <w:rFonts w:eastAsia="仿宋_GB2312"/>
      <w:sz w:val="30"/>
    </w:rPr>
  </w:style>
  <w:style w:type="paragraph" w:styleId="7">
    <w:name w:val="Body Text Indent"/>
    <w:basedOn w:val="1"/>
    <w:qFormat/>
    <w:uiPriority w:val="0"/>
    <w:pPr>
      <w:spacing w:after="120" w:afterAutospacing="0"/>
      <w:ind w:left="420" w:leftChars="2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Autospacing="1" w:afterAutospacing="1"/>
      <w:jc w:val="left"/>
    </w:pPr>
    <w:rPr>
      <w:rFonts w:ascii="Calibri" w:hAnsi="Calibri" w:eastAsia="宋体" w:cs="Times New Roman"/>
      <w:kern w:val="0"/>
      <w:sz w:val="24"/>
      <w:szCs w:val="22"/>
    </w:rPr>
  </w:style>
  <w:style w:type="paragraph" w:styleId="11">
    <w:name w:val="Title"/>
    <w:basedOn w:val="1"/>
    <w:next w:val="1"/>
    <w:qFormat/>
    <w:uiPriority w:val="10"/>
    <w:pPr>
      <w:spacing w:before="240" w:beforeLines="0" w:after="60" w:afterLines="0"/>
      <w:jc w:val="center"/>
      <w:outlineLvl w:val="0"/>
    </w:pPr>
    <w:rPr>
      <w:rFonts w:ascii="方正小标宋简体" w:hAnsi="Cambria" w:eastAsia="方正小标宋简体" w:cs="Times New Roman"/>
      <w:sz w:val="44"/>
      <w:szCs w:val="44"/>
    </w:rPr>
  </w:style>
  <w:style w:type="paragraph" w:styleId="12">
    <w:name w:val="Body Text First Indent"/>
    <w:basedOn w:val="5"/>
    <w:next w:val="13"/>
    <w:qFormat/>
    <w:uiPriority w:val="0"/>
    <w:pPr>
      <w:ind w:firstLine="420" w:firstLineChars="100"/>
    </w:pPr>
  </w:style>
  <w:style w:type="paragraph" w:styleId="13">
    <w:name w:val="Body Text First Indent 2"/>
    <w:basedOn w:val="7"/>
    <w:next w:val="5"/>
    <w:qFormat/>
    <w:uiPriority w:val="0"/>
    <w:pPr>
      <w:ind w:firstLine="420" w:firstLineChars="2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qFormat/>
    <w:uiPriority w:val="0"/>
    <w:rPr>
      <w:color w:val="0000FF"/>
      <w:u w:val="single"/>
    </w:rPr>
  </w:style>
  <w:style w:type="character" w:customStyle="1" w:styleId="18">
    <w:name w:val="标题 2 Char"/>
    <w:link w:val="3"/>
    <w:qFormat/>
    <w:uiPriority w:val="0"/>
    <w:rPr>
      <w:rFonts w:ascii="Arial" w:hAnsi="Arial" w:eastAsia="华文仿宋" w:cs="仿宋"/>
      <w:sz w:val="32"/>
      <w:szCs w:val="32"/>
    </w:rPr>
  </w:style>
  <w:style w:type="paragraph" w:customStyle="1" w:styleId="19">
    <w:name w:val="正文（缩进）"/>
    <w:basedOn w:val="1"/>
    <w:qFormat/>
    <w:uiPriority w:val="0"/>
    <w:pPr>
      <w:spacing w:before="50" w:after="50"/>
      <w:ind w:firstLine="200"/>
    </w:pPr>
  </w:style>
  <w:style w:type="character" w:customStyle="1" w:styleId="20">
    <w:name w:val="NormalCharacter"/>
    <w:basedOn w:val="16"/>
    <w:qFormat/>
    <w:uiPriority w:val="0"/>
    <w:rPr>
      <w:rFonts w:hint="default" w:ascii="Calibri" w:hAnsi="Calibri" w:eastAsia="宋体" w:cs="Calibr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1402</Words>
  <Characters>1437</Characters>
  <Lines>0</Lines>
  <Paragraphs>0</Paragraphs>
  <TotalTime>0</TotalTime>
  <ScaleCrop>false</ScaleCrop>
  <LinksUpToDate>false</LinksUpToDate>
  <CharactersWithSpaces>1441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2023-06-08T15:18:00Z</dcterms:created>
  <dc:creator>走过大漠</dc:creator>
  <cp:lastModifiedBy>九龙鼎</cp:lastModifiedBy>
  <cp:lastPrinted>2025-02-24T01:21:00Z</cp:lastPrinted>
  <dcterms:modified xsi:type="dcterms:W3CDTF">2025-02-24T02:16:44Z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54EA7FE3A59746639D22F8C0534C0993_13</vt:lpwstr>
  </property>
  <property fmtid="{D5CDD505-2E9C-101B-9397-08002B2CF9AE}" pid="4" name="KSOTemplateDocerSaveRecord">
    <vt:lpwstr>eyJoZGlkIjoiODdjZTAxYzA2YzRmNjVlNDM2NzAyZjY2MDljZmQ3OGIiLCJ1c2VySWQiOiIyOTc2ODEwNDkifQ==</vt:lpwstr>
  </property>
</Properties>
</file>