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方正书宋简体" w:hAnsi="方正书宋简体" w:eastAsia="仿宋_GB2312"/>
          <w:color w:val="000000"/>
          <w:sz w:val="31"/>
          <w:szCs w:val="31"/>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方正书宋简体" w:hAnsi="方正书宋简体" w:eastAsia="仿宋_GB2312"/>
          <w:color w:val="000000"/>
          <w:sz w:val="31"/>
          <w:szCs w:val="31"/>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洛阳市</w:t>
      </w:r>
      <w:r>
        <w:rPr>
          <w:rFonts w:hint="eastAsia" w:ascii="方正小标宋简体" w:hAnsi="方正小标宋简体" w:eastAsia="方正小标宋简体" w:cs="方正小标宋简体"/>
          <w:b w:val="0"/>
          <w:bCs w:val="0"/>
          <w:sz w:val="44"/>
          <w:szCs w:val="44"/>
        </w:rPr>
        <w:t>民政局</w:t>
      </w:r>
      <w:r>
        <w:rPr>
          <w:rFonts w:hint="eastAsia" w:ascii="方正小标宋简体" w:hAnsi="方正小标宋简体" w:eastAsia="方正小标宋简体" w:cs="方正小标宋简体"/>
          <w:b w:val="0"/>
          <w:bCs w:val="0"/>
          <w:sz w:val="44"/>
          <w:szCs w:val="44"/>
          <w:lang w:val="en-US" w:eastAsia="zh-CN"/>
        </w:rPr>
        <w:t xml:space="preserve">   洛阳市</w:t>
      </w:r>
      <w:r>
        <w:rPr>
          <w:rFonts w:hint="eastAsia" w:ascii="方正小标宋简体" w:hAnsi="方正小标宋简体" w:eastAsia="方正小标宋简体" w:cs="方正小标宋简体"/>
          <w:b w:val="0"/>
          <w:bCs w:val="0"/>
          <w:sz w:val="44"/>
          <w:szCs w:val="44"/>
        </w:rPr>
        <w:t>发展</w:t>
      </w:r>
      <w:r>
        <w:rPr>
          <w:rFonts w:hint="eastAsia" w:ascii="方正小标宋简体" w:hAnsi="方正小标宋简体" w:eastAsia="方正小标宋简体" w:cs="方正小标宋简体"/>
          <w:b w:val="0"/>
          <w:bCs w:val="0"/>
          <w:sz w:val="44"/>
          <w:szCs w:val="44"/>
          <w:lang w:eastAsia="zh-CN"/>
        </w:rPr>
        <w:t>和</w:t>
      </w:r>
      <w:r>
        <w:rPr>
          <w:rFonts w:hint="eastAsia" w:ascii="方正小标宋简体" w:hAnsi="方正小标宋简体" w:eastAsia="方正小标宋简体" w:cs="方正小标宋简体"/>
          <w:b w:val="0"/>
          <w:bCs w:val="0"/>
          <w:sz w:val="44"/>
          <w:szCs w:val="44"/>
        </w:rPr>
        <w:t>改革</w:t>
      </w:r>
      <w:r>
        <w:rPr>
          <w:rFonts w:hint="eastAsia" w:ascii="方正小标宋简体" w:hAnsi="方正小标宋简体" w:eastAsia="方正小标宋简体" w:cs="方正小标宋简体"/>
          <w:b w:val="0"/>
          <w:bCs w:val="0"/>
          <w:sz w:val="44"/>
          <w:szCs w:val="44"/>
          <w:lang w:eastAsia="zh-CN"/>
        </w:rPr>
        <w:t>委员会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洛阳市住房和城乡建设局  洛阳市城市管理局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0" w:firstLine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洛阳市市场监督管理局</w:t>
      </w:r>
      <w:r>
        <w:rPr>
          <w:rFonts w:hint="eastAsia" w:ascii="方正小标宋简体" w:hAnsi="方正小标宋简体" w:eastAsia="方正小标宋简体" w:cs="方正小标宋简体"/>
          <w:b w:val="0"/>
          <w:bCs w:val="0"/>
          <w:sz w:val="44"/>
          <w:szCs w:val="44"/>
        </w:rPr>
        <w:t>关于落实</w:t>
      </w:r>
      <w:r>
        <w:rPr>
          <w:rFonts w:hint="eastAsia" w:ascii="方正小标宋简体" w:hAnsi="方正小标宋简体" w:eastAsia="方正小标宋简体" w:cs="方正小标宋简体"/>
          <w:b w:val="0"/>
          <w:bCs w:val="0"/>
          <w:sz w:val="44"/>
          <w:szCs w:val="44"/>
          <w:lang w:eastAsia="zh-CN"/>
        </w:rPr>
        <w:t>落细</w:t>
      </w:r>
      <w:r>
        <w:rPr>
          <w:rFonts w:hint="eastAsia" w:ascii="方正小标宋简体" w:hAnsi="方正小标宋简体" w:eastAsia="方正小标宋简体" w:cs="方正小标宋简体"/>
          <w:b w:val="0"/>
          <w:bCs w:val="0"/>
          <w:sz w:val="44"/>
          <w:szCs w:val="44"/>
        </w:rPr>
        <w:t>养老服务机构用水用电用气用热</w:t>
      </w:r>
      <w:r>
        <w:rPr>
          <w:rFonts w:hint="eastAsia" w:ascii="方正小标宋简体" w:hAnsi="方正小标宋简体" w:eastAsia="方正小标宋简体" w:cs="方正小标宋简体"/>
          <w:b w:val="0"/>
          <w:bCs w:val="0"/>
          <w:sz w:val="44"/>
          <w:szCs w:val="44"/>
          <w:lang w:eastAsia="zh-CN"/>
        </w:rPr>
        <w:t>执行</w:t>
      </w:r>
      <w:r>
        <w:rPr>
          <w:rFonts w:hint="eastAsia" w:ascii="方正小标宋简体" w:hAnsi="方正小标宋简体" w:eastAsia="方正小标宋简体" w:cs="方正小标宋简体"/>
          <w:b w:val="0"/>
          <w:bCs w:val="0"/>
          <w:sz w:val="44"/>
          <w:szCs w:val="44"/>
        </w:rPr>
        <w:t>居民价格</w:t>
      </w:r>
      <w:r>
        <w:rPr>
          <w:rFonts w:hint="default" w:ascii="方正小标宋简体" w:hAnsi="方正小标宋简体" w:eastAsia="方正小标宋简体" w:cs="方正小标宋简体"/>
          <w:b w:val="0"/>
          <w:bCs w:val="0"/>
          <w:sz w:val="44"/>
          <w:szCs w:val="44"/>
          <w:lang w:val="en-US" w:eastAsia="zh-CN"/>
        </w:rPr>
        <w:t>工作</w:t>
      </w:r>
      <w:r>
        <w:rPr>
          <w:rFonts w:hint="eastAsia" w:ascii="方正小标宋简体" w:hAnsi="方正小标宋简体" w:eastAsia="方正小标宋简体" w:cs="方正小标宋简体"/>
          <w:b w:val="0"/>
          <w:bCs w:val="0"/>
          <w:sz w:val="44"/>
          <w:szCs w:val="44"/>
        </w:rPr>
        <w:t>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0" w:firstLine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通</w:t>
      </w:r>
      <w:r>
        <w:rPr>
          <w:rFonts w:hint="default" w:ascii="方正小标宋简体" w:hAnsi="方正小标宋简体" w:eastAsia="方正小标宋简体" w:cs="方正小标宋简体"/>
          <w:b w:val="0"/>
          <w:bCs w:val="0"/>
          <w:sz w:val="44"/>
          <w:szCs w:val="44"/>
          <w:lang w:val="en-US"/>
        </w:rPr>
        <w:t xml:space="preserve"> </w:t>
      </w:r>
      <w:r>
        <w:rPr>
          <w:rFonts w:hint="eastAsia" w:ascii="方正小标宋简体" w:hAnsi="方正小标宋简体" w:eastAsia="方正小标宋简体" w:cs="方正小标宋简体"/>
          <w:b w:val="0"/>
          <w:bCs w:val="0"/>
          <w:sz w:val="44"/>
          <w:szCs w:val="44"/>
        </w:rPr>
        <w:t>知</w:t>
      </w:r>
    </w:p>
    <w:p>
      <w:pPr>
        <w:keepNext w:val="0"/>
        <w:keepLines w:val="0"/>
        <w:pageBreakBefore w:val="0"/>
        <w:widowControl w:val="0"/>
        <w:kinsoku/>
        <w:wordWrap/>
        <w:overflowPunct w:val="0"/>
        <w:topLinePunct w:val="0"/>
        <w:autoSpaceDE/>
        <w:autoSpaceDN/>
        <w:bidi w:val="0"/>
        <w:adjustRightInd/>
        <w:snapToGrid/>
        <w:spacing w:line="432" w:lineRule="auto"/>
        <w:jc w:val="center"/>
        <w:textAlignment w:val="auto"/>
        <w:rPr>
          <w:rFonts w:hint="eastAsia" w:ascii="Times New Roman" w:hAnsi="Times New Roman" w:eastAsia="仿宋_GB2312" w:cs="Times New Roman"/>
          <w:b w:val="0"/>
          <w:bCs w:val="0"/>
          <w:sz w:val="32"/>
          <w:szCs w:val="32"/>
          <w:highlight w:val="none"/>
        </w:rPr>
      </w:pPr>
      <w:r>
        <w:rPr>
          <w:rFonts w:ascii="Times New Roman" w:hAnsi="Times New Roman" w:eastAsia="仿宋_GB2312" w:cs="Times New Roman"/>
          <w:b w:val="0"/>
          <w:bCs w:val="0"/>
          <w:sz w:val="32"/>
          <w:szCs w:val="32"/>
          <w:highlight w:val="none"/>
        </w:rPr>
        <w:t>洛民通〔20</w:t>
      </w:r>
      <w:r>
        <w:rPr>
          <w:rFonts w:hint="eastAsia" w:ascii="Times New Roman" w:hAnsi="Times New Roman" w:eastAsia="仿宋_GB2312" w:cs="Times New Roman"/>
          <w:b w:val="0"/>
          <w:bCs w:val="0"/>
          <w:sz w:val="32"/>
          <w:szCs w:val="32"/>
          <w:highlight w:val="none"/>
        </w:rPr>
        <w:t>2</w:t>
      </w:r>
      <w:r>
        <w:rPr>
          <w:rFonts w:hint="default" w:ascii="Times New Roman" w:hAnsi="Times New Roman" w:eastAsia="仿宋_GB2312" w:cs="Times New Roman"/>
          <w:b w:val="0"/>
          <w:bCs w:val="0"/>
          <w:sz w:val="32"/>
          <w:szCs w:val="32"/>
          <w:highlight w:val="none"/>
        </w:rPr>
        <w:t>4</w:t>
      </w:r>
      <w:r>
        <w:rPr>
          <w:rFonts w:ascii="Times New Roman" w:hAnsi="Times New Roman" w:eastAsia="仿宋_GB2312" w:cs="Times New Roman"/>
          <w:b w:val="0"/>
          <w:bCs w:val="0"/>
          <w:sz w:val="32"/>
          <w:szCs w:val="32"/>
          <w:highlight w:val="none"/>
        </w:rPr>
        <w:t>〕</w:t>
      </w:r>
      <w:r>
        <w:rPr>
          <w:rFonts w:hint="default" w:ascii="Times New Roman" w:hAnsi="Times New Roman" w:eastAsia="仿宋_GB2312" w:cs="Times New Roman"/>
          <w:b w:val="0"/>
          <w:bCs w:val="0"/>
          <w:sz w:val="32"/>
          <w:szCs w:val="32"/>
          <w:highlight w:val="none"/>
          <w:lang w:val="en-US"/>
        </w:rPr>
        <w:t>56</w:t>
      </w:r>
      <w:r>
        <w:rPr>
          <w:rFonts w:ascii="Times New Roman" w:hAnsi="Times New Roman" w:eastAsia="仿宋_GB2312" w:cs="Times New Roman"/>
          <w:b w:val="0"/>
          <w:bCs w:val="0"/>
          <w:sz w:val="32"/>
          <w:szCs w:val="32"/>
          <w:highlight w:val="none"/>
        </w:rPr>
        <w:t>号</w:t>
      </w:r>
    </w:p>
    <w:p>
      <w:pPr>
        <w:keepNext w:val="0"/>
        <w:keepLines w:val="0"/>
        <w:pageBreakBefore w:val="0"/>
        <w:widowControl w:val="0"/>
        <w:kinsoku/>
        <w:wordWrap/>
        <w:overflowPunct/>
        <w:topLinePunct w:val="0"/>
        <w:autoSpaceDE/>
        <w:autoSpaceDN/>
        <w:bidi w:val="0"/>
        <w:spacing w:line="600" w:lineRule="exact"/>
        <w:textAlignment w:val="auto"/>
        <w:rPr>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0" w:firstLineChars="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各</w:t>
      </w:r>
      <w:r>
        <w:rPr>
          <w:rFonts w:hint="eastAsia" w:ascii="仿宋_GB2312" w:hAnsi="仿宋_GB2312" w:eastAsia="仿宋_GB2312" w:cs="仿宋_GB2312"/>
          <w:b w:val="0"/>
          <w:bCs w:val="0"/>
          <w:sz w:val="32"/>
          <w:szCs w:val="32"/>
          <w:lang w:eastAsia="zh-CN"/>
        </w:rPr>
        <w:t>县区</w:t>
      </w:r>
      <w:r>
        <w:rPr>
          <w:rFonts w:hint="eastAsia" w:ascii="仿宋_GB2312" w:hAnsi="仿宋_GB2312" w:eastAsia="仿宋_GB2312" w:cs="仿宋_GB2312"/>
          <w:b w:val="0"/>
          <w:bCs w:val="0"/>
          <w:sz w:val="32"/>
          <w:szCs w:val="32"/>
        </w:rPr>
        <w:t>民政局、</w:t>
      </w:r>
      <w:r>
        <w:rPr>
          <w:rFonts w:hint="eastAsia" w:ascii="仿宋_GB2312" w:hAnsi="仿宋_GB2312" w:eastAsia="仿宋_GB2312" w:cs="仿宋_GB2312"/>
          <w:b w:val="0"/>
          <w:bCs w:val="0"/>
          <w:sz w:val="32"/>
          <w:szCs w:val="32"/>
          <w:lang w:eastAsia="zh-CN"/>
        </w:rPr>
        <w:t>发展改革委、住建局、城管局、市场监管局，各有关单位</w:t>
      </w:r>
      <w:r>
        <w:rPr>
          <w:rFonts w:hint="eastAsia" w:ascii="仿宋_GB2312" w:hAnsi="仿宋_GB2312" w:eastAsia="仿宋_GB2312" w:cs="仿宋_GB2312"/>
          <w:b w:val="0"/>
          <w:bCs w:val="0"/>
          <w:sz w:val="32"/>
          <w:szCs w:val="32"/>
        </w:rPr>
        <w:t xml:space="preserve">：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为进一步落实</w:t>
      </w:r>
      <w:r>
        <w:rPr>
          <w:rFonts w:hint="eastAsia" w:ascii="仿宋_GB2312" w:hAnsi="仿宋_GB2312" w:eastAsia="仿宋_GB2312" w:cs="仿宋_GB2312"/>
          <w:b w:val="0"/>
          <w:bCs w:val="0"/>
          <w:sz w:val="32"/>
          <w:szCs w:val="32"/>
          <w:lang w:eastAsia="zh-CN"/>
        </w:rPr>
        <w:t>落细</w:t>
      </w:r>
      <w:r>
        <w:rPr>
          <w:rFonts w:hint="eastAsia" w:ascii="仿宋_GB2312" w:hAnsi="仿宋_GB2312" w:eastAsia="仿宋_GB2312" w:cs="仿宋_GB2312"/>
          <w:b w:val="0"/>
          <w:bCs w:val="0"/>
          <w:sz w:val="32"/>
          <w:szCs w:val="32"/>
        </w:rPr>
        <w:t>养老服务机构用水用电用气用热</w:t>
      </w:r>
      <w:r>
        <w:rPr>
          <w:rFonts w:hint="eastAsia" w:ascii="仿宋_GB2312" w:hAnsi="仿宋_GB2312" w:eastAsia="仿宋_GB2312" w:cs="仿宋_GB2312"/>
          <w:b w:val="0"/>
          <w:bCs w:val="0"/>
          <w:sz w:val="32"/>
          <w:szCs w:val="32"/>
          <w:lang w:eastAsia="zh-CN"/>
        </w:rPr>
        <w:t>执行</w:t>
      </w:r>
      <w:r>
        <w:rPr>
          <w:rFonts w:hint="eastAsia" w:ascii="仿宋_GB2312" w:hAnsi="仿宋_GB2312" w:eastAsia="仿宋_GB2312" w:cs="仿宋_GB2312"/>
          <w:b w:val="0"/>
          <w:bCs w:val="0"/>
          <w:sz w:val="32"/>
          <w:szCs w:val="32"/>
        </w:rPr>
        <w:t>居民价格</w:t>
      </w:r>
      <w:r>
        <w:rPr>
          <w:rFonts w:hint="eastAsia" w:ascii="仿宋_GB2312" w:hAnsi="仿宋_GB2312" w:eastAsia="仿宋_GB2312" w:cs="仿宋_GB2312"/>
          <w:b w:val="0"/>
          <w:bCs w:val="0"/>
          <w:sz w:val="32"/>
          <w:szCs w:val="32"/>
          <w:lang w:eastAsia="zh-CN"/>
        </w:rPr>
        <w:t>工作</w:t>
      </w:r>
      <w:r>
        <w:rPr>
          <w:rFonts w:hint="eastAsia" w:ascii="仿宋_GB2312" w:hAnsi="仿宋_GB2312" w:eastAsia="仿宋_GB2312" w:cs="仿宋_GB2312"/>
          <w:b w:val="0"/>
          <w:bCs w:val="0"/>
          <w:sz w:val="32"/>
          <w:szCs w:val="32"/>
        </w:rPr>
        <w:t>，促进养老服务事业和养老产业协同发展，根据国务院办公厅《关于推进养老服务发展的意见》（国</w:t>
      </w:r>
      <w:r>
        <w:rPr>
          <w:rFonts w:hint="eastAsia" w:ascii="仿宋_GB2312" w:hAnsi="仿宋_GB2312" w:eastAsia="仿宋_GB2312" w:cs="仿宋_GB2312"/>
          <w:b w:val="0"/>
          <w:bCs w:val="0"/>
          <w:sz w:val="32"/>
          <w:szCs w:val="32"/>
          <w:lang w:eastAsia="zh-CN"/>
        </w:rPr>
        <w:t>办</w:t>
      </w:r>
      <w:r>
        <w:rPr>
          <w:rFonts w:hint="eastAsia" w:ascii="仿宋_GB2312" w:hAnsi="仿宋_GB2312" w:eastAsia="仿宋_GB2312" w:cs="仿宋_GB2312"/>
          <w:b w:val="0"/>
          <w:bCs w:val="0"/>
          <w:sz w:val="32"/>
          <w:szCs w:val="32"/>
        </w:rPr>
        <w:t>发〔201</w:t>
      </w:r>
      <w:r>
        <w:rPr>
          <w:rFonts w:hint="eastAsia" w:ascii="仿宋_GB2312" w:hAnsi="仿宋_GB2312" w:eastAsia="仿宋_GB2312" w:cs="仿宋_GB2312"/>
          <w:b w:val="0"/>
          <w:bCs w:val="0"/>
          <w:sz w:val="32"/>
          <w:szCs w:val="32"/>
          <w:lang w:val="en-US" w:eastAsia="zh-CN"/>
        </w:rPr>
        <w:t>9</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号）、民政部等部门《关于印发&lt;积极发展老年助餐服务行动方案&gt;的通知》（民发〔2023〕58号）和《关于进一步加快推进养老服务体系发展的实施意见（试行）》（洛政办〔202</w:t>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32</w:t>
      </w:r>
      <w:r>
        <w:rPr>
          <w:rFonts w:hint="eastAsia" w:ascii="仿宋_GB2312" w:hAnsi="仿宋_GB2312" w:eastAsia="仿宋_GB2312" w:cs="仿宋_GB2312"/>
          <w:b w:val="0"/>
          <w:bCs w:val="0"/>
          <w:sz w:val="32"/>
          <w:szCs w:val="32"/>
        </w:rPr>
        <w:t>号）</w:t>
      </w:r>
      <w:r>
        <w:rPr>
          <w:rFonts w:hint="eastAsia" w:ascii="仿宋_GB2312" w:hAnsi="仿宋_GB2312" w:eastAsia="仿宋_GB2312" w:cs="仿宋_GB2312"/>
          <w:b w:val="0"/>
          <w:bCs w:val="0"/>
          <w:sz w:val="32"/>
          <w:szCs w:val="32"/>
          <w:lang w:eastAsia="zh-CN"/>
        </w:rPr>
        <w:t>文件精神</w:t>
      </w:r>
      <w:r>
        <w:rPr>
          <w:rFonts w:hint="eastAsia" w:ascii="仿宋_GB2312" w:hAnsi="仿宋_GB2312" w:eastAsia="仿宋_GB2312" w:cs="仿宋_GB2312"/>
          <w:b w:val="0"/>
          <w:bCs w:val="0"/>
          <w:sz w:val="32"/>
          <w:szCs w:val="32"/>
        </w:rPr>
        <w:t xml:space="preserve">，现就有关事项通知如下：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一、</w:t>
      </w:r>
      <w:r>
        <w:rPr>
          <w:rFonts w:hint="eastAsia" w:ascii="黑体" w:hAnsi="黑体" w:eastAsia="黑体" w:cs="黑体"/>
          <w:b w:val="0"/>
          <w:bCs w:val="0"/>
          <w:sz w:val="32"/>
          <w:szCs w:val="32"/>
          <w:lang w:eastAsia="zh-CN"/>
        </w:rPr>
        <w:t>优惠政策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养老服务机构用水、用电、用气、用热执行居民生活类价格其中，</w:t>
      </w:r>
      <w:r>
        <w:rPr>
          <w:rFonts w:hint="default" w:ascii="仿宋_GB2312" w:hAnsi="仿宋_GB2312" w:eastAsia="仿宋_GB2312" w:cs="仿宋_GB2312"/>
          <w:b w:val="0"/>
          <w:bCs w:val="0"/>
          <w:sz w:val="32"/>
          <w:szCs w:val="32"/>
          <w:lang w:eastAsia="zh-CN"/>
        </w:rPr>
        <w:t>实行阶梯价格制度的按居民生活第一级价格执行（以下统称居民价格）。</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二、适用对象</w:t>
      </w:r>
      <w:r>
        <w:rPr>
          <w:rFonts w:hint="eastAsia" w:ascii="黑体" w:hAnsi="黑体" w:eastAsia="黑体" w:cs="黑体"/>
          <w:b w:val="0"/>
          <w:bCs w:val="0"/>
          <w:sz w:val="32"/>
          <w:szCs w:val="32"/>
        </w:rPr>
        <w:t xml:space="preserve">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在民政部门依法备案</w:t>
      </w:r>
      <w:r>
        <w:rPr>
          <w:rFonts w:hint="eastAsia" w:ascii="仿宋_GB2312" w:hAnsi="仿宋_GB2312" w:eastAsia="仿宋_GB2312" w:cs="仿宋_GB2312"/>
          <w:b w:val="0"/>
          <w:bCs w:val="0"/>
          <w:sz w:val="32"/>
          <w:szCs w:val="32"/>
          <w:lang w:eastAsia="zh-CN"/>
        </w:rPr>
        <w:t>或确认的老年人全日照料机构、日间照料机构，以及</w:t>
      </w:r>
      <w:r>
        <w:rPr>
          <w:rFonts w:hint="eastAsia" w:ascii="仿宋_GB2312" w:hAnsi="仿宋_GB2312" w:eastAsia="仿宋_GB2312" w:cs="仿宋_GB2312"/>
          <w:b w:val="0"/>
          <w:bCs w:val="0"/>
          <w:sz w:val="32"/>
          <w:szCs w:val="32"/>
        </w:rPr>
        <w:t>符合条件的</w:t>
      </w:r>
      <w:r>
        <w:rPr>
          <w:rFonts w:hint="eastAsia" w:ascii="仿宋_GB2312" w:hAnsi="仿宋_GB2312" w:eastAsia="仿宋_GB2312" w:cs="仿宋_GB2312"/>
          <w:b w:val="0"/>
          <w:bCs w:val="0"/>
          <w:sz w:val="32"/>
          <w:szCs w:val="32"/>
          <w:lang w:eastAsia="zh-CN"/>
        </w:rPr>
        <w:t>老年</w:t>
      </w:r>
      <w:r>
        <w:rPr>
          <w:rFonts w:hint="eastAsia" w:ascii="仿宋_GB2312" w:hAnsi="仿宋_GB2312" w:eastAsia="仿宋_GB2312" w:cs="仿宋_GB2312"/>
          <w:b w:val="0"/>
          <w:bCs w:val="0"/>
          <w:sz w:val="32"/>
          <w:szCs w:val="32"/>
        </w:rPr>
        <w:t>助餐</w:t>
      </w:r>
      <w:r>
        <w:rPr>
          <w:rFonts w:hint="eastAsia" w:ascii="仿宋_GB2312" w:hAnsi="仿宋_GB2312" w:eastAsia="仿宋_GB2312" w:cs="仿宋_GB2312"/>
          <w:b w:val="0"/>
          <w:bCs w:val="0"/>
          <w:sz w:val="32"/>
          <w:szCs w:val="32"/>
          <w:lang w:eastAsia="zh-CN"/>
        </w:rPr>
        <w:t>服务机构</w:t>
      </w:r>
      <w:r>
        <w:rPr>
          <w:rFonts w:hint="eastAsia" w:ascii="仿宋_GB2312" w:hAnsi="仿宋_GB2312" w:eastAsia="仿宋_GB2312" w:cs="仿宋_GB2312"/>
          <w:b w:val="0"/>
          <w:bCs w:val="0"/>
          <w:sz w:val="32"/>
          <w:szCs w:val="32"/>
        </w:rPr>
        <w:t>等养老服务机构</w:t>
      </w:r>
      <w:r>
        <w:rPr>
          <w:rFonts w:hint="eastAsia" w:ascii="仿宋_GB2312" w:hAnsi="仿宋_GB2312" w:eastAsia="仿宋_GB2312" w:cs="仿宋_GB2312"/>
          <w:b w:val="0"/>
          <w:bCs w:val="0"/>
          <w:sz w:val="32"/>
          <w:szCs w:val="32"/>
          <w:lang w:eastAsia="zh-CN"/>
        </w:rPr>
        <w:t>，与其房屋性质无关。机构登记方式包括民办非企业单位登记、市场主体登记和事业单位登记。</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rPr>
        <w:t>、</w:t>
      </w:r>
      <w:r>
        <w:rPr>
          <w:rFonts w:hint="eastAsia" w:ascii="黑体" w:hAnsi="黑体" w:eastAsia="黑体" w:cs="黑体"/>
          <w:b w:val="0"/>
          <w:bCs w:val="0"/>
          <w:sz w:val="32"/>
          <w:szCs w:val="32"/>
          <w:lang w:eastAsia="zh-CN"/>
        </w:rPr>
        <w:t>办理流程</w:t>
      </w:r>
      <w:r>
        <w:rPr>
          <w:rFonts w:hint="eastAsia" w:ascii="黑体" w:hAnsi="黑体" w:eastAsia="黑体" w:cs="黑体"/>
          <w:b w:val="0"/>
          <w:bCs w:val="0"/>
          <w:sz w:val="32"/>
          <w:szCs w:val="32"/>
        </w:rPr>
        <w:t xml:space="preserve">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楷体" w:hAnsi="楷体" w:eastAsia="楷体" w:cs="楷体"/>
          <w:b w:val="0"/>
          <w:bCs w:val="0"/>
          <w:sz w:val="32"/>
          <w:szCs w:val="32"/>
          <w:lang w:eastAsia="zh-CN"/>
        </w:rPr>
        <w:t>（一）提出申请。</w:t>
      </w:r>
      <w:r>
        <w:rPr>
          <w:rFonts w:hint="eastAsia" w:ascii="仿宋_GB2312" w:hAnsi="仿宋_GB2312" w:eastAsia="仿宋_GB2312" w:cs="仿宋_GB2312"/>
          <w:b w:val="0"/>
          <w:bCs w:val="0"/>
          <w:sz w:val="32"/>
          <w:szCs w:val="32"/>
        </w:rPr>
        <w:t>养老服务机构</w:t>
      </w:r>
      <w:r>
        <w:rPr>
          <w:rFonts w:hint="eastAsia" w:ascii="仿宋_GB2312" w:hAnsi="仿宋_GB2312" w:eastAsia="仿宋_GB2312" w:cs="仿宋_GB2312"/>
          <w:b w:val="0"/>
          <w:bCs w:val="0"/>
          <w:sz w:val="32"/>
          <w:szCs w:val="32"/>
          <w:lang w:eastAsia="zh-CN"/>
        </w:rPr>
        <w:t>可在工作日期间，向供水、供电、供气、供热部门提出申请，提交《养老服务机构执行居民价格申请书》（附件</w:t>
      </w:r>
      <w:r>
        <w:rPr>
          <w:rFonts w:hint="eastAsia" w:ascii="仿宋_GB2312" w:hAnsi="仿宋_GB2312" w:eastAsia="仿宋_GB2312" w:cs="仿宋_GB2312"/>
          <w:b w:val="0"/>
          <w:bCs w:val="0"/>
          <w:sz w:val="32"/>
          <w:szCs w:val="32"/>
          <w:lang w:val="en-US" w:eastAsia="zh-CN"/>
        </w:rPr>
        <w:t>1，对由转供主体代收费的养老服务机构，机构应与转供主体联合提出申请</w:t>
      </w:r>
      <w:r>
        <w:rPr>
          <w:rFonts w:hint="eastAsia" w:ascii="仿宋_GB2312" w:hAnsi="仿宋_GB2312" w:eastAsia="仿宋_GB2312" w:cs="仿宋_GB2312"/>
          <w:b w:val="0"/>
          <w:bCs w:val="0"/>
          <w:sz w:val="32"/>
          <w:szCs w:val="32"/>
          <w:lang w:eastAsia="zh-CN"/>
        </w:rPr>
        <w:t>），并</w:t>
      </w:r>
      <w:r>
        <w:rPr>
          <w:rFonts w:hint="eastAsia" w:ascii="仿宋_GB2312" w:hAnsi="仿宋_GB2312" w:eastAsia="仿宋_GB2312" w:cs="仿宋_GB2312"/>
          <w:b w:val="0"/>
          <w:bCs w:val="0"/>
          <w:sz w:val="32"/>
          <w:szCs w:val="32"/>
        </w:rPr>
        <w:t>向市政公用企业提交</w:t>
      </w:r>
      <w:r>
        <w:rPr>
          <w:rFonts w:hint="eastAsia" w:ascii="仿宋_GB2312" w:hAnsi="仿宋_GB2312" w:eastAsia="仿宋_GB2312" w:cs="仿宋_GB2312"/>
          <w:b w:val="0"/>
          <w:bCs w:val="0"/>
          <w:sz w:val="32"/>
          <w:szCs w:val="32"/>
          <w:lang w:eastAsia="zh-CN"/>
        </w:rPr>
        <w:t>登记证书，以及</w:t>
      </w:r>
      <w:r>
        <w:rPr>
          <w:rFonts w:hint="eastAsia" w:ascii="仿宋_GB2312" w:hAnsi="仿宋_GB2312" w:eastAsia="仿宋_GB2312" w:cs="仿宋_GB2312"/>
          <w:b w:val="0"/>
          <w:bCs w:val="0"/>
          <w:sz w:val="32"/>
          <w:szCs w:val="32"/>
        </w:rPr>
        <w:t>民政部门核发的养老服务机构备案回执或民政部门提供的其他证明材料</w:t>
      </w:r>
      <w:r>
        <w:rPr>
          <w:rFonts w:hint="eastAsia" w:ascii="仿宋_GB2312" w:hAnsi="仿宋_GB2312" w:eastAsia="仿宋_GB2312" w:cs="仿宋_GB2312"/>
          <w:b w:val="0"/>
          <w:bCs w:val="0"/>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民非登记且连锁运营的养老服务机构，需另行提交民政部门的《养老服务机构连锁运营情况说明》（附件</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当转供单位不愿与养老服务机构联合提出申请时，属地民政部门应牵头做好协调工作，通过民政部门、养老服务机构、供应单位、转供单位、转供单位行业主管部门联合协商，确保转供单位与养老服务机构联合提出申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（二）分类处置</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对</w:t>
      </w:r>
      <w:r>
        <w:rPr>
          <w:rFonts w:hint="eastAsia" w:ascii="仿宋_GB2312" w:hAnsi="仿宋_GB2312" w:eastAsia="仿宋_GB2312" w:cs="仿宋_GB2312"/>
          <w:b w:val="0"/>
          <w:bCs w:val="0"/>
          <w:sz w:val="32"/>
          <w:szCs w:val="32"/>
        </w:rPr>
        <w:t>养老服务机构用水、用电、用气、用热</w:t>
      </w:r>
      <w:r>
        <w:rPr>
          <w:rFonts w:hint="eastAsia" w:ascii="仿宋_GB2312" w:hAnsi="仿宋_GB2312" w:eastAsia="仿宋_GB2312" w:cs="仿宋_GB2312"/>
          <w:b w:val="0"/>
          <w:bCs w:val="0"/>
          <w:sz w:val="32"/>
          <w:szCs w:val="32"/>
          <w:lang w:eastAsia="zh-CN"/>
        </w:rPr>
        <w:t>实行分户分表单独计量的，按计量主体落实优惠政策</w:t>
      </w:r>
      <w:r>
        <w:rPr>
          <w:rFonts w:hint="eastAsia" w:ascii="仿宋_GB2312" w:hAnsi="仿宋_GB2312" w:eastAsia="仿宋_GB2312" w:cs="仿宋_GB2312"/>
          <w:b w:val="0"/>
          <w:bCs w:val="0"/>
          <w:sz w:val="32"/>
          <w:szCs w:val="32"/>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对未装表到户但</w:t>
      </w:r>
      <w:r>
        <w:rPr>
          <w:rFonts w:hint="eastAsia" w:ascii="仿宋_GB2312" w:hAnsi="仿宋_GB2312" w:eastAsia="仿宋_GB2312" w:cs="仿宋_GB2312"/>
          <w:b w:val="0"/>
          <w:bCs w:val="0"/>
          <w:sz w:val="32"/>
          <w:szCs w:val="32"/>
        </w:rPr>
        <w:t>具备独立计量改造条件的养老服务机构，</w:t>
      </w:r>
      <w:r>
        <w:rPr>
          <w:rFonts w:hint="eastAsia" w:ascii="仿宋_GB2312" w:hAnsi="仿宋_GB2312" w:eastAsia="仿宋_GB2312" w:cs="仿宋_GB2312"/>
          <w:b w:val="0"/>
          <w:bCs w:val="0"/>
          <w:sz w:val="32"/>
          <w:szCs w:val="32"/>
          <w:lang w:eastAsia="zh-CN"/>
        </w:rPr>
        <w:t>鼓励其</w:t>
      </w:r>
      <w:r>
        <w:rPr>
          <w:rFonts w:hint="eastAsia" w:ascii="仿宋_GB2312" w:hAnsi="仿宋_GB2312" w:eastAsia="仿宋_GB2312" w:cs="仿宋_GB2312"/>
          <w:b w:val="0"/>
          <w:bCs w:val="0"/>
          <w:sz w:val="32"/>
          <w:szCs w:val="32"/>
        </w:rPr>
        <w:t>开展水电气热计量设施改造。涉及建筑红线内线路管道改造的，有关费用由养老服务机构承担，计量装置费用由供水、供电、供气、供热企业承担。</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sz w:val="32"/>
          <w:szCs w:val="32"/>
          <w:lang w:eastAsia="zh-CN"/>
        </w:rPr>
        <w:t>对</w:t>
      </w:r>
      <w:r>
        <w:rPr>
          <w:rFonts w:hint="eastAsia" w:ascii="仿宋_GB2312" w:hAnsi="仿宋_GB2312" w:eastAsia="仿宋_GB2312" w:cs="仿宋_GB2312"/>
          <w:b w:val="0"/>
          <w:bCs w:val="0"/>
          <w:sz w:val="32"/>
          <w:szCs w:val="32"/>
        </w:rPr>
        <w:t>未装表到户且不具备独立计量条件的养老服务机构，</w:t>
      </w:r>
      <w:r>
        <w:rPr>
          <w:rFonts w:hint="eastAsia" w:ascii="仿宋_GB2312" w:hAnsi="仿宋_GB2312" w:eastAsia="仿宋_GB2312" w:cs="仿宋_GB2312"/>
          <w:b w:val="0"/>
          <w:bCs w:val="0"/>
          <w:sz w:val="32"/>
          <w:szCs w:val="32"/>
          <w:lang w:eastAsia="zh-CN"/>
        </w:rPr>
        <w:t>养老服务机构应联合转供主体，</w:t>
      </w:r>
      <w:r>
        <w:rPr>
          <w:rFonts w:hint="eastAsia" w:ascii="仿宋_GB2312" w:hAnsi="仿宋_GB2312" w:eastAsia="仿宋_GB2312" w:cs="仿宋_GB2312"/>
          <w:b w:val="0"/>
          <w:bCs w:val="0"/>
          <w:sz w:val="32"/>
          <w:szCs w:val="32"/>
        </w:rPr>
        <w:t>主动向市政公用企业提出</w:t>
      </w:r>
      <w:r>
        <w:rPr>
          <w:rFonts w:hint="eastAsia" w:ascii="仿宋_GB2312" w:hAnsi="仿宋_GB2312" w:eastAsia="仿宋_GB2312" w:cs="仿宋_GB2312"/>
          <w:b w:val="0"/>
          <w:bCs w:val="0"/>
          <w:sz w:val="32"/>
          <w:szCs w:val="32"/>
          <w:lang w:eastAsia="zh-CN"/>
        </w:rPr>
        <w:t>执行</w:t>
      </w:r>
      <w:r>
        <w:rPr>
          <w:rFonts w:hint="eastAsia" w:ascii="仿宋_GB2312" w:hAnsi="仿宋_GB2312" w:eastAsia="仿宋_GB2312" w:cs="仿宋_GB2312"/>
          <w:b w:val="0"/>
          <w:bCs w:val="0"/>
          <w:sz w:val="32"/>
          <w:szCs w:val="32"/>
        </w:rPr>
        <w:t>居民价格申请</w:t>
      </w:r>
      <w:r>
        <w:rPr>
          <w:rFonts w:hint="eastAsia" w:ascii="仿宋_GB2312" w:hAnsi="仿宋_GB2312" w:eastAsia="仿宋_GB2312" w:cs="仿宋_GB2312"/>
          <w:b w:val="0"/>
          <w:bCs w:val="0"/>
          <w:color w:val="auto"/>
          <w:sz w:val="32"/>
          <w:szCs w:val="32"/>
        </w:rPr>
        <w:t>，双方可采用定量或定比的方式计算费</w:t>
      </w:r>
      <w:r>
        <w:rPr>
          <w:rFonts w:hint="eastAsia" w:ascii="仿宋_GB2312" w:hAnsi="仿宋_GB2312" w:eastAsia="仿宋_GB2312" w:cs="仿宋_GB2312"/>
          <w:b w:val="0"/>
          <w:bCs w:val="0"/>
          <w:color w:val="auto"/>
          <w:sz w:val="32"/>
          <w:szCs w:val="32"/>
          <w:u w:val="none"/>
        </w:rPr>
        <w:t>用，用热按面积计算费用。</w:t>
      </w:r>
      <w:r>
        <w:rPr>
          <w:rFonts w:hint="eastAsia" w:ascii="仿宋_GB2312" w:hAnsi="仿宋_GB2312" w:eastAsia="仿宋_GB2312" w:cs="仿宋_GB2312"/>
          <w:b w:val="0"/>
          <w:bCs w:val="0"/>
          <w:color w:val="auto"/>
          <w:sz w:val="32"/>
          <w:szCs w:val="32"/>
          <w:u w:val="none"/>
          <w:lang w:eastAsia="zh-CN"/>
        </w:rPr>
        <w:t>社会餐饮企业开展老年助餐服务，经民</w:t>
      </w:r>
      <w:r>
        <w:rPr>
          <w:rFonts w:hint="eastAsia" w:ascii="仿宋_GB2312" w:hAnsi="仿宋_GB2312" w:eastAsia="仿宋_GB2312" w:cs="仿宋_GB2312"/>
          <w:b w:val="0"/>
          <w:bCs w:val="0"/>
          <w:color w:val="auto"/>
          <w:sz w:val="32"/>
          <w:szCs w:val="32"/>
          <w:lang w:eastAsia="zh-CN"/>
        </w:rPr>
        <w:t>政部门备案的，可根据老年助餐服务人次与总服务人次的比例确定享受居民价格的比例。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楷体" w:hAnsi="楷体" w:eastAsia="楷体" w:cs="楷体"/>
          <w:b w:val="0"/>
          <w:bCs w:val="0"/>
          <w:sz w:val="32"/>
          <w:szCs w:val="32"/>
          <w:lang w:eastAsia="zh-CN"/>
        </w:rPr>
        <w:t>（三）审核办理。</w:t>
      </w:r>
      <w:r>
        <w:rPr>
          <w:rFonts w:hint="eastAsia" w:ascii="仿宋_GB2312" w:hAnsi="仿宋_GB2312" w:eastAsia="仿宋_GB2312" w:cs="仿宋_GB2312"/>
          <w:b w:val="0"/>
          <w:bCs w:val="0"/>
          <w:sz w:val="32"/>
          <w:szCs w:val="32"/>
          <w:lang w:eastAsia="zh-CN"/>
        </w:rPr>
        <w:t>供水、供电、供气、供热部门收到申请后，应通过查阅资料、现场查验等方式，在规定时限内予以办理。对已执行价格优惠的，出具《养老服务机构已执行居民价格通知书》（附件</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eastAsia="zh-CN"/>
        </w:rPr>
        <w:t>）；对符合价格优惠条件的，出具《养老服务机构执行居民价格核准书》（附件</w:t>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lang w:eastAsia="zh-CN"/>
        </w:rPr>
        <w:t>）；对提供材料欠缺、制定优惠价格暂有困难的，出具《养老服务机构暂不执行居民价格通知书》（附件</w:t>
      </w: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lang w:eastAsia="zh-CN"/>
        </w:rPr>
        <w:t>），由属地协调尽快完善相关手续。</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连锁运营的非营利性养老服务机构，养老服务机构登记地址可与其连锁运营的若干机构地址不一致，供水、供电、供气、供热部门在核实其《养老服务机构连锁运营情况说明》及其他佐证材料后，应向申请单位出具相关文书（附件</w:t>
      </w:r>
      <w:r>
        <w:rPr>
          <w:rFonts w:hint="eastAsia" w:ascii="仿宋_GB2312" w:hAnsi="仿宋_GB2312" w:eastAsia="仿宋_GB2312" w:cs="仿宋_GB2312"/>
          <w:b w:val="0"/>
          <w:bCs w:val="0"/>
          <w:sz w:val="32"/>
          <w:szCs w:val="32"/>
          <w:lang w:val="en-US" w:eastAsia="zh-CN"/>
        </w:rPr>
        <w:t>3、附件4或附件5</w:t>
      </w:r>
      <w:r>
        <w:rPr>
          <w:rFonts w:hint="eastAsia" w:ascii="仿宋_GB2312" w:hAnsi="仿宋_GB2312" w:eastAsia="仿宋_GB2312" w:cs="仿宋_GB2312"/>
          <w:b w:val="0"/>
          <w:bCs w:val="0"/>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按照“有进有出、动态管理”原则，</w:t>
      </w:r>
      <w:r>
        <w:rPr>
          <w:rFonts w:hint="eastAsia" w:ascii="仿宋_GB2312" w:hAnsi="仿宋_GB2312" w:eastAsia="仿宋_GB2312" w:cs="仿宋_GB2312"/>
          <w:b w:val="0"/>
          <w:bCs w:val="0"/>
          <w:sz w:val="32"/>
          <w:szCs w:val="32"/>
        </w:rPr>
        <w:t>经核实后</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符合条件的，自确认受理次月起执行</w:t>
      </w:r>
      <w:r>
        <w:rPr>
          <w:rFonts w:hint="eastAsia" w:ascii="仿宋_GB2312" w:hAnsi="仿宋_GB2312" w:eastAsia="仿宋_GB2312" w:cs="仿宋_GB2312"/>
          <w:b w:val="0"/>
          <w:bCs w:val="0"/>
          <w:sz w:val="32"/>
          <w:szCs w:val="32"/>
          <w:lang w:eastAsia="zh-CN"/>
        </w:rPr>
        <w:t>优惠政策</w:t>
      </w:r>
      <w:r>
        <w:rPr>
          <w:rFonts w:hint="eastAsia" w:ascii="仿宋_GB2312" w:hAnsi="仿宋_GB2312" w:eastAsia="仿宋_GB2312" w:cs="仿宋_GB2312"/>
          <w:b w:val="0"/>
          <w:bCs w:val="0"/>
          <w:sz w:val="32"/>
          <w:szCs w:val="32"/>
        </w:rPr>
        <w:t>，相关手续每年续办一次；逾期未办理的或已由民政部门公示终止服务的，不再执行相关价格政策。养老服务机构如终止服务或改变经营范围的，应及时告知市政公用企业和</w:t>
      </w:r>
      <w:r>
        <w:rPr>
          <w:rFonts w:hint="eastAsia" w:ascii="仿宋_GB2312" w:hAnsi="仿宋_GB2312" w:eastAsia="仿宋_GB2312" w:cs="仿宋_GB2312"/>
          <w:b w:val="0"/>
          <w:bCs w:val="0"/>
          <w:sz w:val="32"/>
          <w:szCs w:val="32"/>
          <w:lang w:eastAsia="zh-CN"/>
        </w:rPr>
        <w:t>县</w:t>
      </w:r>
      <w:r>
        <w:rPr>
          <w:rFonts w:hint="eastAsia" w:ascii="仿宋_GB2312" w:hAnsi="仿宋_GB2312" w:eastAsia="仿宋_GB2312" w:cs="仿宋_GB2312"/>
          <w:b w:val="0"/>
          <w:bCs w:val="0"/>
          <w:sz w:val="32"/>
          <w:szCs w:val="32"/>
        </w:rPr>
        <w:t>区民政部门。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w:t>
      </w: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rPr>
        <w:t>工作要求</w:t>
      </w:r>
      <w:r>
        <w:rPr>
          <w:rFonts w:hint="eastAsia" w:ascii="仿宋_GB2312" w:hAnsi="仿宋_GB2312" w:eastAsia="仿宋_GB2312" w:cs="仿宋_GB2312"/>
          <w:b w:val="0"/>
          <w:bCs w:val="0"/>
          <w:sz w:val="32"/>
          <w:szCs w:val="32"/>
        </w:rPr>
        <w:t xml:space="preserve">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楷体" w:hAnsi="楷体" w:eastAsia="楷体" w:cs="楷体"/>
          <w:b w:val="0"/>
          <w:bCs w:val="0"/>
          <w:sz w:val="32"/>
          <w:szCs w:val="32"/>
          <w:lang w:eastAsia="zh-CN"/>
        </w:rPr>
        <w:t>（一）客观准确核定信息。</w:t>
      </w:r>
      <w:r>
        <w:rPr>
          <w:rFonts w:hint="eastAsia" w:ascii="仿宋_GB2312" w:hAnsi="仿宋_GB2312" w:eastAsia="仿宋_GB2312" w:cs="仿宋_GB2312"/>
          <w:b w:val="0"/>
          <w:bCs w:val="0"/>
          <w:sz w:val="32"/>
          <w:szCs w:val="32"/>
          <w:lang w:eastAsia="zh-CN"/>
        </w:rPr>
        <w:t>各养老服务机构或转供主体，要客观准确真实填报申请信息，不得弄虚作假。对不按实际申请的，一经查实，即停止当年度享受优惠资格。</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仿宋_GB2312" w:hAnsi="仿宋_GB2312" w:eastAsia="仿宋_GB2312" w:cs="仿宋_GB2312"/>
          <w:b w:val="0"/>
          <w:bCs w:val="0"/>
          <w:color w:val="auto"/>
          <w:sz w:val="32"/>
          <w:szCs w:val="32"/>
          <w:lang w:eastAsia="zh-CN"/>
        </w:rPr>
      </w:pPr>
      <w:r>
        <w:rPr>
          <w:rFonts w:hint="eastAsia" w:ascii="楷体" w:hAnsi="楷体" w:eastAsia="楷体" w:cs="楷体"/>
          <w:b w:val="0"/>
          <w:bCs w:val="0"/>
          <w:color w:val="auto"/>
          <w:sz w:val="32"/>
          <w:szCs w:val="32"/>
          <w:lang w:eastAsia="zh-CN"/>
        </w:rPr>
        <w:t>（二）强化政策落实。</w:t>
      </w:r>
      <w:r>
        <w:rPr>
          <w:rFonts w:hint="eastAsia" w:ascii="仿宋_GB2312" w:hAnsi="仿宋_GB2312" w:eastAsia="仿宋_GB2312" w:cs="仿宋_GB2312"/>
          <w:b w:val="0"/>
          <w:bCs w:val="0"/>
          <w:color w:val="auto"/>
          <w:sz w:val="32"/>
          <w:szCs w:val="32"/>
          <w:lang w:eastAsia="zh-CN"/>
        </w:rPr>
        <w:t>民政、发改、住建、城市管理、市场监管等部门要根据各自工作职责，定期开展价格检查专项行动，依法依规落实养老服务机构用水用电用气用热执行居民价格政策。供水供电供气供热部门要进一步优化服务，积极受理、限时办结相关申请，依法依规落实收费优惠政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仿宋_GB2312" w:hAnsi="仿宋_GB2312" w:eastAsia="仿宋_GB2312" w:cs="仿宋_GB2312"/>
          <w:b w:val="0"/>
          <w:bCs w:val="0"/>
          <w:color w:val="FF0000"/>
          <w:sz w:val="32"/>
          <w:szCs w:val="32"/>
          <w:u w:val="none"/>
        </w:rPr>
      </w:pPr>
      <w:r>
        <w:rPr>
          <w:rFonts w:hint="eastAsia" w:ascii="楷体" w:hAnsi="楷体" w:eastAsia="楷体" w:cs="楷体"/>
          <w:b w:val="0"/>
          <w:bCs w:val="0"/>
          <w:color w:val="auto"/>
          <w:sz w:val="32"/>
          <w:szCs w:val="32"/>
          <w:lang w:eastAsia="zh-CN"/>
        </w:rPr>
        <w:t>（三）实施动态管理。</w:t>
      </w:r>
      <w:r>
        <w:rPr>
          <w:rFonts w:hint="eastAsia" w:ascii="仿宋_GB2312" w:hAnsi="仿宋_GB2312" w:eastAsia="仿宋_GB2312" w:cs="仿宋_GB2312"/>
          <w:b w:val="0"/>
          <w:bCs w:val="0"/>
          <w:color w:val="auto"/>
          <w:sz w:val="32"/>
          <w:szCs w:val="32"/>
        </w:rPr>
        <w:t>民政部门要加强养老服务机构的备案管理和退出管理，及时更新辖区内养老服务机构存续信息，并将通过备案、注销备案等有关信息，及时</w:t>
      </w:r>
      <w:r>
        <w:rPr>
          <w:rFonts w:hint="eastAsia" w:ascii="仿宋_GB2312" w:hAnsi="仿宋_GB2312" w:eastAsia="仿宋_GB2312" w:cs="仿宋_GB2312"/>
          <w:b w:val="0"/>
          <w:bCs w:val="0"/>
          <w:color w:val="auto"/>
          <w:sz w:val="32"/>
          <w:szCs w:val="32"/>
          <w:lang w:eastAsia="zh-CN"/>
        </w:rPr>
        <w:t>反馈至同级发改、住建、城市管理</w:t>
      </w:r>
      <w:r>
        <w:rPr>
          <w:rFonts w:hint="eastAsia" w:ascii="仿宋_GB2312" w:hAnsi="仿宋_GB2312" w:eastAsia="仿宋_GB2312" w:cs="仿宋_GB2312"/>
          <w:b w:val="0"/>
          <w:bCs w:val="0"/>
          <w:color w:val="auto"/>
          <w:sz w:val="32"/>
          <w:szCs w:val="32"/>
          <w:u w:val="none"/>
          <w:lang w:eastAsia="zh-CN"/>
        </w:rPr>
        <w:t>、市场监管等部门及</w:t>
      </w:r>
      <w:r>
        <w:rPr>
          <w:rFonts w:hint="eastAsia" w:ascii="仿宋_GB2312" w:hAnsi="仿宋_GB2312" w:eastAsia="仿宋_GB2312" w:cs="仿宋_GB2312"/>
          <w:b w:val="0"/>
          <w:bCs w:val="0"/>
          <w:color w:val="auto"/>
          <w:sz w:val="32"/>
          <w:szCs w:val="32"/>
          <w:u w:val="none"/>
        </w:rPr>
        <w:t>市政公用企业。市政公用企业应加强与民政部门沟通，及时了解养老服务机构最新备案情况，</w:t>
      </w:r>
      <w:r>
        <w:rPr>
          <w:rFonts w:hint="eastAsia" w:ascii="仿宋_GB2312" w:hAnsi="仿宋_GB2312" w:eastAsia="仿宋_GB2312" w:cs="仿宋_GB2312"/>
          <w:b w:val="0"/>
          <w:bCs w:val="0"/>
          <w:color w:val="auto"/>
          <w:sz w:val="32"/>
          <w:szCs w:val="32"/>
          <w:u w:val="none"/>
          <w:lang w:eastAsia="zh-CN"/>
        </w:rPr>
        <w:t>定期将业务受理和执行情况反馈至民政、发改、住建、城市管理和市场监管部门。民政部门要根据市政公用企业反馈情况，会同发改等部门，定期公示和更新养老服务机</w:t>
      </w:r>
      <w:bookmarkStart w:id="0" w:name="_GoBack"/>
      <w:bookmarkEnd w:id="0"/>
      <w:r>
        <w:rPr>
          <w:rFonts w:hint="eastAsia" w:ascii="仿宋_GB2312" w:hAnsi="仿宋_GB2312" w:eastAsia="仿宋_GB2312" w:cs="仿宋_GB2312"/>
          <w:b w:val="0"/>
          <w:bCs w:val="0"/>
          <w:color w:val="auto"/>
          <w:sz w:val="32"/>
          <w:szCs w:val="32"/>
          <w:u w:val="none"/>
          <w:lang w:eastAsia="zh-CN"/>
        </w:rPr>
        <w:t>构享受水电气热优惠名单。</w:t>
      </w:r>
      <w:r>
        <w:rPr>
          <w:rFonts w:hint="eastAsia" w:ascii="仿宋_GB2312" w:hAnsi="仿宋_GB2312" w:eastAsia="仿宋_GB2312" w:cs="仿宋_GB2312"/>
          <w:b w:val="0"/>
          <w:bCs w:val="0"/>
          <w:color w:val="FF0000"/>
          <w:sz w:val="32"/>
          <w:szCs w:val="32"/>
          <w:u w:val="none"/>
        </w:rPr>
        <w:t xml:space="preserve">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color w:val="auto"/>
          <w:sz w:val="32"/>
          <w:szCs w:val="32"/>
          <w:u w:val="none"/>
        </w:rPr>
        <w:t>本通知由市民政局</w:t>
      </w:r>
      <w:r>
        <w:rPr>
          <w:rFonts w:hint="eastAsia" w:ascii="仿宋_GB2312" w:hAnsi="仿宋_GB2312" w:eastAsia="仿宋_GB2312" w:cs="仿宋_GB2312"/>
          <w:b w:val="0"/>
          <w:bCs w:val="0"/>
          <w:color w:val="auto"/>
          <w:sz w:val="32"/>
          <w:szCs w:val="32"/>
          <w:u w:val="none"/>
          <w:lang w:val="en-US" w:eastAsia="zh-CN"/>
        </w:rPr>
        <w:t>、市</w:t>
      </w:r>
      <w:r>
        <w:rPr>
          <w:rFonts w:hint="eastAsia" w:ascii="仿宋_GB2312" w:hAnsi="仿宋_GB2312" w:eastAsia="仿宋_GB2312" w:cs="仿宋_GB2312"/>
          <w:b w:val="0"/>
          <w:bCs w:val="0"/>
          <w:color w:val="auto"/>
          <w:sz w:val="32"/>
          <w:szCs w:val="32"/>
          <w:u w:val="none"/>
        </w:rPr>
        <w:t>发展改革委</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val="0"/>
          <w:bCs w:val="0"/>
          <w:color w:val="auto"/>
          <w:sz w:val="32"/>
          <w:szCs w:val="32"/>
          <w:u w:val="none"/>
          <w:lang w:val="en-US" w:eastAsia="zh-CN"/>
        </w:rPr>
        <w:t>市住房和城乡建设局、市城市管理局、市市场监督管理局</w:t>
      </w:r>
      <w:r>
        <w:rPr>
          <w:rFonts w:hint="eastAsia" w:ascii="仿宋_GB2312" w:hAnsi="仿宋_GB2312" w:eastAsia="仿宋_GB2312" w:cs="仿宋_GB2312"/>
          <w:b w:val="0"/>
          <w:bCs w:val="0"/>
          <w:color w:val="auto"/>
          <w:sz w:val="32"/>
          <w:szCs w:val="32"/>
          <w:u w:val="none"/>
        </w:rPr>
        <w:t>根据各自职</w:t>
      </w:r>
      <w:r>
        <w:rPr>
          <w:rFonts w:hint="eastAsia" w:ascii="仿宋_GB2312" w:hAnsi="仿宋_GB2312" w:eastAsia="仿宋_GB2312" w:cs="仿宋_GB2312"/>
          <w:b w:val="0"/>
          <w:bCs w:val="0"/>
          <w:sz w:val="32"/>
          <w:szCs w:val="32"/>
          <w:u w:val="none"/>
        </w:rPr>
        <w:t xml:space="preserve">责负责解释，自印发之日起实施。 </w:t>
      </w:r>
    </w:p>
    <w:p>
      <w:pPr>
        <w:jc w:val="right"/>
        <w:rPr>
          <w:rFonts w:hint="eastAsia" w:ascii="仿宋_GB2312" w:hAnsi="仿宋_GB2312" w:eastAsia="仿宋_GB2312" w:cs="仿宋_GB2312"/>
          <w:b w:val="0"/>
          <w:bCs w:val="0"/>
          <w:sz w:val="32"/>
          <w:szCs w:val="32"/>
          <w:lang w:eastAsia="zh-CN"/>
        </w:rPr>
      </w:pPr>
    </w:p>
    <w:p>
      <w:pPr>
        <w:jc w:val="right"/>
        <w:rPr>
          <w:rFonts w:hint="eastAsia" w:ascii="仿宋_GB2312" w:hAnsi="仿宋_GB2312" w:eastAsia="仿宋_GB2312" w:cs="仿宋_GB2312"/>
          <w:b w:val="0"/>
          <w:bCs w:val="0"/>
          <w:sz w:val="32"/>
          <w:szCs w:val="32"/>
          <w:lang w:eastAsia="zh-CN"/>
        </w:rPr>
      </w:pPr>
    </w:p>
    <w:p>
      <w:pPr>
        <w:jc w:val="right"/>
        <w:rPr>
          <w:rFonts w:hint="eastAsia" w:ascii="仿宋_GB2312" w:hAnsi="仿宋_GB2312" w:eastAsia="仿宋_GB2312" w:cs="仿宋_GB2312"/>
          <w:b w:val="0"/>
          <w:bCs w:val="0"/>
          <w:sz w:val="32"/>
          <w:szCs w:val="32"/>
          <w:lang w:eastAsia="zh-CN"/>
        </w:rPr>
      </w:pPr>
    </w:p>
    <w:p>
      <w:pPr>
        <w:jc w:val="righ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洛阳市民政局</w:t>
      </w:r>
      <w:r>
        <w:rPr>
          <w:rFonts w:hint="eastAsia" w:ascii="仿宋_GB2312" w:hAnsi="仿宋_GB2312" w:eastAsia="仿宋_GB2312" w:cs="仿宋_GB2312"/>
          <w:b w:val="0"/>
          <w:bCs w:val="0"/>
          <w:sz w:val="32"/>
          <w:szCs w:val="32"/>
          <w:lang w:val="en-US" w:eastAsia="zh-CN"/>
        </w:rPr>
        <w:t xml:space="preserve">   洛阳市发展和改革委员会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center"/>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洛阳市住房和城乡建设局   洛阳市城市管理局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center"/>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洛阳市市场监督管理局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       </w:t>
      </w:r>
      <w:r>
        <w:rPr>
          <w:rFonts w:hint="default"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2024年</w:t>
      </w:r>
      <w:r>
        <w:rPr>
          <w:rFonts w:hint="default" w:ascii="仿宋_GB2312" w:hAnsi="仿宋_GB2312" w:eastAsia="仿宋_GB2312" w:cs="仿宋_GB2312"/>
          <w:b w:val="0"/>
          <w:bCs w:val="0"/>
          <w:sz w:val="32"/>
          <w:szCs w:val="32"/>
          <w:lang w:val="en-US" w:eastAsia="zh-CN"/>
        </w:rPr>
        <w:t>12</w:t>
      </w:r>
      <w:r>
        <w:rPr>
          <w:rFonts w:hint="eastAsia" w:ascii="仿宋_GB2312" w:hAnsi="仿宋_GB2312" w:eastAsia="仿宋_GB2312" w:cs="仿宋_GB2312"/>
          <w:b w:val="0"/>
          <w:bCs w:val="0"/>
          <w:sz w:val="32"/>
          <w:szCs w:val="32"/>
        </w:rPr>
        <w:t>月</w:t>
      </w:r>
      <w:r>
        <w:rPr>
          <w:rFonts w:hint="default" w:ascii="仿宋_GB2312" w:hAnsi="仿宋_GB2312" w:eastAsia="仿宋_GB2312" w:cs="仿宋_GB2312"/>
          <w:b w:val="0"/>
          <w:bCs w:val="0"/>
          <w:sz w:val="32"/>
          <w:szCs w:val="32"/>
          <w:lang w:val="en-US"/>
        </w:rPr>
        <w:t>2</w:t>
      </w:r>
      <w:r>
        <w:rPr>
          <w:rFonts w:hint="eastAsia" w:ascii="仿宋_GB2312" w:hAnsi="仿宋_GB2312" w:eastAsia="仿宋_GB2312" w:cs="仿宋_GB2312"/>
          <w:b w:val="0"/>
          <w:bCs w:val="0"/>
          <w:sz w:val="32"/>
          <w:szCs w:val="32"/>
        </w:rPr>
        <w:t xml:space="preserve">日 </w:t>
      </w:r>
    </w:p>
    <w:p>
      <w:pPr>
        <w:rPr>
          <w:rFonts w:hint="eastAsia"/>
          <w:sz w:val="32"/>
          <w:szCs w:val="32"/>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方正书宋_GBK">
    <w:panose1 w:val="02000000000000000000"/>
    <w:charset w:val="86"/>
    <w:family w:val="auto"/>
    <w:pitch w:val="default"/>
    <w:sig w:usb0="00000001" w:usb1="08000000" w:usb2="00000000" w:usb3="00000000" w:csb0="00040000" w:csb1="00000000"/>
  </w:font>
  <w:font w:name="NEU-BZ">
    <w:altName w:val="华文仿宋"/>
    <w:panose1 w:val="02010600010101010101"/>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书宋简体">
    <w:altName w:val="方正书宋_GBK"/>
    <w:panose1 w:val="02010601030101010101"/>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x5e1zj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9"/>
      <w:wordWrap w:val="0"/>
      <w:ind w:left="895" w:leftChars="407" w:firstLine="10518" w:firstLineChars="3287"/>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">
              <v:fill on="f" focussize="0,0"/>
              <v:stroke weight="1.75pt" color="#005192 [3204]" miterlimit="8" joinstyle="miter"/>
              <v:imagedata o:title=""/>
              <o:lock v:ext="edit" aspectratio="f"/>
            </v:line>
          </w:pict>
        </mc:Fallback>
      </mc:AlternateContent>
    </w:r>
    <w:r>
      <w:rPr>
        <w:rFonts w:hint="eastAsia" w:ascii="宋体" w:hAnsi="宋体" w:cs="宋体"/>
        <w:b/>
        <w:bCs/>
        <w:color w:val="005192"/>
        <w:sz w:val="28"/>
        <w:szCs w:val="44"/>
        <w:lang w:val="en-US" w:eastAsia="zh-CN"/>
      </w:rPr>
      <w:t>洛洛阳市民政局</w:t>
    </w:r>
    <w:r>
      <w:rPr>
        <w:rFonts w:hint="eastAsia" w:ascii="宋体" w:hAnsi="宋体" w:eastAsia="宋体" w:cs="宋体"/>
        <w:b/>
        <w:bCs/>
        <w:color w:val="005192"/>
        <w:sz w:val="28"/>
        <w:szCs w:val="44"/>
        <w:lang w:val="en-US" w:eastAsia="zh-CN"/>
      </w:rPr>
      <w:t xml:space="preserve">发布    </w:t>
    </w:r>
  </w:p>
  <w:p>
    <w:pPr>
      <w:pStyle w:val="9"/>
      <w:wordWrap w:val="0"/>
      <w:ind w:left="5016"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AXuux7yAQAAvQMAAA4A&#10;AABkcnMvZTJvRG9jLnhtbK1TTY7TMBTeI3EHy3uaNNOWEjWdxVTDBkEl4ACuYyeW/Cc/T9Neggsg&#10;sYMVS/bchuEYPDthBo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uMfwAeJL4QxJQUO1sok+q9nxFUTsi6W/&#10;S9KydddK63yF2pKhoRV+CZqhLyX6AUPjkRvYjhKmOzQ8jyFDgtOqTdsTEITucKUDObJkk3I5f1El&#10;0tjur7LUe8egH+tyajSQURHfhFYGOZfpm3ZriyBJulGsFB1ce84a5nW81dxmcmCyzZ/zvPv+1W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">
              <v:fill on="f" focussize="0,0"/>
              <v:stroke weight="1.75pt" color="#005192 [3204]" miterlimit="8" joinstyle="miter"/>
              <v:imagedata o:title=""/>
              <o:lock v:ext="edit" aspectratio="f"/>
            </v:line>
          </w:pict>
        </mc:Fallback>
      </mc:AlternateContent>
    </w:r>
  </w:p>
  <w:p>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cs="宋体"/>
        <w:b/>
        <w:bCs/>
        <w:color w:val="005192"/>
        <w:sz w:val="32"/>
        <w:lang w:eastAsia="zh-CN"/>
      </w:rPr>
      <w:t>洛阳市民政</w:t>
    </w:r>
    <w:r>
      <w:rPr>
        <w:rFonts w:hint="eastAsia" w:ascii="宋体" w:hAnsi="宋体" w:cs="宋体"/>
        <w:b/>
        <w:bCs/>
        <w:color w:val="005192"/>
        <w:sz w:val="32"/>
        <w:szCs w:val="32"/>
        <w:lang w:val="en-US" w:eastAsia="zh-CN"/>
      </w:rPr>
      <w:t>局行政规范性文件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9011D9"/>
    <w:rsid w:val="019E71BD"/>
    <w:rsid w:val="05440955"/>
    <w:rsid w:val="066E5641"/>
    <w:rsid w:val="06A67E67"/>
    <w:rsid w:val="080F63D8"/>
    <w:rsid w:val="09006E92"/>
    <w:rsid w:val="09341458"/>
    <w:rsid w:val="09553C02"/>
    <w:rsid w:val="0CE65B2C"/>
    <w:rsid w:val="0D5C5CF8"/>
    <w:rsid w:val="0ED818A4"/>
    <w:rsid w:val="101F0538"/>
    <w:rsid w:val="10254BD6"/>
    <w:rsid w:val="129E7932"/>
    <w:rsid w:val="13A23C39"/>
    <w:rsid w:val="152D2DCA"/>
    <w:rsid w:val="1C86388D"/>
    <w:rsid w:val="1E466CFF"/>
    <w:rsid w:val="22440422"/>
    <w:rsid w:val="23F13B42"/>
    <w:rsid w:val="287C616C"/>
    <w:rsid w:val="2FCE575A"/>
    <w:rsid w:val="2FFC7EDE"/>
    <w:rsid w:val="31A15F24"/>
    <w:rsid w:val="39A232A0"/>
    <w:rsid w:val="3A1C636B"/>
    <w:rsid w:val="3B5A6BBB"/>
    <w:rsid w:val="3BE16DE7"/>
    <w:rsid w:val="3D139A1E"/>
    <w:rsid w:val="3E0E7999"/>
    <w:rsid w:val="3EDA13A6"/>
    <w:rsid w:val="3F5730EA"/>
    <w:rsid w:val="42F058B7"/>
    <w:rsid w:val="436109F6"/>
    <w:rsid w:val="441A38D4"/>
    <w:rsid w:val="474E2EF2"/>
    <w:rsid w:val="49B91357"/>
    <w:rsid w:val="4AEC52E8"/>
    <w:rsid w:val="4BC77339"/>
    <w:rsid w:val="4C9236C5"/>
    <w:rsid w:val="4E2A37E2"/>
    <w:rsid w:val="50414CBD"/>
    <w:rsid w:val="51E247E8"/>
    <w:rsid w:val="526F08CC"/>
    <w:rsid w:val="52F46F0B"/>
    <w:rsid w:val="55274B4C"/>
    <w:rsid w:val="55E064E0"/>
    <w:rsid w:val="5A4F3EF9"/>
    <w:rsid w:val="5BFB363A"/>
    <w:rsid w:val="5D0D7ECB"/>
    <w:rsid w:val="608816D1"/>
    <w:rsid w:val="69D03F98"/>
    <w:rsid w:val="6A7F4576"/>
    <w:rsid w:val="6BF75DB0"/>
    <w:rsid w:val="6D0E3F22"/>
    <w:rsid w:val="6EEFF60C"/>
    <w:rsid w:val="70AF1C83"/>
    <w:rsid w:val="714A2531"/>
    <w:rsid w:val="71C61E01"/>
    <w:rsid w:val="71E9213F"/>
    <w:rsid w:val="75AA717D"/>
    <w:rsid w:val="7C9011D9"/>
    <w:rsid w:val="7CFB3184"/>
    <w:rsid w:val="7DC651C5"/>
    <w:rsid w:val="7DFBC28B"/>
    <w:rsid w:val="7FED60B9"/>
    <w:rsid w:val="931B4B4F"/>
    <w:rsid w:val="AF7F4B14"/>
    <w:rsid w:val="D5F6BFC8"/>
    <w:rsid w:val="D6DD9B99"/>
    <w:rsid w:val="DACF7BFF"/>
    <w:rsid w:val="DBF4C527"/>
    <w:rsid w:val="DEFF1FC4"/>
    <w:rsid w:val="DFF31DEB"/>
    <w:rsid w:val="F7CE0210"/>
    <w:rsid w:val="FDB75BAD"/>
    <w:rsid w:val="FF7FD021"/>
    <w:rsid w:val="FFDA27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NEU-BZ" w:eastAsia="宋体" w:cs="Times New Roman"/>
      <w:sz w:val="22"/>
      <w:szCs w:val="22"/>
      <w:lang w:val="en-US" w:eastAsia="zh-CN" w:bidi="ar-SA"/>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5">
    <w:name w:val="heading 2"/>
    <w:basedOn w:val="1"/>
    <w:next w:val="1"/>
    <w:qFormat/>
    <w:uiPriority w:val="0"/>
    <w:pPr>
      <w:keepNext/>
      <w:keepLines/>
      <w:spacing w:before="100" w:beforeLines="100" w:after="100" w:afterLines="100" w:line="600" w:lineRule="exact"/>
      <w:jc w:val="center"/>
      <w:outlineLvl w:val="1"/>
    </w:pPr>
    <w:rPr>
      <w:rFonts w:ascii="黑体" w:hAnsi="Arial" w:eastAsia="黑体"/>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ascii="Calibri" w:hAnsi="Calibri" w:eastAsia="宋体"/>
      <w:sz w:val="21"/>
      <w:szCs w:val="24"/>
    </w:rPr>
  </w:style>
  <w:style w:type="paragraph" w:styleId="3">
    <w:name w:val="Body Text Indent"/>
    <w:basedOn w:val="1"/>
    <w:next w:val="2"/>
    <w:qFormat/>
    <w:uiPriority w:val="0"/>
    <w:pPr>
      <w:spacing w:after="120"/>
      <w:ind w:left="420" w:leftChars="200"/>
    </w:pPr>
  </w:style>
  <w:style w:type="paragraph" w:styleId="6">
    <w:name w:val="Body Text"/>
    <w:basedOn w:val="1"/>
    <w:next w:val="1"/>
    <w:qFormat/>
    <w:uiPriority w:val="0"/>
    <w:pPr>
      <w:jc w:val="center"/>
    </w:pPr>
    <w:rPr>
      <w:sz w:val="44"/>
      <w:szCs w:val="20"/>
    </w:rPr>
  </w:style>
  <w:style w:type="paragraph" w:styleId="7">
    <w:name w:val="Plain Text"/>
    <w:basedOn w:val="1"/>
    <w:qFormat/>
    <w:uiPriority w:val="99"/>
    <w:rPr>
      <w:rFonts w:ascii="宋体" w:hAnsi="宋体" w:eastAsia="宋体" w:cs="宋体"/>
      <w:sz w:val="21"/>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3">
    <w:name w:val="page number"/>
    <w:basedOn w:val="12"/>
    <w:qFormat/>
    <w:uiPriority w:val="0"/>
  </w:style>
  <w:style w:type="paragraph" w:customStyle="1" w:styleId="14">
    <w:name w:val="15.5正文（仿宋GB）"/>
    <w:basedOn w:val="1"/>
    <w:qFormat/>
    <w:uiPriority w:val="0"/>
    <w:pPr>
      <w:ind w:firstLine="200" w:firstLineChars="200"/>
    </w:pPr>
    <w:rPr>
      <w:rFonts w:ascii="方正书宋简体" w:hAnsi="方正书宋简体" w:eastAsia="仿宋_GB2312"/>
      <w:color w:val="000000"/>
      <w:sz w:val="31"/>
      <w:szCs w:val="31"/>
    </w:rPr>
  </w:style>
  <w:style w:type="paragraph" w:customStyle="1" w:styleId="15">
    <w:name w:val="一级标题（二号小标宋）"/>
    <w:basedOn w:val="1"/>
    <w:link w:val="18"/>
    <w:qFormat/>
    <w:uiPriority w:val="0"/>
    <w:pPr>
      <w:jc w:val="center"/>
    </w:pPr>
    <w:rPr>
      <w:rFonts w:ascii="方正书宋简体" w:hAnsi="方正书宋简体" w:eastAsia="方正小标宋_GBK"/>
      <w:color w:val="000000"/>
      <w:sz w:val="42"/>
      <w:szCs w:val="42"/>
    </w:rPr>
  </w:style>
  <w:style w:type="paragraph" w:customStyle="1" w:styleId="16">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 w:type="paragraph" w:customStyle="1" w:styleId="17">
    <w:name w:val="样式3"/>
    <w:basedOn w:val="1"/>
    <w:qFormat/>
    <w:uiPriority w:val="0"/>
    <w:pPr>
      <w:widowControl w:val="0"/>
      <w:adjustRightInd w:val="0"/>
      <w:snapToGrid w:val="0"/>
      <w:spacing w:before="100" w:beforeLines="100" w:after="100" w:afterLines="100" w:line="600" w:lineRule="exact"/>
      <w:jc w:val="center"/>
    </w:pPr>
    <w:rPr>
      <w:rFonts w:ascii="方正书宋简体" w:hAnsi="方正书宋简体" w:eastAsia="楷体_GB2312"/>
      <w:color w:val="000000"/>
      <w:sz w:val="31"/>
      <w:szCs w:val="31"/>
    </w:rPr>
  </w:style>
  <w:style w:type="character" w:customStyle="1" w:styleId="18">
    <w:name w:val="一级标题（二号小标宋） Char"/>
    <w:basedOn w:val="12"/>
    <w:link w:val="15"/>
    <w:qFormat/>
    <w:uiPriority w:val="0"/>
    <w:rPr>
      <w:rFonts w:ascii="方正书宋简体" w:hAnsi="方正书宋简体" w:eastAsia="方正小标宋_GBK"/>
      <w:color w:val="000000"/>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2720</Words>
  <Characters>2724</Characters>
  <Lines>0</Lines>
  <Paragraphs>0</Paragraphs>
  <TotalTime>42</TotalTime>
  <ScaleCrop>false</ScaleCrop>
  <LinksUpToDate>false</LinksUpToDate>
  <CharactersWithSpaces>2816</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2021-09-13T10:41:00Z</dcterms:created>
  <dc:creator>t</dc:creator>
  <cp:lastModifiedBy>greatwall</cp:lastModifiedBy>
  <cp:lastPrinted>2024-03-20T19:33:00Z</cp:lastPrinted>
  <dcterms:modified xsi:type="dcterms:W3CDTF">2024-12-23T11:25:10Z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B2730C3DE4B44101801484FFB4A50383</vt:lpwstr>
  </property>
</Properties>
</file>