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42FAF">
      <w:pPr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</w:p>
    <w:p w14:paraId="332E40E7">
      <w:pPr>
        <w:ind w:firstLine="880" w:firstLineChars="200"/>
        <w:jc w:val="center"/>
        <w:rPr>
          <w:rFonts w:ascii="方正大标宋简体" w:hAnsi="Times New Roman" w:eastAsia="方正大标宋简体" w:cs="Times New Roman"/>
          <w:sz w:val="44"/>
          <w:szCs w:val="44"/>
        </w:rPr>
      </w:pPr>
      <w:r>
        <w:rPr>
          <w:rFonts w:hint="eastAsia" w:ascii="方正大标宋简体" w:hAnsi="Times New Roman" w:eastAsia="方正大标宋简体" w:cs="Times New Roman"/>
          <w:color w:val="000000"/>
          <w:kern w:val="0"/>
          <w:sz w:val="44"/>
          <w:szCs w:val="44"/>
        </w:rPr>
        <w:t>栾川县禁燃区划定信息表</w:t>
      </w:r>
    </w:p>
    <w:tbl>
      <w:tblPr>
        <w:tblStyle w:val="6"/>
        <w:tblW w:w="1199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5844"/>
        <w:gridCol w:w="1391"/>
        <w:gridCol w:w="554"/>
        <w:gridCol w:w="2240"/>
        <w:gridCol w:w="890"/>
      </w:tblGrid>
      <w:tr w14:paraId="5C2F89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B24F2E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0"/>
                <w:sz w:val="24"/>
              </w:rPr>
              <w:t>街道/乡镇名称</w:t>
            </w:r>
          </w:p>
        </w:tc>
        <w:tc>
          <w:tcPr>
            <w:tcW w:w="5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E3CD0F2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0"/>
                <w:sz w:val="24"/>
              </w:rPr>
              <w:t>禁燃区范围（具体路线界标形成闭环）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DED2919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0"/>
                <w:sz w:val="24"/>
              </w:rPr>
              <w:t>禁燃区面积（平方公里）</w:t>
            </w:r>
          </w:p>
        </w:tc>
        <w:tc>
          <w:tcPr>
            <w:tcW w:w="2794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EC239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0"/>
                <w:sz w:val="24"/>
              </w:rPr>
              <w:t>禁燃区内自然村（社区）</w:t>
            </w:r>
          </w:p>
        </w:tc>
        <w:tc>
          <w:tcPr>
            <w:tcW w:w="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856633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0"/>
                <w:sz w:val="24"/>
              </w:rPr>
              <w:t>备注</w:t>
            </w:r>
          </w:p>
        </w:tc>
      </w:tr>
      <w:tr w14:paraId="6073C3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0BF2BB7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</w:p>
        </w:tc>
        <w:tc>
          <w:tcPr>
            <w:tcW w:w="5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3A39DF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E215FA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90B98E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F2D1822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0"/>
                <w:sz w:val="24"/>
              </w:rPr>
              <w:t>具体名称</w:t>
            </w:r>
          </w:p>
        </w:tc>
        <w:tc>
          <w:tcPr>
            <w:tcW w:w="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E8BFA1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4"/>
              </w:rPr>
            </w:pPr>
          </w:p>
        </w:tc>
      </w:tr>
      <w:tr w14:paraId="141B61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20B3350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县城规划区（城关镇、栾川乡）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ECB3DA2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包括栾川乡和城关镇大部分区域，西至栾川乡雷湾村，东至庙子镇初级中学，南北至山体山脚线，向北延伸至赤土店竹园村，向南延伸至大南沟水厂，规划范围内建设用地面积为26.10平方公里。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CF4FDE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26.10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1F235B">
            <w:pPr>
              <w:spacing w:line="360" w:lineRule="exact"/>
              <w:jc w:val="center"/>
              <w:rPr>
                <w:rFonts w:ascii="宋体" w:hAnsi="宋体" w:cs="Times New Roman"/>
                <w:bCs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bCs/>
                <w:color w:val="000000"/>
                <w:szCs w:val="21"/>
              </w:rPr>
              <w:t>11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EE05D13">
            <w:pPr>
              <w:spacing w:line="360" w:lineRule="exact"/>
              <w:jc w:val="left"/>
              <w:rPr>
                <w:rFonts w:hint="eastAsia"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城关镇：兴华路北社区、兴华路南社区、耕莘东路社区、君山路社区、上河南社区、大南沟社区、西地社区、陈家门村。栾川乡：范营社区、罗庄社区、七里坪社区。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53D36B">
            <w:pPr>
              <w:spacing w:line="360" w:lineRule="exact"/>
              <w:jc w:val="left"/>
              <w:rPr>
                <w:rFonts w:hint="eastAsia"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黄石砭、高崖头、北洼、西地</w:t>
            </w:r>
          </w:p>
        </w:tc>
      </w:tr>
      <w:tr w14:paraId="12CA7B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6E7FC7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赤土店镇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CB98AD">
            <w:pPr>
              <w:spacing w:line="360" w:lineRule="exact"/>
              <w:jc w:val="left"/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赤土店镇区规划范围，东至赤土店村石人组、南至镇区南端长兴耐磨材料厂、西北至赤土店村村界、西南至山坡根，东北约至九鼎沟谢家庄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color w:val="000000"/>
                <w:szCs w:val="21"/>
              </w:rPr>
              <w:t>面积2.116平方公里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640C34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2.116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7CC65C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AC684E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赤土店村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04E1D8">
            <w:pPr>
              <w:spacing w:line="360" w:lineRule="exact"/>
              <w:jc w:val="center"/>
              <w:rPr>
                <w:rFonts w:ascii="宋体" w:hAnsi="宋体" w:cs="Times New Roman"/>
                <w:color w:val="FF0000"/>
                <w:szCs w:val="21"/>
              </w:rPr>
            </w:pPr>
          </w:p>
        </w:tc>
      </w:tr>
      <w:tr w14:paraId="51839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4EB179B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石庙镇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0D5593E">
            <w:pPr>
              <w:spacing w:line="360" w:lineRule="exact"/>
              <w:jc w:val="left"/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石庙镇主镇区（石庙村、光明村5-6组）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color w:val="000000"/>
                <w:szCs w:val="21"/>
              </w:rPr>
              <w:t>面积5.57平方公里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A972053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5.57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8B5386">
            <w:pPr>
              <w:spacing w:line="360" w:lineRule="exact"/>
              <w:jc w:val="center"/>
              <w:rPr>
                <w:rFonts w:hint="eastAsia"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2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AB073D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石庙村、光明村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58E04C">
            <w:pPr>
              <w:spacing w:line="360" w:lineRule="exact"/>
              <w:jc w:val="center"/>
              <w:rPr>
                <w:rFonts w:ascii="宋体" w:hAnsi="宋体" w:cs="Times New Roman"/>
                <w:color w:val="FF0000"/>
                <w:szCs w:val="21"/>
              </w:rPr>
            </w:pPr>
          </w:p>
        </w:tc>
      </w:tr>
      <w:tr w14:paraId="4EACAB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6CD9530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陶湾镇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340E21F">
            <w:pPr>
              <w:spacing w:line="32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陶湾镇区规划范围，东起陶湾与常湾交界处，北起与伊滨村交界处，南至与协心村交界处， 西至与前峰村交界处，规划控制区范围涉及现状镇区和陶湾、张盘两个行政村，总面积为 3.44 平方公里。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D609BCB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3.44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47AF1BE">
            <w:pPr>
              <w:spacing w:line="360" w:lineRule="exact"/>
              <w:jc w:val="center"/>
              <w:rPr>
                <w:rFonts w:hint="eastAsia"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2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306A961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陶湾村、张盘村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3A1251D">
            <w:pPr>
              <w:spacing w:line="360" w:lineRule="exact"/>
              <w:jc w:val="center"/>
              <w:rPr>
                <w:rFonts w:ascii="宋体" w:hAnsi="宋体" w:cs="Times New Roman"/>
                <w:color w:val="FF0000"/>
                <w:szCs w:val="21"/>
              </w:rPr>
            </w:pPr>
          </w:p>
        </w:tc>
      </w:tr>
      <w:tr w14:paraId="5D205C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1B82C4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冷水镇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45EE55">
            <w:pPr>
              <w:spacing w:line="32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冷水镇镇区规划范围涉及现状镇区包含冷水村、龙王庙村（5-11组、18-20组）两个行政村，总面积为 1.21 平方公里。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DA174B6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1.21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42A879">
            <w:pPr>
              <w:spacing w:line="320" w:lineRule="exact"/>
              <w:jc w:val="center"/>
              <w:rPr>
                <w:rFonts w:hint="eastAsia"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2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B37EDF1">
            <w:pPr>
              <w:spacing w:line="32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冷水村、龙王庙村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EF6703C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</w:p>
        </w:tc>
      </w:tr>
      <w:tr w14:paraId="121094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E9F5D0D">
            <w:pPr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三川镇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7CF91E">
            <w:pPr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三川镇区规划范围，东起新庄村界，西至龙脖村界，北起柳子村交叉处，南至龙脖村交界处，规划控制区范围涉及现状三川社区，总面积为1.75 平方公里。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0950A6">
            <w:pPr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1.75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2D8BD5A">
            <w:pPr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A533719">
            <w:pPr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三川社区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A88D7CC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</w:p>
        </w:tc>
      </w:tr>
      <w:tr w14:paraId="1CBCB6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6E993C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叫河镇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900F0F3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叫河镇镇区规划范围东起 S328 线与淯河路交界处，北至现状山体，南至黎明村小学，西至镇区污水处理厂处，规划控制区范围涉及现状镇区和黎明村、牛栾村两个行政村，总面积为 1.71 平方公里。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5B1F5D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1.71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DB43BD">
            <w:pPr>
              <w:spacing w:line="360" w:lineRule="exact"/>
              <w:jc w:val="center"/>
              <w:rPr>
                <w:rFonts w:hint="eastAsia"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24B30A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叫河村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1FBCD3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</w:p>
        </w:tc>
      </w:tr>
      <w:tr w14:paraId="58FAF2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92FA7CA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庙子镇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D940A8">
            <w:pPr>
              <w:spacing w:line="360" w:lineRule="exact"/>
              <w:jc w:val="left"/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庙子镇禁燃范围包括杨树底村、河南村、咸池村、庙子村、庄子村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color w:val="000000"/>
                <w:szCs w:val="21"/>
              </w:rPr>
              <w:t>总面积为8平方公里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8D4180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8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EBEF4C">
            <w:pPr>
              <w:spacing w:line="360" w:lineRule="exact"/>
              <w:jc w:val="center"/>
              <w:rPr>
                <w:rFonts w:hint="eastAsia"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5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FBF492C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杨树底村、河南村、咸池村、庙子村、庄子村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C3CA92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</w:p>
        </w:tc>
      </w:tr>
      <w:tr w14:paraId="625FF7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B9B561A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合峪镇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44BEE30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合峪镇镇区规划范围：西起前村村界，东至柳坪村，北起洛栾快速沿线区域，南至镇区南侧山脚，镇区规划范围面积182.01公顷。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F31C41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1.82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56531F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4F8B447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合峪村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A61AB6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洛钼集团钨业有限公司除外</w:t>
            </w:r>
          </w:p>
        </w:tc>
      </w:tr>
      <w:tr w14:paraId="502374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B42842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潭头镇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6E3940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潭头镇镇区南至潭头社区边界 ，东至潭峪河南至伊河河堤，西至古城村交界，北至街后坡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color w:val="000000"/>
                <w:szCs w:val="21"/>
              </w:rPr>
              <w:t>总面积为 2.7平方公里。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C6C7FB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2.7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F08FA6D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AA66444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潭头社区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6609E1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</w:p>
        </w:tc>
      </w:tr>
      <w:tr w14:paraId="7326F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1F34148">
            <w:pPr>
              <w:pStyle w:val="2"/>
              <w:spacing w:line="360" w:lineRule="exact"/>
              <w:ind w:left="0" w:leftChars="0"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秋扒乡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CEAD163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秋扒乡集镇区规划范围，东起秋扒与蒿坪交界处，北起与白岩寺交界处，南至与小河交界处，西至与雁坎村交界处，规划控制区范围涉及现状集镇区和秋扒村，总面积为 1.34 平方公里。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28DA6CE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1.34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5EF2F8E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B021D6">
            <w:pPr>
              <w:pStyle w:val="2"/>
              <w:spacing w:line="360" w:lineRule="exact"/>
              <w:ind w:left="0" w:leftChars="0" w:firstLine="0" w:firstLineChars="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秋扒村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30E4095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</w:p>
        </w:tc>
      </w:tr>
      <w:tr w14:paraId="5CF918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39CFB8A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狮子庙镇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FBEF997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狮子庙镇镇区规划范围：北至镇区敬老院，南至镇中学，西至罗村，东至府沟路。规划控制范围涉及现状镇区和罗村，总面积 1.09 平方公里。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0F2BD8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1.09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E09E806">
            <w:pPr>
              <w:spacing w:line="360" w:lineRule="exact"/>
              <w:jc w:val="center"/>
              <w:rPr>
                <w:rFonts w:hint="eastAsia"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2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2A5A5A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狮子庙村、王府沟村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D122C8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</w:p>
        </w:tc>
      </w:tr>
      <w:tr w14:paraId="7CF79E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6C1075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白土镇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BF3CB0B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白土镇规划镇区总规划面积 66.67 公顷，建设用地面积 59.95 公顷。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747D76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0.66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7A49CF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853138B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马超营村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31BC719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</w:p>
        </w:tc>
      </w:tr>
      <w:tr w14:paraId="72E476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A79AAE7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重渡沟管委会</w:t>
            </w:r>
          </w:p>
        </w:tc>
        <w:tc>
          <w:tcPr>
            <w:tcW w:w="5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4072C8">
            <w:pPr>
              <w:spacing w:line="360" w:lineRule="exact"/>
              <w:jc w:val="left"/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示范区（镇区）范围东至磨湾村对角沟，北至北乡村小青沟，西至仓房村小干涧，东至四秋一组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color w:val="000000"/>
                <w:szCs w:val="21"/>
              </w:rPr>
              <w:t>面积2平方公里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。</w:t>
            </w:r>
            <w:bookmarkStart w:id="0" w:name="_GoBack"/>
            <w:bookmarkEnd w:id="0"/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FFDAE9C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2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BE7D1D8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FE99073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</w:rPr>
              <w:t>街上村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3F5192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</w:p>
        </w:tc>
      </w:tr>
      <w:tr w14:paraId="16EECB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786CE28">
            <w:pPr>
              <w:spacing w:line="36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ascii="宋体" w:hAnsi="宋体" w:cs="Times New Roman"/>
                <w:color w:val="000000"/>
                <w:szCs w:val="21"/>
              </w:rPr>
              <w:t>说明</w:t>
            </w:r>
          </w:p>
        </w:tc>
        <w:tc>
          <w:tcPr>
            <w:tcW w:w="109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81DE409">
            <w:pPr>
              <w:spacing w:line="360" w:lineRule="exact"/>
              <w:jc w:val="left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ascii="宋体" w:hAnsi="宋体" w:cs="Times New Roman"/>
                <w:bCs/>
                <w:color w:val="000000"/>
                <w:szCs w:val="21"/>
              </w:rPr>
              <w:t>重点完善列入“禁燃区”管理的区域，为</w:t>
            </w:r>
            <w:r>
              <w:rPr>
                <w:rFonts w:hint="eastAsia" w:ascii="宋体" w:hAnsi="宋体" w:cs="Times New Roman"/>
                <w:bCs/>
                <w:color w:val="000000"/>
                <w:szCs w:val="21"/>
              </w:rPr>
              <w:t>避免</w:t>
            </w:r>
            <w:r>
              <w:rPr>
                <w:rFonts w:ascii="宋体" w:hAnsi="宋体" w:cs="Times New Roman"/>
                <w:bCs/>
                <w:color w:val="000000"/>
                <w:szCs w:val="21"/>
              </w:rPr>
              <w:t>产生歧义，可列出不列入“禁燃区”</w:t>
            </w:r>
            <w:r>
              <w:rPr>
                <w:rFonts w:hint="eastAsia" w:ascii="宋体" w:hAnsi="宋体" w:cs="Times New Roman"/>
                <w:bCs/>
                <w:color w:val="000000"/>
                <w:szCs w:val="21"/>
              </w:rPr>
              <w:t>、</w:t>
            </w:r>
            <w:r>
              <w:rPr>
                <w:rFonts w:ascii="宋体" w:hAnsi="宋体" w:cs="Times New Roman"/>
                <w:bCs/>
                <w:color w:val="000000"/>
                <w:szCs w:val="21"/>
              </w:rPr>
              <w:t>“禁煤区”管理的区域。</w:t>
            </w:r>
          </w:p>
        </w:tc>
      </w:tr>
    </w:tbl>
    <w:p w14:paraId="0165254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atLeas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p w14:paraId="562F547D"/>
    <w:sectPr>
      <w:headerReference r:id="rId3" w:type="default"/>
      <w:footerReference r:id="rId4" w:type="default"/>
      <w:pgSz w:w="16838" w:h="11906" w:orient="landscape"/>
      <w:pgMar w:top="1587" w:right="1962" w:bottom="1474" w:left="1848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085D5">
    <w:pPr>
      <w:pStyle w:val="5"/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77311F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77311F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 xml:space="preserve">         </w:t>
    </w:r>
  </w:p>
  <w:p w14:paraId="6D8995F5">
    <w:pPr>
      <w:pStyle w:val="5"/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123825</wp:posOffset>
              </wp:positionH>
              <wp:positionV relativeFrom="paragraph">
                <wp:posOffset>142875</wp:posOffset>
              </wp:positionV>
              <wp:extent cx="8136890" cy="22225"/>
              <wp:effectExtent l="0" t="10795" r="2540" b="1651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8136890" cy="2222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9.75pt;margin-top:11.25pt;height:1.75pt;width:640.7pt;z-index:251660288;mso-width-relative:page;mso-height-relative:page;" filled="f" stroked="t" coordsize="21600,21600" o:gfxdata="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zUYnfZAAAACQEAAA8AAAAAAAAAAQAgAAAAIgAAAGRycy9kb3ducmV2LnhtbFBLAQIUABQA&#10;AAAIAIdO4kA/pav97wEAAMADAAAOAAAAAAAAAAEAIAAAACg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 xml:space="preserve"> </w:t>
    </w:r>
  </w:p>
  <w:p w14:paraId="7D8A1B85">
    <w:pPr>
      <w:pStyle w:val="5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 xml:space="preserve">                                                               洛阳市栾川县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人民政府发布   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ab/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208AF5"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83185</wp:posOffset>
              </wp:positionH>
              <wp:positionV relativeFrom="paragraph">
                <wp:posOffset>288290</wp:posOffset>
              </wp:positionV>
              <wp:extent cx="8161655" cy="1016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4133850" y="864870"/>
                        <a:ext cx="8161655" cy="1016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6.55pt;margin-top:22.7pt;height:0.8pt;width:642.65pt;z-index:251659264;mso-width-relative:page;mso-height-relative:page;" filled="f" stroked="t" coordsize="21600,21600" o:gfxdata="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/CemvZAAAACQEAAA8AAAAAAAAAAQAgAAAAIgAAAGRycy9kb3du&#10;cmV2LnhtbFBLAQIUABQAAAAIAIdO4kAVENuW/gEAAMsDAAAOAAAAAAAAAAEAIAAAACgBAABkcnMv&#10;ZTJvRG9jLnhtbFBLBQYAAAAABgAGAFkBAACY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洛阳市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栾川县人民政府行政规范性文件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0AFB626D"/>
    <w:rsid w:val="0AFB626D"/>
    <w:rsid w:val="209E3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autoRedefine/>
    <w:qFormat/>
    <w:uiPriority w:val="0"/>
    <w:pPr>
      <w:spacing w:line="240" w:lineRule="auto"/>
      <w:ind w:left="200" w:leftChars="200" w:firstLine="200"/>
    </w:pPr>
  </w:style>
  <w:style w:type="paragraph" w:customStyle="1" w:styleId="3">
    <w:name w:val="Body Text Indent"/>
    <w:basedOn w:val="1"/>
    <w:autoRedefine/>
    <w:qFormat/>
    <w:uiPriority w:val="0"/>
    <w:pPr>
      <w:spacing w:line="360" w:lineRule="auto"/>
      <w:ind w:firstLine="560" w:firstLineChars="200"/>
    </w:pPr>
    <w:rPr>
      <w:kern w:val="32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1203</Words>
  <Characters>1297</Characters>
  <Lines>0</Lines>
  <Paragraphs>0</Paragraphs>
  <TotalTime>4</TotalTime>
  <ScaleCrop>false</ScaleCrop>
  <LinksUpToDate>false</LinksUpToDate>
  <CharactersWithSpaces>1317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2024-04-29T04:51:00Z</dcterms:created>
  <dc:creator>Ll</dc:creator>
  <cp:lastModifiedBy>伏牛山人</cp:lastModifiedBy>
  <dcterms:modified xsi:type="dcterms:W3CDTF">2024-12-09T02:25:31Z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F0390A626DD44454ABA8B346FFFAD9E5_11</vt:lpwstr>
  </property>
</Properties>
</file>