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overflowPunct w:val="0"/>
        <w:adjustRightInd w:val="0"/>
        <w:snapToGrid w:val="0"/>
        <w:spacing w:line="600" w:lineRule="exact"/>
        <w:ind w:firstLine="640" w:firstLineChars="200"/>
        <w:jc w:val="both"/>
        <w:outlineLvl w:val="0"/>
        <w:rPr>
          <w:rFonts w:ascii="仿宋" w:hAnsi="仿宋" w:eastAsia="仿宋"/>
          <w:color w:val="000000" w:themeColor="text1"/>
          <w:sz w:val="32"/>
          <w:szCs w:val="32"/>
          <w14:textFill>
            <w14:solidFill>
              <w14:schemeClr w14:val="tx1"/>
            </w14:solidFill>
          </w14:textFill>
        </w:rPr>
      </w:pPr>
    </w:p>
    <w:p>
      <w:pPr>
        <w:widowControl w:val="0"/>
        <w:overflowPunct w:val="0"/>
        <w:adjustRightInd w:val="0"/>
        <w:snapToGrid w:val="0"/>
        <w:spacing w:line="600" w:lineRule="exact"/>
        <w:jc w:val="both"/>
        <w:rPr>
          <w:rFonts w:ascii="仿宋" w:hAnsi="仿宋" w:eastAsia="仿宋"/>
          <w:color w:val="000000" w:themeColor="text1"/>
          <w:sz w:val="32"/>
          <w:szCs w:val="32"/>
          <w14:textFill>
            <w14:solidFill>
              <w14:schemeClr w14:val="tx1"/>
            </w14:solidFill>
          </w14:textFill>
        </w:rPr>
      </w:pPr>
    </w:p>
    <w:p>
      <w:pPr>
        <w:widowControl w:val="0"/>
        <w:overflowPunct w:val="0"/>
        <w:adjustRightInd w:val="0"/>
        <w:snapToGrid w:val="0"/>
        <w:spacing w:line="600" w:lineRule="exact"/>
        <w:jc w:val="center"/>
        <w:rPr>
          <w:rFonts w:ascii="方正小标宋_GBK" w:hAnsi="仿宋" w:eastAsia="方正小标宋_GBK" w:cs="新宋体"/>
          <w:color w:val="000000" w:themeColor="text1"/>
          <w:sz w:val="44"/>
          <w:szCs w:val="44"/>
          <w14:textFill>
            <w14:solidFill>
              <w14:schemeClr w14:val="tx1"/>
            </w14:solidFill>
          </w14:textFill>
        </w:rPr>
      </w:pPr>
      <w:r>
        <w:rPr>
          <w:rFonts w:hint="eastAsia" w:ascii="方正小标宋_GBK" w:hAnsi="仿宋" w:eastAsia="方正小标宋_GBK" w:cs="新宋体"/>
          <w:color w:val="000000" w:themeColor="text1"/>
          <w:sz w:val="44"/>
          <w:szCs w:val="44"/>
          <w14:textFill>
            <w14:solidFill>
              <w14:schemeClr w14:val="tx1"/>
            </w14:solidFill>
          </w14:textFill>
        </w:rPr>
        <w:t>洛阳市市场监督管理局</w:t>
      </w:r>
    </w:p>
    <w:p>
      <w:pPr>
        <w:widowControl w:val="0"/>
        <w:overflowPunct w:val="0"/>
        <w:adjustRightInd w:val="0"/>
        <w:snapToGrid w:val="0"/>
        <w:spacing w:line="600" w:lineRule="exact"/>
        <w:jc w:val="center"/>
        <w:rPr>
          <w:rFonts w:ascii="方正小标宋_GBK" w:hAnsi="仿宋" w:eastAsia="方正小标宋_GBK" w:cs="方正小标宋简体"/>
          <w:color w:val="000000" w:themeColor="text1"/>
          <w:sz w:val="44"/>
          <w:szCs w:val="44"/>
          <w14:textFill>
            <w14:solidFill>
              <w14:schemeClr w14:val="tx1"/>
            </w14:solidFill>
          </w14:textFill>
        </w:rPr>
      </w:pPr>
      <w:r>
        <w:rPr>
          <w:rFonts w:hint="eastAsia" w:ascii="方正小标宋_GBK" w:hAnsi="仿宋" w:eastAsia="方正小标宋_GBK" w:cs="新宋体"/>
          <w:color w:val="000000" w:themeColor="text1"/>
          <w:sz w:val="44"/>
          <w:szCs w:val="44"/>
          <w14:textFill>
            <w14:solidFill>
              <w14:schemeClr w14:val="tx1"/>
            </w14:solidFill>
          </w14:textFill>
        </w:rPr>
        <w:t>关于</w:t>
      </w:r>
      <w:r>
        <w:rPr>
          <w:rStyle w:val="11"/>
          <w:rFonts w:hint="eastAsia" w:ascii="方正小标宋_GBK" w:hAnsi="仿宋" w:eastAsia="方正小标宋_GBK" w:cs="新宋体"/>
          <w:b w:val="0"/>
          <w:color w:val="000000" w:themeColor="text1"/>
          <w:sz w:val="44"/>
          <w:szCs w:val="44"/>
          <w:shd w:val="clear" w:color="auto" w:fill="FFFFFF"/>
          <w14:textFill>
            <w14:solidFill>
              <w14:schemeClr w14:val="tx1"/>
            </w14:solidFill>
          </w14:textFill>
        </w:rPr>
        <w:t>废止行政规范性文件的决定</w:t>
      </w:r>
    </w:p>
    <w:p>
      <w:pPr>
        <w:widowControl w:val="0"/>
        <w:overflowPunct w:val="0"/>
        <w:adjustRightInd w:val="0"/>
        <w:snapToGrid w:val="0"/>
        <w:spacing w:line="600" w:lineRule="exact"/>
        <w:jc w:val="center"/>
        <w:rPr>
          <w:rFonts w:ascii="仿宋" w:hAnsi="仿宋" w:eastAsia="仿宋"/>
          <w:b/>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洛市监〔2023〕41号</w:t>
      </w:r>
    </w:p>
    <w:p>
      <w:pPr>
        <w:widowControl w:val="0"/>
        <w:overflowPunct w:val="0"/>
        <w:adjustRightInd w:val="0"/>
        <w:snapToGrid w:val="0"/>
        <w:spacing w:line="600" w:lineRule="exact"/>
        <w:ind w:firstLine="640" w:firstLineChars="200"/>
        <w:jc w:val="both"/>
        <w:rPr>
          <w:rFonts w:ascii="仿宋" w:hAnsi="仿宋" w:eastAsia="仿宋"/>
          <w:color w:val="000000" w:themeColor="text1"/>
          <w:sz w:val="32"/>
          <w:szCs w:val="32"/>
          <w14:textFill>
            <w14:solidFill>
              <w14:schemeClr w14:val="tx1"/>
            </w14:solidFill>
          </w14:textFill>
        </w:rPr>
      </w:pPr>
    </w:p>
    <w:p>
      <w:pPr>
        <w:widowControl w:val="0"/>
        <w:overflowPunct w:val="0"/>
        <w:adjustRightInd w:val="0"/>
        <w:snapToGrid w:val="0"/>
        <w:spacing w:line="600" w:lineRule="exact"/>
        <w:jc w:val="both"/>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bCs/>
          <w:color w:val="000000" w:themeColor="text1"/>
          <w:sz w:val="32"/>
          <w:szCs w:val="32"/>
          <w14:textFill>
            <w14:solidFill>
              <w14:schemeClr w14:val="tx1"/>
            </w14:solidFill>
          </w14:textFill>
        </w:rPr>
        <w:t>各县、区市场监督管理局，市局机关各科室、各直属单位：</w:t>
      </w:r>
    </w:p>
    <w:p>
      <w:pPr>
        <w:widowControl w:val="0"/>
        <w:overflowPunct w:val="0"/>
        <w:adjustRightInd w:val="0"/>
        <w:snapToGrid w:val="0"/>
        <w:spacing w:line="600" w:lineRule="exact"/>
        <w:ind w:firstLine="640" w:firstLineChars="200"/>
        <w:jc w:val="both"/>
        <w:rPr>
          <w:rFonts w:ascii="仿宋" w:hAnsi="仿宋" w:eastAsia="仿宋" w:cs="方正仿宋_GBK"/>
          <w:color w:val="000000" w:themeColor="text1"/>
          <w:sz w:val="32"/>
          <w:szCs w:val="32"/>
          <w:shd w:val="clear" w:color="auto" w:fill="FFFFFF"/>
          <w14:textFill>
            <w14:solidFill>
              <w14:schemeClr w14:val="tx1"/>
            </w14:solidFill>
          </w14:textFill>
        </w:rPr>
      </w:pPr>
      <w:r>
        <w:rPr>
          <w:rFonts w:hint="eastAsia" w:ascii="仿宋" w:hAnsi="仿宋" w:eastAsia="仿宋" w:cs="方正仿宋_GBK"/>
          <w:color w:val="000000" w:themeColor="text1"/>
          <w:sz w:val="32"/>
          <w:szCs w:val="32"/>
          <w:shd w:val="clear" w:color="auto" w:fill="FFFFFF"/>
          <w14:textFill>
            <w14:solidFill>
              <w14:schemeClr w14:val="tx1"/>
            </w14:solidFill>
          </w14:textFill>
        </w:rPr>
        <w:t>根据《洛阳市行政规范性文件管理办法》（洛阳市人民政府令第126号），市局组织各科室对有效期到期的本级行政规范性文件进行了清理。经市局局长办公会议研究同意，决定废止《</w:t>
      </w:r>
      <w:r>
        <w:rPr>
          <w:rFonts w:hint="eastAsia" w:ascii="仿宋" w:hAnsi="仿宋" w:eastAsia="仿宋" w:cs="方正仿宋_GBK"/>
          <w:color w:val="000000" w:themeColor="text1"/>
          <w:sz w:val="32"/>
          <w:szCs w:val="32"/>
          <w:lang w:bidi="ar"/>
          <w14:textFill>
            <w14:solidFill>
              <w14:schemeClr w14:val="tx1"/>
            </w14:solidFill>
          </w14:textFill>
        </w:rPr>
        <w:t>关于推进河南省企业信用信息公示监管警示系统建设工作的实施意见</w:t>
      </w:r>
      <w:r>
        <w:rPr>
          <w:rFonts w:hint="eastAsia" w:ascii="仿宋" w:hAnsi="仿宋" w:eastAsia="仿宋" w:cs="方正仿宋_GBK"/>
          <w:color w:val="000000" w:themeColor="text1"/>
          <w:sz w:val="32"/>
          <w:szCs w:val="32"/>
          <w:shd w:val="clear" w:color="auto" w:fill="FFFFFF"/>
          <w14:textFill>
            <w14:solidFill>
              <w14:schemeClr w14:val="tx1"/>
            </w14:solidFill>
          </w14:textFill>
        </w:rPr>
        <w:t>》（</w:t>
      </w:r>
      <w:r>
        <w:rPr>
          <w:rFonts w:hint="eastAsia" w:ascii="仿宋" w:hAnsi="仿宋" w:eastAsia="仿宋" w:cs="方正仿宋_GBK"/>
          <w:color w:val="000000" w:themeColor="text1"/>
          <w:sz w:val="32"/>
          <w:szCs w:val="32"/>
          <w:lang w:bidi="ar"/>
          <w14:textFill>
            <w14:solidFill>
              <w14:schemeClr w14:val="tx1"/>
            </w14:solidFill>
          </w14:textFill>
        </w:rPr>
        <w:t>洛工商办〔2016〕5号</w:t>
      </w:r>
      <w:r>
        <w:rPr>
          <w:rFonts w:hint="eastAsia" w:ascii="仿宋" w:hAnsi="仿宋" w:eastAsia="仿宋" w:cs="方正仿宋_GBK"/>
          <w:color w:val="000000" w:themeColor="text1"/>
          <w:sz w:val="32"/>
          <w:szCs w:val="32"/>
          <w:shd w:val="clear" w:color="auto" w:fill="FFFFFF"/>
          <w14:textFill>
            <w14:solidFill>
              <w14:schemeClr w14:val="tx1"/>
            </w14:solidFill>
          </w14:textFill>
        </w:rPr>
        <w:t>）等2个市局行政规范性文件，详见附件。本决定自公布之日起执行。</w:t>
      </w:r>
    </w:p>
    <w:p>
      <w:pPr>
        <w:widowControl w:val="0"/>
        <w:overflowPunct w:val="0"/>
        <w:adjustRightInd w:val="0"/>
        <w:snapToGrid w:val="0"/>
        <w:spacing w:line="600" w:lineRule="exact"/>
        <w:ind w:firstLine="640" w:firstLineChars="200"/>
        <w:jc w:val="both"/>
        <w:rPr>
          <w:rFonts w:ascii="仿宋" w:hAnsi="仿宋" w:eastAsia="仿宋" w:cs="方正仿宋_GBK"/>
          <w:color w:val="000000" w:themeColor="text1"/>
          <w:sz w:val="32"/>
          <w:szCs w:val="32"/>
          <w14:textFill>
            <w14:solidFill>
              <w14:schemeClr w14:val="tx1"/>
            </w14:solidFill>
          </w14:textFill>
        </w:rPr>
      </w:pPr>
    </w:p>
    <w:p>
      <w:pPr>
        <w:pStyle w:val="7"/>
        <w:widowControl w:val="0"/>
        <w:shd w:val="clear" w:color="auto" w:fill="FFFFFF"/>
        <w:overflowPunct w:val="0"/>
        <w:adjustRightInd w:val="0"/>
        <w:snapToGrid w:val="0"/>
        <w:spacing w:before="0" w:beforeAutospacing="0" w:after="0" w:afterAutospacing="0" w:line="600" w:lineRule="exact"/>
        <w:ind w:firstLine="640" w:firstLineChars="200"/>
        <w:jc w:val="both"/>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shd w:val="clear" w:color="auto" w:fill="FFFFFF"/>
          <w14:textFill>
            <w14:solidFill>
              <w14:schemeClr w14:val="tx1"/>
            </w14:solidFill>
          </w14:textFill>
        </w:rPr>
        <w:t>附件：1、洛阳市市场监督管理局废止行政规范性文件目录</w:t>
      </w:r>
    </w:p>
    <w:p>
      <w:pPr>
        <w:widowControl w:val="0"/>
        <w:overflowPunct w:val="0"/>
        <w:adjustRightInd w:val="0"/>
        <w:snapToGrid w:val="0"/>
        <w:spacing w:line="600" w:lineRule="exact"/>
        <w:ind w:firstLine="1600" w:firstLineChars="500"/>
        <w:jc w:val="both"/>
        <w:rPr>
          <w:rFonts w:ascii="仿宋" w:hAnsi="仿宋" w:eastAsia="仿宋" w:cs="仿宋"/>
          <w:color w:val="000000" w:themeColor="text1"/>
          <w:spacing w:val="-4"/>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pacing w:val="-4"/>
          <w:sz w:val="32"/>
          <w:szCs w:val="32"/>
          <w:shd w:val="clear" w:color="auto" w:fill="FFFFFF"/>
          <w14:textFill>
            <w14:solidFill>
              <w14:schemeClr w14:val="tx1"/>
            </w14:solidFill>
          </w14:textFill>
        </w:rPr>
        <w:t>洛阳市市场监督管理局</w:t>
      </w:r>
      <w:r>
        <w:rPr>
          <w:rFonts w:hint="eastAsia" w:ascii="仿宋" w:hAnsi="仿宋" w:eastAsia="仿宋" w:cs="仿宋"/>
          <w:color w:val="000000" w:themeColor="text1"/>
          <w:spacing w:val="-4"/>
          <w:sz w:val="32"/>
          <w:szCs w:val="32"/>
          <w14:textFill>
            <w14:solidFill>
              <w14:schemeClr w14:val="tx1"/>
            </w14:solidFill>
          </w14:textFill>
        </w:rPr>
        <w:t>现行有效的规范性文件目录</w:t>
      </w:r>
    </w:p>
    <w:p>
      <w:pPr>
        <w:widowControl w:val="0"/>
        <w:overflowPunct w:val="0"/>
        <w:adjustRightInd w:val="0"/>
        <w:snapToGrid w:val="0"/>
        <w:spacing w:line="600" w:lineRule="exact"/>
        <w:ind w:firstLine="640" w:firstLineChars="200"/>
        <w:jc w:val="both"/>
        <w:rPr>
          <w:rFonts w:ascii="仿宋" w:hAnsi="仿宋" w:eastAsia="仿宋" w:cs="仿宋"/>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4960" w:firstLineChars="1550"/>
        <w:jc w:val="both"/>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2023年12月13日        </w:t>
      </w:r>
    </w:p>
    <w:p>
      <w:pPr>
        <w:widowControl w:val="0"/>
        <w:overflowPunct w:val="0"/>
        <w:adjustRightInd w:val="0"/>
        <w:snapToGrid w:val="0"/>
        <w:spacing w:line="600" w:lineRule="exact"/>
        <w:jc w:val="both"/>
        <w:rPr>
          <w:rFonts w:ascii="黑体" w:hAnsi="黑体" w:eastAsia="黑体" w:cs="黑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br w:type="page"/>
      </w:r>
      <w:r>
        <w:rPr>
          <w:rFonts w:hint="eastAsia" w:ascii="黑体" w:hAnsi="黑体" w:eastAsia="黑体" w:cs="黑体"/>
          <w:color w:val="000000" w:themeColor="text1"/>
          <w:sz w:val="32"/>
          <w:szCs w:val="32"/>
          <w14:textFill>
            <w14:solidFill>
              <w14:schemeClr w14:val="tx1"/>
            </w14:solidFill>
          </w14:textFill>
        </w:rPr>
        <w:t>附件1</w:t>
      </w:r>
    </w:p>
    <w:p>
      <w:pPr>
        <w:pStyle w:val="7"/>
        <w:widowControl w:val="0"/>
        <w:shd w:val="clear" w:color="auto" w:fill="FFFFFF"/>
        <w:overflowPunct w:val="0"/>
        <w:adjustRightInd w:val="0"/>
        <w:snapToGrid w:val="0"/>
        <w:spacing w:before="0" w:beforeAutospacing="0" w:after="0" w:afterAutospacing="0" w:line="300" w:lineRule="exact"/>
        <w:ind w:firstLine="643" w:firstLineChars="200"/>
        <w:jc w:val="both"/>
        <w:rPr>
          <w:rFonts w:ascii="仿宋" w:hAnsi="仿宋" w:eastAsia="仿宋"/>
          <w:b/>
          <w:color w:val="000000" w:themeColor="text1"/>
          <w:sz w:val="32"/>
          <w:szCs w:val="32"/>
          <w:shd w:val="clear" w:color="auto" w:fill="FFFFFF"/>
          <w14:textFill>
            <w14:solidFill>
              <w14:schemeClr w14:val="tx1"/>
            </w14:solidFill>
          </w14:textFill>
        </w:rPr>
      </w:pPr>
    </w:p>
    <w:p>
      <w:pPr>
        <w:pStyle w:val="7"/>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r>
        <w:rPr>
          <w:rFonts w:hint="eastAsia" w:ascii="方正小标宋_GBK" w:hAnsi="仿宋" w:eastAsia="方正小标宋_GBK"/>
          <w:color w:val="000000" w:themeColor="text1"/>
          <w:sz w:val="44"/>
          <w:szCs w:val="44"/>
          <w:shd w:val="clear" w:color="auto" w:fill="FFFFFF"/>
          <w14:textFill>
            <w14:solidFill>
              <w14:schemeClr w14:val="tx1"/>
            </w14:solidFill>
          </w14:textFill>
        </w:rPr>
        <w:t>洛阳市市场监督管理局</w:t>
      </w:r>
    </w:p>
    <w:p>
      <w:pPr>
        <w:pStyle w:val="7"/>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r>
        <w:rPr>
          <w:rFonts w:hint="eastAsia" w:ascii="方正小标宋_GBK" w:hAnsi="仿宋" w:eastAsia="方正小标宋_GBK"/>
          <w:color w:val="000000" w:themeColor="text1"/>
          <w:sz w:val="44"/>
          <w:szCs w:val="44"/>
          <w:shd w:val="clear" w:color="auto" w:fill="FFFFFF"/>
          <w14:textFill>
            <w14:solidFill>
              <w14:schemeClr w14:val="tx1"/>
            </w14:solidFill>
          </w14:textFill>
        </w:rPr>
        <w:t>废止行政规范性文件目录</w:t>
      </w:r>
    </w:p>
    <w:p>
      <w:pPr>
        <w:pStyle w:val="7"/>
        <w:widowControl w:val="0"/>
        <w:shd w:val="clear" w:color="auto" w:fill="FFFFFF"/>
        <w:overflowPunct w:val="0"/>
        <w:adjustRightInd w:val="0"/>
        <w:snapToGrid w:val="0"/>
        <w:spacing w:before="0" w:beforeAutospacing="0" w:after="0" w:afterAutospacing="0" w:line="300" w:lineRule="exact"/>
        <w:ind w:firstLine="643" w:firstLineChars="200"/>
        <w:jc w:val="both"/>
        <w:rPr>
          <w:rFonts w:ascii="仿宋" w:hAnsi="仿宋" w:eastAsia="仿宋"/>
          <w:b/>
          <w:color w:val="000000" w:themeColor="text1"/>
          <w:sz w:val="32"/>
          <w:szCs w:val="32"/>
          <w:shd w:val="clear" w:color="auto" w:fill="FFFFFF"/>
          <w14:textFill>
            <w14:solidFill>
              <w14:schemeClr w14:val="tx1"/>
            </w14:solidFill>
          </w14:textFill>
        </w:rPr>
      </w:pP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3220"/>
        <w:gridCol w:w="2912"/>
        <w:gridCol w:w="2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20"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序号</w:t>
            </w:r>
          </w:p>
        </w:tc>
        <w:tc>
          <w:tcPr>
            <w:tcW w:w="1777"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规范性文件名称</w:t>
            </w:r>
          </w:p>
        </w:tc>
        <w:tc>
          <w:tcPr>
            <w:tcW w:w="1607"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发文字号</w:t>
            </w:r>
          </w:p>
        </w:tc>
        <w:tc>
          <w:tcPr>
            <w:tcW w:w="1296" w:type="pct"/>
            <w:vAlign w:val="center"/>
          </w:tcPr>
          <w:p>
            <w:pPr>
              <w:widowControl w:val="0"/>
              <w:overflowPunct w:val="0"/>
              <w:adjustRightInd w:val="0"/>
              <w:snapToGrid w:val="0"/>
              <w:jc w:val="center"/>
              <w:rPr>
                <w:rFonts w:ascii="黑体" w:hAnsi="仿宋" w:eastAsia="黑体"/>
                <w:color w:val="000000" w:themeColor="text1"/>
                <w:sz w:val="28"/>
                <w:szCs w:val="28"/>
                <w:shd w:val="clear" w:color="auto" w:fill="FFFFFF"/>
                <w:lang w:bidi="ar"/>
                <w14:textFill>
                  <w14:solidFill>
                    <w14:schemeClr w14:val="tx1"/>
                  </w14:solidFill>
                </w14:textFill>
              </w:rPr>
            </w:pPr>
            <w:r>
              <w:rPr>
                <w:rFonts w:hint="eastAsia" w:ascii="黑体" w:hAnsi="仿宋" w:eastAsia="黑体"/>
                <w:color w:val="000000" w:themeColor="text1"/>
                <w:sz w:val="28"/>
                <w:szCs w:val="28"/>
                <w:shd w:val="clear" w:color="auto" w:fill="FFFFFF"/>
                <w:lang w:bidi="ar"/>
                <w14:textFill>
                  <w14:solidFill>
                    <w14:schemeClr w14:val="tx1"/>
                  </w14:solidFill>
                </w14:textFill>
              </w:rPr>
              <w:t>废止原因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20" w:type="pct"/>
            <w:vAlign w:val="center"/>
          </w:tcPr>
          <w:p>
            <w:pPr>
              <w:widowControl w:val="0"/>
              <w:overflowPunct w:val="0"/>
              <w:adjustRightInd w:val="0"/>
              <w:snapToGrid w:val="0"/>
              <w:jc w:val="center"/>
              <w:rPr>
                <w:rFonts w:ascii="仿宋" w:hAnsi="仿宋" w:eastAsia="仿宋"/>
                <w:color w:val="000000" w:themeColor="text1"/>
                <w:sz w:val="28"/>
                <w:szCs w:val="28"/>
                <w:shd w:val="clear" w:color="auto" w:fill="FFFFFF"/>
                <w:lang w:bidi="ar"/>
                <w14:textFill>
                  <w14:solidFill>
                    <w14:schemeClr w14:val="tx1"/>
                  </w14:solidFill>
                </w14:textFill>
              </w:rPr>
            </w:pPr>
            <w:r>
              <w:rPr>
                <w:rFonts w:hint="eastAsia" w:ascii="仿宋" w:hAnsi="仿宋" w:eastAsia="仿宋"/>
                <w:color w:val="000000" w:themeColor="text1"/>
                <w:sz w:val="28"/>
                <w:szCs w:val="28"/>
                <w:shd w:val="clear" w:color="auto" w:fill="FFFFFF"/>
                <w:lang w:bidi="ar"/>
                <w14:textFill>
                  <w14:solidFill>
                    <w14:schemeClr w14:val="tx1"/>
                  </w14:solidFill>
                </w14:textFill>
              </w:rPr>
              <w:t>1</w:t>
            </w:r>
          </w:p>
        </w:tc>
        <w:tc>
          <w:tcPr>
            <w:tcW w:w="1777" w:type="pct"/>
            <w:vAlign w:val="center"/>
          </w:tcPr>
          <w:p>
            <w:pPr>
              <w:widowControl w:val="0"/>
              <w:overflowPunct w:val="0"/>
              <w:adjustRightInd w:val="0"/>
              <w:snapToGrid w:val="0"/>
              <w:jc w:val="both"/>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关于推进河南省企业信用信息公示监管警示系统建设工作的实施意见</w:t>
            </w:r>
          </w:p>
        </w:tc>
        <w:tc>
          <w:tcPr>
            <w:tcW w:w="1607" w:type="pct"/>
            <w:vAlign w:val="center"/>
          </w:tcPr>
          <w:p>
            <w:pPr>
              <w:widowControl w:val="0"/>
              <w:overflowPunct w:val="0"/>
              <w:adjustRightInd w:val="0"/>
              <w:snapToGrid w:val="0"/>
              <w:jc w:val="center"/>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仿宋"/>
                <w:color w:val="000000" w:themeColor="text1"/>
                <w:sz w:val="28"/>
                <w:szCs w:val="28"/>
                <w:lang w:bidi="ar"/>
                <w14:textFill>
                  <w14:solidFill>
                    <w14:schemeClr w14:val="tx1"/>
                  </w14:solidFill>
                </w14:textFill>
              </w:rPr>
              <w:t>洛工商办〔2016〕5号</w:t>
            </w:r>
          </w:p>
        </w:tc>
        <w:tc>
          <w:tcPr>
            <w:tcW w:w="1296" w:type="pct"/>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该文件已过五年有效期，且有新文件代替。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20" w:type="pct"/>
            <w:vAlign w:val="center"/>
          </w:tcPr>
          <w:p>
            <w:pPr>
              <w:widowControl w:val="0"/>
              <w:overflowPunct w:val="0"/>
              <w:adjustRightInd w:val="0"/>
              <w:snapToGrid w:val="0"/>
              <w:jc w:val="center"/>
              <w:rPr>
                <w:rFonts w:ascii="仿宋" w:hAnsi="仿宋" w:eastAsia="仿宋"/>
                <w:color w:val="000000" w:themeColor="text1"/>
                <w:sz w:val="28"/>
                <w:szCs w:val="28"/>
                <w:shd w:val="clear" w:color="auto" w:fill="FFFFFF"/>
                <w:lang w:bidi="ar"/>
                <w14:textFill>
                  <w14:solidFill>
                    <w14:schemeClr w14:val="tx1"/>
                  </w14:solidFill>
                </w14:textFill>
              </w:rPr>
            </w:pPr>
            <w:r>
              <w:rPr>
                <w:rFonts w:hint="eastAsia" w:ascii="仿宋" w:hAnsi="仿宋" w:eastAsia="仿宋"/>
                <w:color w:val="000000" w:themeColor="text1"/>
                <w:sz w:val="28"/>
                <w:szCs w:val="28"/>
                <w:shd w:val="clear" w:color="auto" w:fill="FFFFFF"/>
                <w:lang w:bidi="ar"/>
                <w14:textFill>
                  <w14:solidFill>
                    <w14:schemeClr w14:val="tx1"/>
                  </w14:solidFill>
                </w14:textFill>
              </w:rPr>
              <w:t>2</w:t>
            </w:r>
          </w:p>
        </w:tc>
        <w:tc>
          <w:tcPr>
            <w:tcW w:w="1777" w:type="pct"/>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bCs/>
                <w:color w:val="000000" w:themeColor="text1"/>
                <w:sz w:val="28"/>
                <w:szCs w:val="28"/>
                <w:shd w:val="clear" w:color="auto" w:fill="FFFFFF"/>
                <w14:textFill>
                  <w14:solidFill>
                    <w14:schemeClr w14:val="tx1"/>
                  </w14:solidFill>
                </w14:textFill>
              </w:rPr>
              <w:t>洛阳市知识产权运营服务体系建设专项资金管理办法</w:t>
            </w:r>
          </w:p>
        </w:tc>
        <w:tc>
          <w:tcPr>
            <w:tcW w:w="1607" w:type="pct"/>
            <w:vAlign w:val="center"/>
          </w:tcPr>
          <w:p>
            <w:pPr>
              <w:widowControl w:val="0"/>
              <w:overflowPunct w:val="0"/>
              <w:adjustRightInd w:val="0"/>
              <w:snapToGrid w:val="0"/>
              <w:jc w:val="center"/>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洛市监〔2020〕114号、洛市监规-2020-006号</w:t>
            </w:r>
          </w:p>
        </w:tc>
        <w:tc>
          <w:tcPr>
            <w:tcW w:w="1296" w:type="pct"/>
            <w:vAlign w:val="center"/>
          </w:tcPr>
          <w:p>
            <w:pPr>
              <w:widowControl w:val="0"/>
              <w:overflowPunct w:val="0"/>
              <w:adjustRightInd w:val="0"/>
              <w:snapToGrid w:val="0"/>
              <w:jc w:val="both"/>
              <w:rPr>
                <w:rFonts w:ascii="仿宋" w:hAnsi="仿宋" w:eastAsia="仿宋" w:cs="方正仿宋_GBK"/>
                <w:color w:val="000000" w:themeColor="text1"/>
                <w:sz w:val="28"/>
                <w:szCs w:val="28"/>
                <w:shd w:val="clear" w:color="auto" w:fill="FFFFFF"/>
                <w:lang w:bidi="ar"/>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该文件2020年12月2日印发，已到期失效。</w:t>
            </w:r>
          </w:p>
        </w:tc>
      </w:tr>
    </w:tbl>
    <w:p>
      <w:pPr>
        <w:widowControl w:val="0"/>
        <w:overflowPunct w:val="0"/>
        <w:adjustRightInd w:val="0"/>
        <w:snapToGrid w:val="0"/>
        <w:spacing w:line="600" w:lineRule="exact"/>
        <w:ind w:firstLine="640" w:firstLineChars="200"/>
        <w:jc w:val="both"/>
        <w:rPr>
          <w:rFonts w:ascii="仿宋" w:hAnsi="仿宋" w:eastAsia="仿宋"/>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方正黑体_GBK"/>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方正黑体_GBK"/>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方正黑体_GBK"/>
          <w:color w:val="000000" w:themeColor="text1"/>
          <w:sz w:val="32"/>
          <w:szCs w:val="32"/>
          <w14:textFill>
            <w14:solidFill>
              <w14:schemeClr w14:val="tx1"/>
            </w14:solidFill>
          </w14:textFill>
        </w:rPr>
      </w:pPr>
    </w:p>
    <w:p>
      <w:pPr>
        <w:rPr>
          <w:rFonts w:ascii="黑体" w:hAnsi="黑体" w:eastAsia="黑体" w:cs="方正黑体_GBK"/>
          <w:color w:val="000000" w:themeColor="text1"/>
          <w:sz w:val="32"/>
          <w:szCs w:val="32"/>
          <w14:textFill>
            <w14:solidFill>
              <w14:schemeClr w14:val="tx1"/>
            </w14:solidFill>
          </w14:textFill>
        </w:rPr>
      </w:pPr>
      <w:r>
        <w:rPr>
          <w:rFonts w:ascii="黑体" w:hAnsi="黑体" w:eastAsia="黑体" w:cs="方正黑体_GBK"/>
          <w:color w:val="000000" w:themeColor="text1"/>
          <w:sz w:val="32"/>
          <w:szCs w:val="32"/>
          <w14:textFill>
            <w14:solidFill>
              <w14:schemeClr w14:val="tx1"/>
            </w14:solidFill>
          </w14:textFill>
        </w:rPr>
        <w:br w:type="page"/>
      </w:r>
    </w:p>
    <w:p>
      <w:pPr>
        <w:widowControl w:val="0"/>
        <w:overflowPunct w:val="0"/>
        <w:adjustRightInd w:val="0"/>
        <w:snapToGrid w:val="0"/>
        <w:spacing w:line="600" w:lineRule="exact"/>
        <w:jc w:val="both"/>
        <w:rPr>
          <w:rFonts w:ascii="黑体" w:hAnsi="黑体" w:eastAsia="黑体" w:cs="仿宋_GB2312"/>
          <w:color w:val="000000" w:themeColor="text1"/>
          <w:sz w:val="32"/>
          <w:szCs w:val="32"/>
          <w14:textFill>
            <w14:solidFill>
              <w14:schemeClr w14:val="tx1"/>
            </w14:solidFill>
          </w14:textFill>
        </w:rPr>
      </w:pPr>
      <w:bookmarkStart w:id="0" w:name="_GoBack"/>
      <w:r>
        <w:rPr>
          <w:rFonts w:hint="eastAsia" w:ascii="黑体" w:hAnsi="黑体" w:eastAsia="黑体" w:cs="方正黑体_GBK"/>
          <w:color w:val="000000" w:themeColor="text1"/>
          <w:sz w:val="32"/>
          <w:szCs w:val="32"/>
          <w14:textFill>
            <w14:solidFill>
              <w14:schemeClr w14:val="tx1"/>
            </w14:solidFill>
          </w14:textFill>
        </w:rPr>
        <w:t>附件2</w:t>
      </w:r>
    </w:p>
    <w:p>
      <w:pPr>
        <w:pStyle w:val="7"/>
        <w:widowControl w:val="0"/>
        <w:shd w:val="clear" w:color="auto" w:fill="FFFFFF"/>
        <w:overflowPunct w:val="0"/>
        <w:adjustRightInd w:val="0"/>
        <w:snapToGrid w:val="0"/>
        <w:spacing w:before="0" w:beforeAutospacing="0" w:after="0" w:afterAutospacing="0" w:line="300" w:lineRule="exact"/>
        <w:ind w:firstLine="880" w:firstLineChars="200"/>
        <w:jc w:val="both"/>
        <w:rPr>
          <w:rFonts w:ascii="方正小标宋_GBK" w:hAnsi="仿宋" w:eastAsia="方正小标宋_GBK"/>
          <w:color w:val="000000" w:themeColor="text1"/>
          <w:sz w:val="44"/>
          <w:szCs w:val="44"/>
          <w:shd w:val="clear" w:color="auto" w:fill="FFFFFF"/>
          <w14:textFill>
            <w14:solidFill>
              <w14:schemeClr w14:val="tx1"/>
            </w14:solidFill>
          </w14:textFill>
        </w:rPr>
      </w:pPr>
    </w:p>
    <w:p>
      <w:pPr>
        <w:pStyle w:val="7"/>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r>
        <w:rPr>
          <w:rFonts w:hint="eastAsia" w:ascii="方正小标宋_GBK" w:hAnsi="仿宋" w:eastAsia="方正小标宋_GBK"/>
          <w:color w:val="000000" w:themeColor="text1"/>
          <w:sz w:val="44"/>
          <w:szCs w:val="44"/>
          <w:shd w:val="clear" w:color="auto" w:fill="FFFFFF"/>
          <w14:textFill>
            <w14:solidFill>
              <w14:schemeClr w14:val="tx1"/>
            </w14:solidFill>
          </w14:textFill>
        </w:rPr>
        <w:t>洛阳市市场监督管理局</w:t>
      </w:r>
    </w:p>
    <w:p>
      <w:pPr>
        <w:pStyle w:val="7"/>
        <w:widowControl w:val="0"/>
        <w:shd w:val="clear" w:color="auto" w:fill="FFFFFF"/>
        <w:overflowPunct w:val="0"/>
        <w:adjustRightInd w:val="0"/>
        <w:snapToGrid w:val="0"/>
        <w:spacing w:before="0" w:beforeAutospacing="0" w:after="0" w:afterAutospacing="0" w:line="600" w:lineRule="exact"/>
        <w:jc w:val="center"/>
        <w:rPr>
          <w:rFonts w:ascii="方正小标宋_GBK" w:hAnsi="仿宋" w:eastAsia="方正小标宋_GBK"/>
          <w:color w:val="000000" w:themeColor="text1"/>
          <w:sz w:val="44"/>
          <w:szCs w:val="44"/>
          <w:shd w:val="clear" w:color="auto" w:fill="FFFFFF"/>
          <w14:textFill>
            <w14:solidFill>
              <w14:schemeClr w14:val="tx1"/>
            </w14:solidFill>
          </w14:textFill>
        </w:rPr>
      </w:pPr>
      <w:r>
        <w:rPr>
          <w:rFonts w:hint="eastAsia" w:ascii="方正小标宋_GBK" w:hAnsi="仿宋" w:eastAsia="方正小标宋_GBK"/>
          <w:color w:val="000000" w:themeColor="text1"/>
          <w:sz w:val="44"/>
          <w:szCs w:val="44"/>
          <w:shd w:val="clear" w:color="auto" w:fill="FFFFFF"/>
          <w14:textFill>
            <w14:solidFill>
              <w14:schemeClr w14:val="tx1"/>
            </w14:solidFill>
          </w14:textFill>
        </w:rPr>
        <w:t>现行有效的规范性文件目录</w:t>
      </w:r>
    </w:p>
    <w:p>
      <w:pPr>
        <w:widowControl w:val="0"/>
        <w:overflowPunct w:val="0"/>
        <w:adjustRightInd w:val="0"/>
        <w:snapToGrid w:val="0"/>
        <w:spacing w:line="3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tbl>
      <w:tblPr>
        <w:tblStyle w:val="8"/>
        <w:tblW w:w="5000" w:type="pct"/>
        <w:tblInd w:w="0" w:type="dxa"/>
        <w:tblLayout w:type="autofit"/>
        <w:tblCellMar>
          <w:top w:w="0" w:type="dxa"/>
          <w:left w:w="108" w:type="dxa"/>
          <w:bottom w:w="0" w:type="dxa"/>
          <w:right w:w="108" w:type="dxa"/>
        </w:tblCellMar>
      </w:tblPr>
      <w:tblGrid>
        <w:gridCol w:w="674"/>
        <w:gridCol w:w="3262"/>
        <w:gridCol w:w="2948"/>
        <w:gridCol w:w="2177"/>
      </w:tblGrid>
      <w:tr>
        <w:tblPrEx>
          <w:tblCellMar>
            <w:top w:w="0" w:type="dxa"/>
            <w:left w:w="108" w:type="dxa"/>
            <w:bottom w:w="0" w:type="dxa"/>
            <w:right w:w="108" w:type="dxa"/>
          </w:tblCellMar>
        </w:tblPrEx>
        <w:trPr>
          <w:trHeight w:val="640" w:hRule="atLeast"/>
          <w:tblHead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序号</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文件名称</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制定科室</w:t>
            </w:r>
          </w:p>
        </w:tc>
      </w:tr>
      <w:tr>
        <w:tblPrEx>
          <w:tblCellMar>
            <w:top w:w="0" w:type="dxa"/>
            <w:left w:w="108" w:type="dxa"/>
            <w:bottom w:w="0" w:type="dxa"/>
            <w:right w:w="108" w:type="dxa"/>
          </w:tblCellMar>
        </w:tblPrEx>
        <w:trPr>
          <w:trHeight w:val="945"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1</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关于促进个体工商户转型为小微企业工作的实施意见</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洛工商〔2018〕39号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行政审批科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2</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关于落实《市场监管总局工业和信息化部公安部关于加强电动自行车国家标准实施监督的意见》的通知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洛市监〔2019〕108号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洛市监规-2019-001号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标准化科</w:t>
            </w:r>
          </w:p>
        </w:tc>
      </w:tr>
      <w:tr>
        <w:tblPrEx>
          <w:tblCellMar>
            <w:top w:w="0" w:type="dxa"/>
            <w:left w:w="108" w:type="dxa"/>
            <w:bottom w:w="0" w:type="dxa"/>
            <w:right w:w="108" w:type="dxa"/>
          </w:tblCellMar>
        </w:tblPrEx>
        <w:trPr>
          <w:trHeight w:val="126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3</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关于印发《关于进一步加强合同监管工作的指导意见》的通知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洛市监〔2020〕90号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洛市监规-2020-003号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市场规范管理科</w:t>
            </w:r>
          </w:p>
        </w:tc>
      </w:tr>
      <w:tr>
        <w:tblPrEx>
          <w:tblCellMar>
            <w:top w:w="0" w:type="dxa"/>
            <w:left w:w="108" w:type="dxa"/>
            <w:bottom w:w="0" w:type="dxa"/>
            <w:right w:w="108" w:type="dxa"/>
          </w:tblCellMar>
        </w:tblPrEx>
        <w:trPr>
          <w:trHeight w:val="945"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4</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关于印发《</w:t>
            </w:r>
            <w:r>
              <w:rPr>
                <w:rFonts w:hint="eastAsia" w:ascii="仿宋" w:hAnsi="仿宋" w:eastAsia="仿宋" w:cs="方正仿宋_GBK"/>
                <w:bCs/>
                <w:color w:val="000000" w:themeColor="text1"/>
                <w:sz w:val="28"/>
                <w:szCs w:val="28"/>
                <w14:textFill>
                  <w14:solidFill>
                    <w14:schemeClr w14:val="tx1"/>
                  </w14:solidFill>
                </w14:textFill>
              </w:rPr>
              <w:t>洛阳市知识产权专项资金管理办法</w:t>
            </w:r>
            <w:r>
              <w:rPr>
                <w:rFonts w:hint="eastAsia" w:ascii="仿宋" w:hAnsi="仿宋" w:eastAsia="仿宋" w:cs="方正仿宋_GBK"/>
                <w:color w:val="000000" w:themeColor="text1"/>
                <w:sz w:val="28"/>
                <w:szCs w:val="28"/>
                <w14:textFill>
                  <w14:solidFill>
                    <w14:schemeClr w14:val="tx1"/>
                  </w14:solidFill>
                </w14:textFill>
              </w:rPr>
              <w:t>》的通知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洛市监〔2020〕115号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洛市监规-2020-007号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5</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关于印发《</w:t>
            </w:r>
            <w:r>
              <w:rPr>
                <w:rFonts w:hint="eastAsia" w:ascii="仿宋" w:hAnsi="仿宋" w:eastAsia="仿宋" w:cs="方正仿宋_GBK"/>
                <w:bCs/>
                <w:color w:val="000000" w:themeColor="text1"/>
                <w:sz w:val="28"/>
                <w:szCs w:val="28"/>
                <w:shd w:val="clear" w:color="auto" w:fill="FFFFFF"/>
                <w14:textFill>
                  <w14:solidFill>
                    <w14:schemeClr w14:val="tx1"/>
                  </w14:solidFill>
                </w14:textFill>
              </w:rPr>
              <w:t>洛阳市知识产权质押融资奖补和风险补偿实施办法</w:t>
            </w:r>
            <w:r>
              <w:rPr>
                <w:rFonts w:hint="eastAsia" w:ascii="仿宋" w:hAnsi="仿宋" w:eastAsia="仿宋" w:cs="方正仿宋_GBK"/>
                <w:color w:val="000000" w:themeColor="text1"/>
                <w:sz w:val="28"/>
                <w:szCs w:val="28"/>
                <w14:textFill>
                  <w14:solidFill>
                    <w14:schemeClr w14:val="tx1"/>
                  </w14:solidFill>
                </w14:textFill>
              </w:rPr>
              <w:t>》的通知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洛市监〔2020〕116号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洛市监规-2020-008号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6</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关于废止和宣布失效部分行政规范性文件的决定</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洛市监〔2021〕38号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洛市监规-2021-002号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法规科</w:t>
            </w:r>
          </w:p>
        </w:tc>
      </w:tr>
      <w:tr>
        <w:tblPrEx>
          <w:tblCellMar>
            <w:top w:w="0" w:type="dxa"/>
            <w:left w:w="108" w:type="dxa"/>
            <w:bottom w:w="0" w:type="dxa"/>
            <w:right w:w="108" w:type="dxa"/>
          </w:tblCellMar>
        </w:tblPrEx>
        <w:trPr>
          <w:trHeight w:val="826"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7</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洛阳市市场监督管理局关于印发《洛阳市知识产权强企备案实施办法》的通知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洛市监〔2021〕46号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洛市监规-2021-003号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bl>
    <w:p>
      <w:pPr>
        <w:rPr>
          <w:color w:val="000000" w:themeColor="text1"/>
          <w14:textFill>
            <w14:solidFill>
              <w14:schemeClr w14:val="tx1"/>
            </w14:solidFill>
          </w14:textFill>
        </w:rPr>
      </w:pPr>
    </w:p>
    <w:tbl>
      <w:tblPr>
        <w:tblStyle w:val="8"/>
        <w:tblW w:w="5000" w:type="pct"/>
        <w:tblInd w:w="0" w:type="dxa"/>
        <w:tblLayout w:type="autofit"/>
        <w:tblCellMar>
          <w:top w:w="0" w:type="dxa"/>
          <w:left w:w="108" w:type="dxa"/>
          <w:bottom w:w="0" w:type="dxa"/>
          <w:right w:w="108" w:type="dxa"/>
        </w:tblCellMar>
      </w:tblPr>
      <w:tblGrid>
        <w:gridCol w:w="674"/>
        <w:gridCol w:w="3262"/>
        <w:gridCol w:w="2948"/>
        <w:gridCol w:w="2177"/>
      </w:tblGrid>
      <w:tr>
        <w:tblPrEx>
          <w:tblCellMar>
            <w:top w:w="0" w:type="dxa"/>
            <w:left w:w="108" w:type="dxa"/>
            <w:bottom w:w="0" w:type="dxa"/>
            <w:right w:w="108" w:type="dxa"/>
          </w:tblCellMar>
        </w:tblPrEx>
        <w:trPr>
          <w:trHeight w:val="640" w:hRule="atLeast"/>
          <w:tblHeader/>
        </w:trPr>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序号</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文件名称</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文号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黑体" w:hAnsi="仿宋" w:eastAsia="黑体" w:cs="方正黑体_GBK"/>
                <w:bCs/>
                <w:color w:val="000000" w:themeColor="text1"/>
                <w:sz w:val="28"/>
                <w:szCs w:val="28"/>
                <w14:textFill>
                  <w14:solidFill>
                    <w14:schemeClr w14:val="tx1"/>
                  </w14:solidFill>
                </w14:textFill>
              </w:rPr>
            </w:pPr>
            <w:r>
              <w:rPr>
                <w:rFonts w:hint="eastAsia" w:ascii="黑体" w:hAnsi="仿宋" w:eastAsia="黑体" w:cs="方正黑体_GBK"/>
                <w:bCs/>
                <w:color w:val="000000" w:themeColor="text1"/>
                <w:sz w:val="28"/>
                <w:szCs w:val="28"/>
                <w:lang w:bidi="ar"/>
                <w14:textFill>
                  <w14:solidFill>
                    <w14:schemeClr w14:val="tx1"/>
                  </w14:solidFill>
                </w14:textFill>
              </w:rPr>
              <w:t>制定科室</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8</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关于废止行政规范性文件的决定</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洛市监〔2021〕58号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洛市监规-2021-004号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法规科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9</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洛阳市中小学知识产权普及教育实验基地建设暂行办法</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方正仿宋_GBK"/>
                <w:color w:val="000000" w:themeColor="text1"/>
                <w:sz w:val="28"/>
                <w:szCs w:val="28"/>
                <w:lang w:bidi="ar"/>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洛市监〔2022〕12号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lang w:bidi="ar"/>
                <w14:textFill>
                  <w14:solidFill>
                    <w14:schemeClr w14:val="tx1"/>
                  </w14:solidFill>
                </w14:textFill>
              </w:rPr>
              <w:t>洛市监规-2022-001号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知识产权促进科</w:t>
            </w:r>
          </w:p>
        </w:tc>
      </w:tr>
      <w:tr>
        <w:tblPrEx>
          <w:tblCellMar>
            <w:top w:w="0" w:type="dxa"/>
            <w:left w:w="108" w:type="dxa"/>
            <w:bottom w:w="0" w:type="dxa"/>
            <w:right w:w="108" w:type="dxa"/>
          </w:tblCellMar>
        </w:tblPrEx>
        <w:trPr>
          <w:trHeight w:val="630"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10</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洛阳市市场监督管理局等十一部门关于做好企业电子营业执照和电子印章同步发放和应用工作的通知</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洛市监〔2022〕82号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洛市监规-2022-003号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行政审批科</w:t>
            </w:r>
          </w:p>
        </w:tc>
      </w:tr>
      <w:tr>
        <w:tblPrEx>
          <w:tblCellMar>
            <w:top w:w="0" w:type="dxa"/>
            <w:left w:w="108" w:type="dxa"/>
            <w:bottom w:w="0" w:type="dxa"/>
            <w:right w:w="108" w:type="dxa"/>
          </w:tblCellMar>
        </w:tblPrEx>
        <w:trPr>
          <w:trHeight w:val="866" w:hRule="atLeast"/>
        </w:trPr>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仿宋"/>
                <w:bCs/>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lang w:bidi="ar"/>
                <w14:textFill>
                  <w14:solidFill>
                    <w14:schemeClr w14:val="tx1"/>
                  </w14:solidFill>
                </w14:textFill>
              </w:rPr>
              <w:t>11</w:t>
            </w:r>
          </w:p>
        </w:tc>
        <w:tc>
          <w:tcPr>
            <w:tcW w:w="18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both"/>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bCs/>
                <w:color w:val="000000" w:themeColor="text1"/>
                <w:sz w:val="28"/>
                <w:szCs w:val="28"/>
                <w14:textFill>
                  <w14:solidFill>
                    <w14:schemeClr w14:val="tx1"/>
                  </w14:solidFill>
                </w14:textFill>
              </w:rPr>
              <w:t>关于</w:t>
            </w:r>
            <w:r>
              <w:rPr>
                <w:rStyle w:val="11"/>
                <w:rFonts w:hint="eastAsia" w:ascii="仿宋" w:hAnsi="仿宋" w:eastAsia="仿宋" w:cs="方正仿宋_GBK"/>
                <w:b w:val="0"/>
                <w:bCs w:val="0"/>
                <w:color w:val="000000" w:themeColor="text1"/>
                <w:sz w:val="28"/>
                <w:szCs w:val="28"/>
                <w:shd w:val="clear" w:color="auto" w:fill="FFFFFF"/>
                <w14:textFill>
                  <w14:solidFill>
                    <w14:schemeClr w14:val="tx1"/>
                  </w14:solidFill>
                </w14:textFill>
              </w:rPr>
              <w:t>废止行政规范性文件的决定</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overflowPunct w:val="0"/>
              <w:adjustRightInd w:val="0"/>
              <w:snapToGrid w:val="0"/>
              <w:jc w:val="center"/>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洛市监〔2022〕88号</w:t>
            </w:r>
          </w:p>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洛市监规-2022-002号</w:t>
            </w:r>
          </w:p>
        </w:tc>
        <w:tc>
          <w:tcPr>
            <w:tcW w:w="12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val="0"/>
              <w:overflowPunct w:val="0"/>
              <w:adjustRightInd w:val="0"/>
              <w:snapToGrid w:val="0"/>
              <w:jc w:val="center"/>
              <w:rPr>
                <w:rFonts w:ascii="仿宋" w:hAnsi="仿宋" w:eastAsia="仿宋" w:cs="方正仿宋_GBK"/>
                <w:color w:val="000000" w:themeColor="text1"/>
                <w:sz w:val="28"/>
                <w:szCs w:val="28"/>
                <w14:textFill>
                  <w14:solidFill>
                    <w14:schemeClr w14:val="tx1"/>
                  </w14:solidFill>
                </w14:textFill>
              </w:rPr>
            </w:pPr>
            <w:r>
              <w:rPr>
                <w:rFonts w:hint="eastAsia" w:ascii="仿宋" w:hAnsi="仿宋" w:eastAsia="仿宋" w:cs="方正仿宋_GBK"/>
                <w:color w:val="000000" w:themeColor="text1"/>
                <w:sz w:val="28"/>
                <w:szCs w:val="28"/>
                <w14:textFill>
                  <w14:solidFill>
                    <w14:schemeClr w14:val="tx1"/>
                  </w14:solidFill>
                </w14:textFill>
              </w:rPr>
              <w:t>法规科</w:t>
            </w:r>
          </w:p>
        </w:tc>
      </w:tr>
    </w:tbl>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8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bookmarkEnd w:id="0"/>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6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400" w:lineRule="exact"/>
        <w:ind w:firstLine="640" w:firstLineChars="200"/>
        <w:jc w:val="both"/>
        <w:rPr>
          <w:rFonts w:ascii="仿宋" w:hAnsi="仿宋" w:eastAsia="仿宋" w:cs="仿宋_GB2312"/>
          <w:color w:val="000000" w:themeColor="text1"/>
          <w:sz w:val="32"/>
          <w:szCs w:val="32"/>
          <w14:textFill>
            <w14:solidFill>
              <w14:schemeClr w14:val="tx1"/>
            </w14:solidFill>
          </w14:textFill>
        </w:rPr>
      </w:pPr>
    </w:p>
    <w:p>
      <w:pPr>
        <w:widowControl w:val="0"/>
        <w:overflowPunct w:val="0"/>
        <w:adjustRightInd w:val="0"/>
        <w:snapToGrid w:val="0"/>
        <w:spacing w:line="1700" w:lineRule="exact"/>
        <w:ind w:firstLine="640" w:firstLineChars="200"/>
        <w:jc w:val="both"/>
        <w:rPr>
          <w:rFonts w:ascii="仿宋" w:hAnsi="仿宋" w:eastAsia="仿宋"/>
          <w:color w:val="000000" w:themeColor="text1"/>
          <w:sz w:val="32"/>
          <w:szCs w:val="32"/>
          <w14:textFill>
            <w14:solidFill>
              <w14:schemeClr w14:val="tx1"/>
            </w14:solidFill>
          </w14:textFill>
        </w:rPr>
      </w:pPr>
    </w:p>
    <w:p>
      <w:pPr>
        <w:widowControl w:val="0"/>
        <w:overflowPunct w:val="0"/>
        <w:adjustRightInd w:val="0"/>
        <w:snapToGrid w:val="0"/>
        <w:spacing w:line="20" w:lineRule="exact"/>
        <w:ind w:firstLine="640" w:firstLineChars="200"/>
        <w:jc w:val="both"/>
        <w:rPr>
          <w:rFonts w:ascii="仿宋" w:hAnsi="仿宋" w:eastAsia="仿宋"/>
          <w:color w:val="000000" w:themeColor="text1"/>
          <w:sz w:val="32"/>
          <w:szCs w:val="32"/>
          <w14:textFill>
            <w14:solidFill>
              <w14:schemeClr w14:val="tx1"/>
            </w14:solidFill>
          </w14:textFill>
        </w:rPr>
      </w:pPr>
    </w:p>
    <w:sectPr>
      <w:headerReference r:id="rId3" w:type="default"/>
      <w:footerReference r:id="rId5" w:type="default"/>
      <w:headerReference r:id="rId4" w:type="even"/>
      <w:footerReference r:id="rId6" w:type="even"/>
      <w:pgSz w:w="11906" w:h="16838"/>
      <w:pgMar w:top="1962" w:right="1474" w:bottom="1848" w:left="1587" w:header="851" w:footer="992" w:gutter="0"/>
      <w:pgNumType w:fmt="numberInDash"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NEU-BZ">
    <w:altName w:val="宋体"/>
    <w:panose1 w:val="00000000000000000000"/>
    <w:charset w:val="86"/>
    <w:family w:val="auto"/>
    <w:pitch w:val="default"/>
    <w:sig w:usb0="00000000" w:usb1="00000000" w:usb2="00000016" w:usb3="00000000" w:csb0="00040001" w:csb1="00000000"/>
  </w:font>
  <w:font w:name="Arial">
    <w:panose1 w:val="020B0604020202020204"/>
    <w:charset w:val="00"/>
    <w:family w:val="swiss"/>
    <w:pitch w:val="default"/>
    <w:sig w:usb0="E0002EFF" w:usb1="C000785B" w:usb2="00000009" w:usb3="00000000" w:csb0="400001FF" w:csb1="FFFF0000"/>
  </w:font>
  <w:font w:name="方正书宋简体">
    <w:altName w:val="宋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5016"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6"/>
      <w:wordWrap w:val="0"/>
      <w:ind w:left="895" w:leftChars="407" w:firstLine="10518" w:firstLineChars="3287"/>
      <w:jc w:val="right"/>
      <w:rPr>
        <w:rFonts w:ascii="宋体" w:hAnsi="宋体" w:cs="宋体"/>
        <w:b/>
        <w:bCs/>
        <w:color w:val="005192"/>
        <w:sz w:val="28"/>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rPr>
      <w:t xml:space="preserve">洛洛阳市市场监督管理局发布    </w:t>
    </w:r>
  </w:p>
  <w:p>
    <w:pPr>
      <w:pStyle w:val="6"/>
      <w:wordWrap w:val="0"/>
      <w:ind w:left="5016" w:leftChars="2280" w:firstLine="5622" w:firstLineChars="2000"/>
      <w:jc w:val="right"/>
      <w:rPr>
        <w:rFonts w:ascii="宋体" w:hAnsi="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5016" w:leftChars="2280" w:firstLine="6400" w:firstLineChars="2000"/>
      <w:rPr>
        <w:rFonts w:eastAsia="仿宋"/>
        <w:sz w:val="32"/>
        <w:szCs w:val="48"/>
      </w:rPr>
    </w:pPr>
    <w:r>
      <w:rPr>
        <w:sz w:val="32"/>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5"/>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- 2 -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6"/>
      <w:wordWrap w:val="0"/>
      <w:ind w:left="895" w:leftChars="407" w:firstLine="10518" w:firstLineChars="3287"/>
      <w:jc w:val="right"/>
      <w:rPr>
        <w:rFonts w:ascii="宋体" w:hAnsi="宋体" w:cs="宋体"/>
        <w:b/>
        <w:bCs/>
        <w:color w:val="005192"/>
        <w:sz w:val="28"/>
        <w:szCs w:val="44"/>
      </w:rPr>
    </w:pPr>
    <w:r>
      <w:rPr>
        <w:sz w:val="32"/>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9" name="直接连接符 9"/>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2336;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w80Y&#10;n+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rPr>
      <w:t xml:space="preserve">洛洛阳市市场监督管理局发布    </w:t>
    </w:r>
  </w:p>
  <w:p>
    <w:pPr>
      <w:pStyle w:val="6"/>
      <w:wordWrap w:val="0"/>
      <w:ind w:left="5016"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idowControl w:val="0"/>
      <w:textAlignment w:val="center"/>
      <w:rPr>
        <w:rFonts w:ascii="宋体" w:hAnsi="宋体" w:cs="宋体"/>
        <w:b/>
        <w:bCs/>
        <w:color w:val="005192"/>
        <w:sz w:val="32"/>
      </w:rPr>
    </w:pPr>
    <w:r>
      <w:rPr>
        <w:rFonts w:hint="eastAsia"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6"/>
      <w:widowControl w:val="0"/>
      <w:textAlignment w:val="center"/>
      <w:rPr>
        <w:rFonts w:ascii="宋体" w:hAnsi="宋体" w:cs="宋体"/>
        <w:b/>
        <w:bCs/>
        <w:color w:val="005192"/>
        <w:sz w:val="32"/>
        <w:szCs w:val="32"/>
      </w:rPr>
    </w:pPr>
    <w:r>
      <w:rPr>
        <w:rFonts w:hint="eastAsia" w:ascii="宋体" w:hAnsi="宋体" w:cs="宋体"/>
        <w:b/>
        <w:bCs/>
        <w:color w:val="005192"/>
        <w:sz w:val="32"/>
      </w:rPr>
      <w:t>洛阳市</w:t>
    </w:r>
    <w:r>
      <w:rPr>
        <w:rFonts w:hint="eastAsia" w:ascii="宋体" w:hAnsi="宋体" w:cs="宋体"/>
        <w:b/>
        <w:bCs/>
        <w:color w:val="005192"/>
        <w:sz w:val="32"/>
        <w:szCs w:val="32"/>
      </w:rPr>
      <w:t>市场监督管理局行政规范性文件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idowControl w:val="0"/>
      <w:textAlignment w:val="center"/>
      <w:rPr>
        <w:rFonts w:ascii="宋体" w:hAnsi="宋体" w:cs="宋体"/>
        <w:b/>
        <w:bCs/>
        <w:color w:val="005192"/>
        <w:sz w:val="32"/>
      </w:rPr>
    </w:pPr>
    <w:r>
      <w:rPr>
        <w:rFonts w:hint="eastAsia" w:ascii="宋体" w:hAnsi="宋体" w:cs="宋体"/>
        <w:b/>
        <w:bCs/>
        <w:color w:val="005192"/>
        <w:sz w:val="32"/>
      </w:rPr>
      <mc:AlternateContent>
        <mc:Choice Requires="wps">
          <w:drawing>
            <wp:anchor distT="0" distB="0" distL="114300" distR="114300" simplePos="0" relativeHeight="25166438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10" name="直接连接符 10"/>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438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RHQNbVAAAACQEAAA8AAAAAAAAAAQAgAAAAIgAAAGRycy9kb3ducmV2LnhtbFBLAQIUABQA&#10;AAAIAIdO4kCGq1wt8wEAAL8DAAAOAAAAAAAAAAEAIAAAACQBAABkcnMvZTJvRG9jLnhtbFBLBQYA&#10;AAAABgAGAFkBAACJBQAAAAA=&#10;">
              <v:fill on="f" focussize="0,0"/>
              <v:stroke weight="1.75pt" color="#005192 [3204]" miterlimit="8" joinstyle="miter"/>
              <v:imagedata o:title=""/>
              <o:lock v:ext="edit" aspectratio="f"/>
            </v:line>
          </w:pict>
        </mc:Fallback>
      </mc:AlternateContent>
    </w:r>
  </w:p>
  <w:p>
    <w:pPr>
      <w:pStyle w:val="6"/>
      <w:widowControl w:val="0"/>
      <w:textAlignment w:val="center"/>
      <w:rPr>
        <w:rFonts w:ascii="宋体" w:hAnsi="宋体" w:cs="宋体"/>
        <w:b/>
        <w:bCs/>
        <w:color w:val="005192"/>
        <w:sz w:val="32"/>
        <w:szCs w:val="32"/>
      </w:rPr>
    </w:pPr>
    <w:r>
      <w:rPr>
        <w:rFonts w:hint="eastAsia" w:ascii="宋体" w:hAnsi="宋体" w:cs="宋体"/>
        <w:b/>
        <w:bCs/>
        <w:color w:val="005192"/>
        <w:sz w:val="32"/>
      </w:rPr>
      <w:t>洛阳市</w:t>
    </w:r>
    <w:r>
      <w:rPr>
        <w:rFonts w:hint="eastAsia" w:ascii="宋体" w:hAnsi="宋体" w:cs="宋体"/>
        <w:b/>
        <w:bCs/>
        <w:color w:val="005192"/>
        <w:sz w:val="32"/>
        <w:szCs w:val="32"/>
      </w:rPr>
      <w:t>市场监督管理局行政规范性文件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rawingGridHorizontalSpacing w:val="110"/>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011D9"/>
    <w:rsid w:val="000440B2"/>
    <w:rsid w:val="00064BD5"/>
    <w:rsid w:val="000716A4"/>
    <w:rsid w:val="00086C73"/>
    <w:rsid w:val="0009729A"/>
    <w:rsid w:val="000C6C89"/>
    <w:rsid w:val="001901D2"/>
    <w:rsid w:val="001A7F7A"/>
    <w:rsid w:val="001C6EF4"/>
    <w:rsid w:val="001E3776"/>
    <w:rsid w:val="001E7950"/>
    <w:rsid w:val="001F3783"/>
    <w:rsid w:val="002268C5"/>
    <w:rsid w:val="00226C64"/>
    <w:rsid w:val="002E1A50"/>
    <w:rsid w:val="00385F17"/>
    <w:rsid w:val="003B6624"/>
    <w:rsid w:val="003E194C"/>
    <w:rsid w:val="004220A2"/>
    <w:rsid w:val="00480570"/>
    <w:rsid w:val="00484E1E"/>
    <w:rsid w:val="004F43EA"/>
    <w:rsid w:val="005C2777"/>
    <w:rsid w:val="005D3DB3"/>
    <w:rsid w:val="00635A1A"/>
    <w:rsid w:val="006434A3"/>
    <w:rsid w:val="006539BB"/>
    <w:rsid w:val="00694B90"/>
    <w:rsid w:val="00701710"/>
    <w:rsid w:val="0070528C"/>
    <w:rsid w:val="007340B1"/>
    <w:rsid w:val="00737A03"/>
    <w:rsid w:val="007560C9"/>
    <w:rsid w:val="00870494"/>
    <w:rsid w:val="00905CAC"/>
    <w:rsid w:val="0097791E"/>
    <w:rsid w:val="009875FD"/>
    <w:rsid w:val="0099009E"/>
    <w:rsid w:val="00995166"/>
    <w:rsid w:val="00A274E8"/>
    <w:rsid w:val="00A92927"/>
    <w:rsid w:val="00B20091"/>
    <w:rsid w:val="00BC49EC"/>
    <w:rsid w:val="00BE5B8E"/>
    <w:rsid w:val="00D022B3"/>
    <w:rsid w:val="00D04BAB"/>
    <w:rsid w:val="00D10980"/>
    <w:rsid w:val="00D61319"/>
    <w:rsid w:val="00D812ED"/>
    <w:rsid w:val="00E4219D"/>
    <w:rsid w:val="00E46AC9"/>
    <w:rsid w:val="00F00A92"/>
    <w:rsid w:val="00F31739"/>
    <w:rsid w:val="019E71BD"/>
    <w:rsid w:val="05440955"/>
    <w:rsid w:val="066E5641"/>
    <w:rsid w:val="06A67E67"/>
    <w:rsid w:val="080F63D8"/>
    <w:rsid w:val="09006E92"/>
    <w:rsid w:val="09341458"/>
    <w:rsid w:val="09553C02"/>
    <w:rsid w:val="0CE65B2C"/>
    <w:rsid w:val="0D5C5CF8"/>
    <w:rsid w:val="0ED818A4"/>
    <w:rsid w:val="101F0538"/>
    <w:rsid w:val="10254BD6"/>
    <w:rsid w:val="129E7932"/>
    <w:rsid w:val="13A23C39"/>
    <w:rsid w:val="152D2DCA"/>
    <w:rsid w:val="17DF1D6E"/>
    <w:rsid w:val="1C86388D"/>
    <w:rsid w:val="1E466CFF"/>
    <w:rsid w:val="22440422"/>
    <w:rsid w:val="23F13B42"/>
    <w:rsid w:val="287C616C"/>
    <w:rsid w:val="2FCE575A"/>
    <w:rsid w:val="2FFC7EDE"/>
    <w:rsid w:val="31A15F24"/>
    <w:rsid w:val="33BB2064"/>
    <w:rsid w:val="3677E749"/>
    <w:rsid w:val="37CACB9C"/>
    <w:rsid w:val="38FEAB48"/>
    <w:rsid w:val="39A232A0"/>
    <w:rsid w:val="3A1C636B"/>
    <w:rsid w:val="3B5A6BBB"/>
    <w:rsid w:val="3BE16DE7"/>
    <w:rsid w:val="3CBF9EF1"/>
    <w:rsid w:val="3DEFD9D2"/>
    <w:rsid w:val="3E0E7999"/>
    <w:rsid w:val="3EA06ADE"/>
    <w:rsid w:val="3EBB8EF4"/>
    <w:rsid w:val="3EDA13A6"/>
    <w:rsid w:val="3F5730EA"/>
    <w:rsid w:val="3FAF8727"/>
    <w:rsid w:val="3FBDFC7F"/>
    <w:rsid w:val="42F058B7"/>
    <w:rsid w:val="436109F6"/>
    <w:rsid w:val="441A38D4"/>
    <w:rsid w:val="474E2EF2"/>
    <w:rsid w:val="47F437D9"/>
    <w:rsid w:val="49B91357"/>
    <w:rsid w:val="4A7EEDA2"/>
    <w:rsid w:val="4AEC52E8"/>
    <w:rsid w:val="4BC77339"/>
    <w:rsid w:val="4C9236C5"/>
    <w:rsid w:val="4E2A37E2"/>
    <w:rsid w:val="50414CBD"/>
    <w:rsid w:val="51E247E8"/>
    <w:rsid w:val="526F08CC"/>
    <w:rsid w:val="52F46F0B"/>
    <w:rsid w:val="55274B4C"/>
    <w:rsid w:val="55E064E0"/>
    <w:rsid w:val="5A4F3EF9"/>
    <w:rsid w:val="5D0D7ECB"/>
    <w:rsid w:val="5F3B9828"/>
    <w:rsid w:val="608816D1"/>
    <w:rsid w:val="66543DF6"/>
    <w:rsid w:val="67EFADBA"/>
    <w:rsid w:val="69D03F98"/>
    <w:rsid w:val="6A7F4576"/>
    <w:rsid w:val="6B3AEC4B"/>
    <w:rsid w:val="6BF75DB0"/>
    <w:rsid w:val="6D0E3F22"/>
    <w:rsid w:val="6DDDE932"/>
    <w:rsid w:val="70AF1C83"/>
    <w:rsid w:val="714A2531"/>
    <w:rsid w:val="71C61E01"/>
    <w:rsid w:val="71E9213F"/>
    <w:rsid w:val="75AA717D"/>
    <w:rsid w:val="75FE24E0"/>
    <w:rsid w:val="75FF11B1"/>
    <w:rsid w:val="76DF31BB"/>
    <w:rsid w:val="78F7111D"/>
    <w:rsid w:val="7C9011D9"/>
    <w:rsid w:val="7CFB3184"/>
    <w:rsid w:val="7DB23066"/>
    <w:rsid w:val="7DC651C5"/>
    <w:rsid w:val="7DFB844D"/>
    <w:rsid w:val="7DFBC28B"/>
    <w:rsid w:val="7E2E4AAA"/>
    <w:rsid w:val="7FCC0C6B"/>
    <w:rsid w:val="7FD3F254"/>
    <w:rsid w:val="7FE92C1F"/>
    <w:rsid w:val="7FED60B9"/>
    <w:rsid w:val="AB7E535B"/>
    <w:rsid w:val="ACB71518"/>
    <w:rsid w:val="AF7F4B14"/>
    <w:rsid w:val="BBEE94B1"/>
    <w:rsid w:val="CAF676AA"/>
    <w:rsid w:val="D5F6BFC8"/>
    <w:rsid w:val="D6DD9B99"/>
    <w:rsid w:val="DACF7BFF"/>
    <w:rsid w:val="DBF4C527"/>
    <w:rsid w:val="DBFB2C82"/>
    <w:rsid w:val="DCB9BA79"/>
    <w:rsid w:val="DCDFD9EB"/>
    <w:rsid w:val="DEFF1FC4"/>
    <w:rsid w:val="DFED44EB"/>
    <w:rsid w:val="DFFD6BC6"/>
    <w:rsid w:val="DFFFA43C"/>
    <w:rsid w:val="E79F7A47"/>
    <w:rsid w:val="EFD3E60A"/>
    <w:rsid w:val="F37F01D6"/>
    <w:rsid w:val="F3BBE9AD"/>
    <w:rsid w:val="F46BD003"/>
    <w:rsid w:val="F4B77563"/>
    <w:rsid w:val="F7BD53F8"/>
    <w:rsid w:val="F7CE0210"/>
    <w:rsid w:val="F7FC5330"/>
    <w:rsid w:val="FD5679CE"/>
    <w:rsid w:val="FDB75BAD"/>
    <w:rsid w:val="FE27DE86"/>
    <w:rsid w:val="FFB64EC1"/>
    <w:rsid w:val="FFBEA337"/>
    <w:rsid w:val="FFDA27BD"/>
    <w:rsid w:val="FFFB3E16"/>
    <w:rsid w:val="FFFFC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NEU-BZ" w:eastAsia="宋体" w:cs="Times New Roman"/>
      <w:sz w:val="22"/>
      <w:szCs w:val="22"/>
      <w:lang w:val="en-US" w:eastAsia="zh-CN" w:bidi="ar-SA"/>
    </w:rPr>
  </w:style>
  <w:style w:type="paragraph" w:styleId="3">
    <w:name w:val="heading 1"/>
    <w:basedOn w:val="1"/>
    <w:next w:val="1"/>
    <w:link w:val="19"/>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100" w:beforeLines="100" w:after="100" w:afterLines="100" w:line="600" w:lineRule="exact"/>
      <w:jc w:val="center"/>
      <w:outlineLvl w:val="1"/>
    </w:pPr>
    <w:rPr>
      <w:rFonts w:ascii="黑体" w:hAnsi="Arial" w:eastAsia="黑体"/>
      <w:bCs/>
      <w:sz w:val="32"/>
      <w:szCs w:val="32"/>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7">
    <w:name w:val="Normal (Web)"/>
    <w:basedOn w:val="1"/>
    <w:unhideWhenUsed/>
    <w:qFormat/>
    <w:uiPriority w:val="0"/>
    <w:pPr>
      <w:spacing w:before="100" w:beforeAutospacing="1" w:after="100" w:afterAutospacing="1"/>
    </w:pPr>
    <w:rPr>
      <w:rFonts w:ascii="宋体" w:hAnsi="宋体" w:cs="宋体"/>
      <w:sz w:val="24"/>
      <w:szCs w:val="24"/>
    </w:rPr>
  </w:style>
  <w:style w:type="table" w:styleId="9">
    <w:name w:val="Table Grid"/>
    <w:basedOn w:val="8"/>
    <w:qFormat/>
    <w:uiPriority w:val="59"/>
    <w:rPr>
      <w:rFonts w:ascii="Times New Roman" w:hAnsi="Times New Roman"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page number"/>
    <w:basedOn w:val="10"/>
    <w:qFormat/>
    <w:uiPriority w:val="0"/>
  </w:style>
  <w:style w:type="paragraph" w:customStyle="1" w:styleId="13">
    <w:name w:val="15.5正文（仿宋GB）"/>
    <w:basedOn w:val="1"/>
    <w:qFormat/>
    <w:uiPriority w:val="0"/>
    <w:pPr>
      <w:ind w:firstLine="200" w:firstLineChars="200"/>
    </w:pPr>
    <w:rPr>
      <w:rFonts w:ascii="方正书宋简体" w:hAnsi="方正书宋简体" w:eastAsia="仿宋_GB2312"/>
      <w:color w:val="000000"/>
      <w:sz w:val="31"/>
      <w:szCs w:val="31"/>
    </w:rPr>
  </w:style>
  <w:style w:type="paragraph" w:customStyle="1" w:styleId="14">
    <w:name w:val="一级标题（二号小标宋）"/>
    <w:basedOn w:val="1"/>
    <w:link w:val="17"/>
    <w:qFormat/>
    <w:uiPriority w:val="0"/>
    <w:pPr>
      <w:jc w:val="center"/>
    </w:pPr>
    <w:rPr>
      <w:rFonts w:ascii="方正书宋简体" w:hAnsi="方正书宋简体" w:eastAsia="方正小标宋_GBK"/>
      <w:color w:val="000000"/>
      <w:sz w:val="42"/>
      <w:szCs w:val="42"/>
    </w:rPr>
  </w:style>
  <w:style w:type="paragraph" w:customStyle="1" w:styleId="15">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6">
    <w:name w:val="样式3"/>
    <w:basedOn w:val="1"/>
    <w:qFormat/>
    <w:uiPriority w:val="0"/>
    <w:pPr>
      <w:widowControl w:val="0"/>
      <w:adjustRightInd w:val="0"/>
      <w:snapToGrid w:val="0"/>
      <w:spacing w:before="100" w:beforeLines="100" w:after="100" w:afterLines="100" w:line="600" w:lineRule="exact"/>
      <w:jc w:val="center"/>
    </w:pPr>
    <w:rPr>
      <w:rFonts w:ascii="方正书宋简体" w:hAnsi="方正书宋简体" w:eastAsia="楷体_GB2312"/>
      <w:color w:val="000000"/>
      <w:sz w:val="31"/>
      <w:szCs w:val="31"/>
    </w:rPr>
  </w:style>
  <w:style w:type="character" w:customStyle="1" w:styleId="17">
    <w:name w:val="一级标题（二号小标宋） Char"/>
    <w:basedOn w:val="10"/>
    <w:link w:val="14"/>
    <w:qFormat/>
    <w:uiPriority w:val="0"/>
    <w:rPr>
      <w:rFonts w:ascii="方正书宋简体" w:hAnsi="方正书宋简体" w:eastAsia="方正小标宋_GBK"/>
      <w:color w:val="000000"/>
      <w:sz w:val="42"/>
      <w:szCs w:val="42"/>
    </w:rPr>
  </w:style>
  <w:style w:type="paragraph" w:customStyle="1" w:styleId="18">
    <w:name w:val="p0"/>
    <w:basedOn w:val="1"/>
    <w:qFormat/>
    <w:uiPriority w:val="0"/>
    <w:pPr>
      <w:spacing w:before="100" w:beforeAutospacing="1" w:after="100" w:afterAutospacing="1"/>
    </w:pPr>
    <w:rPr>
      <w:rFonts w:ascii="宋体" w:hAnsi="宋体" w:cs="宋体"/>
      <w:sz w:val="24"/>
      <w:szCs w:val="24"/>
    </w:rPr>
  </w:style>
  <w:style w:type="character" w:customStyle="1" w:styleId="19">
    <w:name w:val="标题 1 Char"/>
    <w:basedOn w:val="10"/>
    <w:link w:val="3"/>
    <w:uiPriority w:val="0"/>
    <w:rPr>
      <w:rFonts w:ascii="Calibri" w:hAnsi="NEU-BZ"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1BD545-955E-4E1E-A64D-A131308F3269}">
  <ds:schemaRefs/>
</ds:datastoreItem>
</file>

<file path=docProps/app.xml><?xml version="1.0" encoding="utf-8"?>
<Properties xmlns="http://schemas.openxmlformats.org/officeDocument/2006/extended-properties" xmlns:vt="http://schemas.openxmlformats.org/officeDocument/2006/docPropsVTypes">
  <Template>Normal.dotm</Template>
  <Company>kr</Company>
  <Pages>4</Pages>
  <Words>990</Words>
  <Characters>1153</Characters>
  <Lines>9</Lines>
  <Paragraphs>2</Paragraphs>
  <TotalTime>34</TotalTime>
  <ScaleCrop>false</ScaleCrop>
  <LinksUpToDate>false</LinksUpToDate>
  <CharactersWithSpaces>1161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2024-03-25T08:29:00Z</dcterms:created>
  <dc:creator>t</dc:creator>
  <cp:lastModifiedBy>时霖</cp:lastModifiedBy>
  <cp:lastPrinted>2024-03-25T08:15:00Z</cp:lastPrinted>
  <dcterms:modified xsi:type="dcterms:W3CDTF">2024-06-04T05:36:58Z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501390CFF33D464FA7F2224666DD8490_13</vt:lpwstr>
  </property>
</Properties>
</file>